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50" w:rsidRPr="00105DE9" w:rsidRDefault="000F1150" w:rsidP="000F1150">
      <w:pPr>
        <w:spacing w:line="360" w:lineRule="auto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</w:rPr>
        <w:t xml:space="preserve">УДК: </w:t>
      </w:r>
      <w:r w:rsidR="00105DE9">
        <w:rPr>
          <w:b/>
          <w:sz w:val="28"/>
          <w:szCs w:val="28"/>
          <w:lang w:val="en-US"/>
        </w:rPr>
        <w:t>[616.12-005.4+616.61-002.2]-085.37</w:t>
      </w:r>
      <w:r w:rsidR="00105DE9">
        <w:rPr>
          <w:b/>
          <w:sz w:val="28"/>
          <w:szCs w:val="28"/>
          <w:lang w:val="uk-UA"/>
        </w:rPr>
        <w:t>:612.1</w:t>
      </w:r>
    </w:p>
    <w:p w:rsidR="0050386A" w:rsidRPr="00105DE9" w:rsidRDefault="00105DE9" w:rsidP="00CA21EE">
      <w:pPr>
        <w:spacing w:line="360" w:lineRule="auto"/>
        <w:jc w:val="center"/>
        <w:rPr>
          <w:b/>
          <w:sz w:val="27"/>
          <w:szCs w:val="27"/>
          <w:lang w:val="uk-UA"/>
        </w:rPr>
      </w:pPr>
      <w:r w:rsidRPr="003B7129">
        <w:rPr>
          <w:b/>
          <w:sz w:val="27"/>
          <w:szCs w:val="27"/>
        </w:rPr>
        <w:t xml:space="preserve">ВПЛИВ  </w:t>
      </w:r>
      <w:r w:rsidRPr="003B7129">
        <w:rPr>
          <w:b/>
          <w:sz w:val="27"/>
          <w:szCs w:val="27"/>
          <w:lang w:val="uk-UA"/>
        </w:rPr>
        <w:t xml:space="preserve">ІМУНОМОДЕЛЮЮЧОЇ ТЕРАПІЇ </w:t>
      </w:r>
      <w:r w:rsidRPr="003B7129">
        <w:rPr>
          <w:b/>
          <w:sz w:val="27"/>
          <w:szCs w:val="27"/>
        </w:rPr>
        <w:t xml:space="preserve">НА </w:t>
      </w:r>
      <w:r w:rsidRPr="003B7129">
        <w:rPr>
          <w:b/>
          <w:sz w:val="27"/>
          <w:szCs w:val="27"/>
          <w:lang w:val="uk-UA"/>
        </w:rPr>
        <w:t xml:space="preserve">СТАН СПЕЦИФІЧНОГО </w:t>
      </w:r>
      <w:proofErr w:type="gramStart"/>
      <w:r w:rsidRPr="003B7129">
        <w:rPr>
          <w:b/>
          <w:sz w:val="27"/>
          <w:szCs w:val="27"/>
          <w:lang w:val="uk-UA"/>
        </w:rPr>
        <w:t>ГУМОРАЛЬНОГО</w:t>
      </w:r>
      <w:proofErr w:type="gramEnd"/>
      <w:r w:rsidRPr="003B7129">
        <w:rPr>
          <w:b/>
          <w:sz w:val="27"/>
          <w:szCs w:val="27"/>
          <w:lang w:val="uk-UA"/>
        </w:rPr>
        <w:t xml:space="preserve"> ІМУНІТЕТУ ПРИ ПРОГРЕСУВАННІ ХРОНІЧНОЇ ХВОРОБИ НИРОК  У ХВОРИХ НА ІХС</w:t>
      </w:r>
    </w:p>
    <w:p w:rsidR="000F1150" w:rsidRPr="00105DE9" w:rsidRDefault="000F1150" w:rsidP="00CA21E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Павлова</w:t>
      </w:r>
      <w:r w:rsidR="00105DE9">
        <w:rPr>
          <w:sz w:val="28"/>
          <w:szCs w:val="28"/>
        </w:rPr>
        <w:t xml:space="preserve"> О.О.</w:t>
      </w:r>
    </w:p>
    <w:p w:rsidR="00FF3D03" w:rsidRPr="00FF3D03" w:rsidRDefault="00FF3D03" w:rsidP="00105DE9">
      <w:pPr>
        <w:spacing w:line="360" w:lineRule="auto"/>
        <w:jc w:val="center"/>
        <w:rPr>
          <w:sz w:val="28"/>
          <w:szCs w:val="28"/>
        </w:rPr>
      </w:pPr>
      <w:proofErr w:type="spellStart"/>
      <w:r w:rsidRPr="00FF3D03">
        <w:rPr>
          <w:sz w:val="28"/>
          <w:szCs w:val="28"/>
        </w:rPr>
        <w:t>Харківський</w:t>
      </w:r>
      <w:proofErr w:type="spellEnd"/>
      <w:r w:rsidRPr="00FF3D03">
        <w:rPr>
          <w:sz w:val="28"/>
          <w:szCs w:val="28"/>
        </w:rPr>
        <w:t xml:space="preserve"> </w:t>
      </w:r>
      <w:proofErr w:type="spellStart"/>
      <w:r w:rsidRPr="00FF3D03">
        <w:rPr>
          <w:sz w:val="28"/>
          <w:szCs w:val="28"/>
        </w:rPr>
        <w:t>національний</w:t>
      </w:r>
      <w:proofErr w:type="spellEnd"/>
      <w:r w:rsidRPr="00FF3D03">
        <w:rPr>
          <w:sz w:val="28"/>
          <w:szCs w:val="28"/>
        </w:rPr>
        <w:t xml:space="preserve"> </w:t>
      </w:r>
      <w:proofErr w:type="spellStart"/>
      <w:r w:rsidRPr="00FF3D03">
        <w:rPr>
          <w:sz w:val="28"/>
          <w:szCs w:val="28"/>
        </w:rPr>
        <w:t>медичний</w:t>
      </w:r>
      <w:proofErr w:type="spellEnd"/>
      <w:r w:rsidRPr="00FF3D03">
        <w:rPr>
          <w:sz w:val="28"/>
          <w:szCs w:val="28"/>
        </w:rPr>
        <w:t xml:space="preserve"> </w:t>
      </w:r>
      <w:proofErr w:type="spellStart"/>
      <w:r w:rsidRPr="00FF3D03">
        <w:rPr>
          <w:sz w:val="28"/>
          <w:szCs w:val="28"/>
        </w:rPr>
        <w:t>університет</w:t>
      </w:r>
      <w:proofErr w:type="spellEnd"/>
      <w:r w:rsidRPr="00FF3D03">
        <w:rPr>
          <w:sz w:val="28"/>
          <w:szCs w:val="28"/>
        </w:rPr>
        <w:t xml:space="preserve">, </w:t>
      </w:r>
      <w:proofErr w:type="spellStart"/>
      <w:r w:rsidRPr="00FF3D03">
        <w:rPr>
          <w:sz w:val="28"/>
          <w:szCs w:val="28"/>
        </w:rPr>
        <w:t>Харків</w:t>
      </w:r>
      <w:proofErr w:type="spellEnd"/>
      <w:r w:rsidRPr="00FF3D03">
        <w:rPr>
          <w:sz w:val="28"/>
          <w:szCs w:val="28"/>
        </w:rPr>
        <w:t xml:space="preserve">, </w:t>
      </w:r>
      <w:proofErr w:type="spellStart"/>
      <w:r w:rsidRPr="00FF3D03">
        <w:rPr>
          <w:sz w:val="28"/>
          <w:szCs w:val="28"/>
        </w:rPr>
        <w:t>Україна</w:t>
      </w:r>
      <w:proofErr w:type="spellEnd"/>
    </w:p>
    <w:p w:rsidR="00105DE9" w:rsidRDefault="000B6949" w:rsidP="00105DE9">
      <w:pPr>
        <w:spacing w:line="360" w:lineRule="auto"/>
        <w:jc w:val="center"/>
        <w:rPr>
          <w:sz w:val="28"/>
          <w:szCs w:val="28"/>
          <w:lang w:val="uk-UA"/>
        </w:rPr>
      </w:pPr>
      <w:hyperlink r:id="rId8" w:history="1">
        <w:r w:rsidR="00105DE9" w:rsidRPr="00A224B2">
          <w:rPr>
            <w:rStyle w:val="a8"/>
            <w:sz w:val="28"/>
            <w:szCs w:val="28"/>
            <w:lang w:val="en-US"/>
          </w:rPr>
          <w:t>yealpavlova</w:t>
        </w:r>
        <w:r w:rsidR="00105DE9" w:rsidRPr="007F7391">
          <w:rPr>
            <w:rStyle w:val="a8"/>
            <w:sz w:val="28"/>
            <w:szCs w:val="28"/>
          </w:rPr>
          <w:t>@</w:t>
        </w:r>
        <w:r w:rsidR="00105DE9" w:rsidRPr="00A224B2">
          <w:rPr>
            <w:rStyle w:val="a8"/>
            <w:sz w:val="28"/>
            <w:szCs w:val="28"/>
            <w:lang w:val="en-US"/>
          </w:rPr>
          <w:t>gmail</w:t>
        </w:r>
        <w:r w:rsidR="00105DE9" w:rsidRPr="007F7391">
          <w:rPr>
            <w:rStyle w:val="a8"/>
            <w:sz w:val="28"/>
            <w:szCs w:val="28"/>
          </w:rPr>
          <w:t>.</w:t>
        </w:r>
        <w:r w:rsidR="00105DE9" w:rsidRPr="00A224B2">
          <w:rPr>
            <w:rStyle w:val="a8"/>
            <w:sz w:val="28"/>
            <w:szCs w:val="28"/>
            <w:lang w:val="en-US"/>
          </w:rPr>
          <w:t>com</w:t>
        </w:r>
      </w:hyperlink>
    </w:p>
    <w:p w:rsidR="00E80E50" w:rsidRPr="00E80E50" w:rsidRDefault="00EE0F60" w:rsidP="00E80E50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 w:rsidRPr="00105DE9">
        <w:rPr>
          <w:sz w:val="28"/>
          <w:szCs w:val="28"/>
        </w:rPr>
        <w:t xml:space="preserve"> </w:t>
      </w:r>
      <w:r w:rsidR="0064629D" w:rsidRPr="00105DE9">
        <w:rPr>
          <w:sz w:val="28"/>
          <w:szCs w:val="28"/>
        </w:rPr>
        <w:tab/>
      </w:r>
      <w:proofErr w:type="spellStart"/>
      <w:r w:rsidR="00E80E50" w:rsidRPr="00E80E50">
        <w:rPr>
          <w:sz w:val="28"/>
          <w:szCs w:val="28"/>
        </w:rPr>
        <w:t>Відповідно</w:t>
      </w:r>
      <w:proofErr w:type="spellEnd"/>
      <w:r w:rsidR="00E80E50" w:rsidRPr="00E80E50">
        <w:rPr>
          <w:sz w:val="28"/>
          <w:szCs w:val="28"/>
        </w:rPr>
        <w:t xml:space="preserve"> до </w:t>
      </w:r>
      <w:proofErr w:type="spellStart"/>
      <w:r w:rsidR="00E80E50" w:rsidRPr="00E80E50">
        <w:rPr>
          <w:sz w:val="28"/>
          <w:szCs w:val="28"/>
        </w:rPr>
        <w:t>сучасних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уявлень</w:t>
      </w:r>
      <w:proofErr w:type="spellEnd"/>
      <w:r w:rsidR="00E80E50">
        <w:rPr>
          <w:sz w:val="28"/>
          <w:szCs w:val="28"/>
        </w:rPr>
        <w:t xml:space="preserve"> </w:t>
      </w:r>
      <w:proofErr w:type="spellStart"/>
      <w:r w:rsidR="00E80E50">
        <w:rPr>
          <w:sz w:val="28"/>
          <w:szCs w:val="28"/>
        </w:rPr>
        <w:t>зниження</w:t>
      </w:r>
      <w:proofErr w:type="spellEnd"/>
      <w:r w:rsidR="00E80E50">
        <w:rPr>
          <w:sz w:val="28"/>
          <w:szCs w:val="28"/>
        </w:rPr>
        <w:t xml:space="preserve"> </w:t>
      </w:r>
      <w:proofErr w:type="spellStart"/>
      <w:r w:rsidR="00E80E50">
        <w:rPr>
          <w:sz w:val="28"/>
          <w:szCs w:val="28"/>
        </w:rPr>
        <w:t>функції</w:t>
      </w:r>
      <w:proofErr w:type="spellEnd"/>
      <w:r w:rsidR="00E80E50">
        <w:rPr>
          <w:sz w:val="28"/>
          <w:szCs w:val="28"/>
        </w:rPr>
        <w:t xml:space="preserve"> </w:t>
      </w:r>
      <w:proofErr w:type="spellStart"/>
      <w:r w:rsidR="00E80E50">
        <w:rPr>
          <w:sz w:val="28"/>
          <w:szCs w:val="28"/>
        </w:rPr>
        <w:t>нирок</w:t>
      </w:r>
      <w:proofErr w:type="spellEnd"/>
      <w:r w:rsidR="00E80E50" w:rsidRPr="00E80E50">
        <w:rPr>
          <w:sz w:val="28"/>
          <w:szCs w:val="28"/>
        </w:rPr>
        <w:t xml:space="preserve"> є </w:t>
      </w:r>
      <w:proofErr w:type="spellStart"/>
      <w:r w:rsidR="00E80E50" w:rsidRPr="00E80E50">
        <w:rPr>
          <w:sz w:val="28"/>
          <w:szCs w:val="28"/>
        </w:rPr>
        <w:t>важливою</w:t>
      </w:r>
      <w:proofErr w:type="spellEnd"/>
      <w:r w:rsidR="00E80E50" w:rsidRPr="00E80E50">
        <w:rPr>
          <w:sz w:val="28"/>
          <w:szCs w:val="28"/>
        </w:rPr>
        <w:t xml:space="preserve"> причиною </w:t>
      </w:r>
      <w:proofErr w:type="spellStart"/>
      <w:r w:rsidR="00E80E50" w:rsidRPr="00E80E50">
        <w:rPr>
          <w:sz w:val="28"/>
          <w:szCs w:val="28"/>
        </w:rPr>
        <w:t>прискореного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розвитку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патологічних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змін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серцево-судинної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системи</w:t>
      </w:r>
      <w:proofErr w:type="spellEnd"/>
      <w:r w:rsidR="00E80E50" w:rsidRPr="00E80E50">
        <w:rPr>
          <w:sz w:val="28"/>
          <w:szCs w:val="28"/>
        </w:rPr>
        <w:t xml:space="preserve">, </w:t>
      </w:r>
      <w:proofErr w:type="spellStart"/>
      <w:r w:rsidR="00E80E50" w:rsidRPr="00E80E50">
        <w:rPr>
          <w:sz w:val="28"/>
          <w:szCs w:val="28"/>
        </w:rPr>
        <w:t>що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обумовлено</w:t>
      </w:r>
      <w:proofErr w:type="spellEnd"/>
      <w:r w:rsidR="00E80E50" w:rsidRPr="00E80E50">
        <w:rPr>
          <w:sz w:val="28"/>
          <w:szCs w:val="28"/>
        </w:rPr>
        <w:t xml:space="preserve"> рядом </w:t>
      </w:r>
      <w:proofErr w:type="spellStart"/>
      <w:r w:rsidR="00E80E50" w:rsidRPr="00E80E50">
        <w:rPr>
          <w:sz w:val="28"/>
          <w:szCs w:val="28"/>
        </w:rPr>
        <w:t>метаболі</w:t>
      </w:r>
      <w:r w:rsidR="00E80E50">
        <w:rPr>
          <w:sz w:val="28"/>
          <w:szCs w:val="28"/>
        </w:rPr>
        <w:t>чних</w:t>
      </w:r>
      <w:proofErr w:type="spellEnd"/>
      <w:r w:rsidR="00E80E50">
        <w:rPr>
          <w:sz w:val="28"/>
          <w:szCs w:val="28"/>
        </w:rPr>
        <w:t xml:space="preserve"> та </w:t>
      </w:r>
      <w:proofErr w:type="spellStart"/>
      <w:r w:rsidR="00E80E50">
        <w:rPr>
          <w:sz w:val="28"/>
          <w:szCs w:val="28"/>
        </w:rPr>
        <w:t>гемодинамічних</w:t>
      </w:r>
      <w:proofErr w:type="spellEnd"/>
      <w:r w:rsidR="00E80E50">
        <w:rPr>
          <w:sz w:val="28"/>
          <w:szCs w:val="28"/>
        </w:rPr>
        <w:t xml:space="preserve"> </w:t>
      </w:r>
      <w:proofErr w:type="spellStart"/>
      <w:r w:rsidR="00E80E50">
        <w:rPr>
          <w:sz w:val="28"/>
          <w:szCs w:val="28"/>
        </w:rPr>
        <w:t>порушень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які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розвиваються</w:t>
      </w:r>
      <w:proofErr w:type="spellEnd"/>
      <w:r w:rsidR="00E80E50" w:rsidRPr="00E80E50">
        <w:rPr>
          <w:sz w:val="28"/>
          <w:szCs w:val="28"/>
        </w:rPr>
        <w:t xml:space="preserve"> у </w:t>
      </w:r>
      <w:proofErr w:type="spellStart"/>
      <w:r w:rsidR="00E80E50" w:rsidRPr="00E80E50">
        <w:rPr>
          <w:sz w:val="28"/>
          <w:szCs w:val="28"/>
        </w:rPr>
        <w:t>хворих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зі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зниженою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швидкістю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клубочкової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фільтрації</w:t>
      </w:r>
      <w:proofErr w:type="spellEnd"/>
      <w:r w:rsidR="00E80E50" w:rsidRPr="00E80E50">
        <w:rPr>
          <w:sz w:val="28"/>
          <w:szCs w:val="28"/>
        </w:rPr>
        <w:t xml:space="preserve">, коли на перший план </w:t>
      </w:r>
      <w:proofErr w:type="spellStart"/>
      <w:r w:rsidR="00E80E50" w:rsidRPr="00E80E50">
        <w:rPr>
          <w:sz w:val="28"/>
          <w:szCs w:val="28"/>
        </w:rPr>
        <w:t>виходять</w:t>
      </w:r>
      <w:proofErr w:type="spellEnd"/>
      <w:r w:rsidR="00E80E50" w:rsidRPr="00E80E50">
        <w:rPr>
          <w:sz w:val="28"/>
          <w:szCs w:val="28"/>
        </w:rPr>
        <w:t xml:space="preserve"> «</w:t>
      </w:r>
      <w:proofErr w:type="spellStart"/>
      <w:r w:rsidR="00E80E50" w:rsidRPr="00E80E50">
        <w:rPr>
          <w:sz w:val="28"/>
          <w:szCs w:val="28"/>
        </w:rPr>
        <w:t>ниркові</w:t>
      </w:r>
      <w:proofErr w:type="spellEnd"/>
      <w:r w:rsidR="00E80E50" w:rsidRPr="00E80E50">
        <w:rPr>
          <w:sz w:val="28"/>
          <w:szCs w:val="28"/>
        </w:rPr>
        <w:t xml:space="preserve">» </w:t>
      </w:r>
      <w:proofErr w:type="spellStart"/>
      <w:r w:rsidR="00E80E50">
        <w:rPr>
          <w:sz w:val="28"/>
          <w:szCs w:val="28"/>
        </w:rPr>
        <w:t>фактори</w:t>
      </w:r>
      <w:proofErr w:type="spellEnd"/>
      <w:r w:rsidR="00E80E50">
        <w:rPr>
          <w:sz w:val="28"/>
          <w:szCs w:val="28"/>
        </w:rPr>
        <w:t xml:space="preserve"> </w:t>
      </w:r>
      <w:proofErr w:type="spellStart"/>
      <w:r w:rsidR="00E80E50">
        <w:rPr>
          <w:sz w:val="28"/>
          <w:szCs w:val="28"/>
        </w:rPr>
        <w:t>серцево-судинного</w:t>
      </w:r>
      <w:proofErr w:type="spellEnd"/>
      <w:r w:rsidR="00E80E50">
        <w:rPr>
          <w:sz w:val="28"/>
          <w:szCs w:val="28"/>
        </w:rPr>
        <w:t xml:space="preserve"> </w:t>
      </w:r>
      <w:proofErr w:type="spellStart"/>
      <w:r w:rsidR="00E80E50">
        <w:rPr>
          <w:sz w:val="28"/>
          <w:szCs w:val="28"/>
        </w:rPr>
        <w:t>ризик</w:t>
      </w:r>
      <w:proofErr w:type="spellEnd"/>
      <w:r w:rsidR="00E80E50">
        <w:rPr>
          <w:sz w:val="28"/>
          <w:szCs w:val="28"/>
          <w:lang w:val="uk-UA"/>
        </w:rPr>
        <w:t>у</w:t>
      </w:r>
      <w:r w:rsidR="00E80E50">
        <w:rPr>
          <w:sz w:val="28"/>
          <w:szCs w:val="28"/>
        </w:rPr>
        <w:t xml:space="preserve">: </w:t>
      </w:r>
      <w:proofErr w:type="spellStart"/>
      <w:r w:rsidR="00E80E50">
        <w:rPr>
          <w:sz w:val="28"/>
          <w:szCs w:val="28"/>
        </w:rPr>
        <w:t>альбумінурія</w:t>
      </w:r>
      <w:proofErr w:type="spellEnd"/>
      <w:r w:rsidR="00E80E50">
        <w:rPr>
          <w:sz w:val="28"/>
          <w:szCs w:val="28"/>
        </w:rPr>
        <w:t>/</w:t>
      </w:r>
      <w:proofErr w:type="spellStart"/>
      <w:r w:rsidR="00E80E50" w:rsidRPr="00E80E50">
        <w:rPr>
          <w:sz w:val="28"/>
          <w:szCs w:val="28"/>
        </w:rPr>
        <w:t>протеїнурія</w:t>
      </w:r>
      <w:proofErr w:type="spellEnd"/>
      <w:r w:rsidR="00E80E50" w:rsidRPr="00E80E50">
        <w:rPr>
          <w:sz w:val="28"/>
          <w:szCs w:val="28"/>
        </w:rPr>
        <w:t xml:space="preserve">, </w:t>
      </w:r>
      <w:proofErr w:type="spellStart"/>
      <w:r w:rsidR="00E80E50" w:rsidRPr="00E80E50">
        <w:rPr>
          <w:sz w:val="28"/>
          <w:szCs w:val="28"/>
        </w:rPr>
        <w:t>системне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запалення</w:t>
      </w:r>
      <w:proofErr w:type="spellEnd"/>
      <w:r w:rsidR="00E80E50" w:rsidRPr="00E80E50">
        <w:rPr>
          <w:sz w:val="28"/>
          <w:szCs w:val="28"/>
        </w:rPr>
        <w:t xml:space="preserve">, </w:t>
      </w:r>
      <w:proofErr w:type="spellStart"/>
      <w:r w:rsidR="00E80E50" w:rsidRPr="00E80E50">
        <w:rPr>
          <w:sz w:val="28"/>
          <w:szCs w:val="28"/>
        </w:rPr>
        <w:t>оксидативний</w:t>
      </w:r>
      <w:proofErr w:type="spellEnd"/>
      <w:r w:rsidR="00E80E50" w:rsidRPr="00E80E50">
        <w:rPr>
          <w:sz w:val="28"/>
          <w:szCs w:val="28"/>
        </w:rPr>
        <w:t xml:space="preserve"> </w:t>
      </w:r>
      <w:proofErr w:type="spellStart"/>
      <w:r w:rsidR="00E80E50" w:rsidRPr="00E80E50">
        <w:rPr>
          <w:sz w:val="28"/>
          <w:szCs w:val="28"/>
        </w:rPr>
        <w:t>стрес</w:t>
      </w:r>
      <w:proofErr w:type="spellEnd"/>
      <w:r w:rsidR="00E80E50" w:rsidRPr="00E80E50">
        <w:rPr>
          <w:sz w:val="28"/>
          <w:szCs w:val="28"/>
        </w:rPr>
        <w:t xml:space="preserve"> та </w:t>
      </w:r>
      <w:proofErr w:type="spellStart"/>
      <w:r w:rsidR="00E80E50" w:rsidRPr="00E80E50">
        <w:rPr>
          <w:sz w:val="28"/>
          <w:szCs w:val="28"/>
        </w:rPr>
        <w:t>ін</w:t>
      </w:r>
      <w:proofErr w:type="spellEnd"/>
      <w:r w:rsidR="00E80E50" w:rsidRPr="00E80E50">
        <w:rPr>
          <w:sz w:val="28"/>
          <w:szCs w:val="28"/>
        </w:rPr>
        <w:t>.</w:t>
      </w:r>
      <w:r w:rsidR="00E80E50">
        <w:rPr>
          <w:sz w:val="28"/>
          <w:szCs w:val="28"/>
          <w:lang w:val="uk-UA"/>
        </w:rPr>
        <w:t xml:space="preserve"> </w:t>
      </w:r>
      <w:r w:rsidR="00E80E50" w:rsidRPr="00E80E50">
        <w:rPr>
          <w:color w:val="000000"/>
          <w:sz w:val="28"/>
          <w:szCs w:val="28"/>
          <w:lang w:val="uk-UA"/>
        </w:rPr>
        <w:t>Останнє супро</w:t>
      </w:r>
      <w:r w:rsidR="003B6C66">
        <w:rPr>
          <w:color w:val="000000"/>
          <w:sz w:val="28"/>
          <w:szCs w:val="28"/>
          <w:lang w:val="uk-UA"/>
        </w:rPr>
        <w:t xml:space="preserve">воджується порушенням </w:t>
      </w:r>
      <w:proofErr w:type="spellStart"/>
      <w:r w:rsidR="003B6C66">
        <w:rPr>
          <w:color w:val="000000"/>
          <w:sz w:val="28"/>
          <w:szCs w:val="28"/>
          <w:lang w:val="uk-UA"/>
        </w:rPr>
        <w:t>ефекторної</w:t>
      </w:r>
      <w:proofErr w:type="spellEnd"/>
      <w:r w:rsidR="00E80E50" w:rsidRPr="00E80E50">
        <w:rPr>
          <w:color w:val="000000"/>
          <w:sz w:val="28"/>
          <w:szCs w:val="28"/>
          <w:lang w:val="uk-UA"/>
        </w:rPr>
        <w:t xml:space="preserve"> функцій клітин, міжклітинних взаємодій в динаміці імунної відповіді, що як правило визначає темпи прогресування захворювання [1-5].</w:t>
      </w:r>
    </w:p>
    <w:p w:rsidR="00E80E50" w:rsidRDefault="00E80E50" w:rsidP="00E80E50">
      <w:pPr>
        <w:spacing w:line="360" w:lineRule="auto"/>
        <w:jc w:val="both"/>
        <w:rPr>
          <w:sz w:val="28"/>
          <w:szCs w:val="28"/>
          <w:lang w:val="uk-UA"/>
        </w:rPr>
      </w:pPr>
      <w:r w:rsidRPr="00E80E50">
        <w:rPr>
          <w:color w:val="000000"/>
          <w:sz w:val="28"/>
          <w:szCs w:val="28"/>
        </w:rPr>
        <w:t>  </w:t>
      </w:r>
      <w:r w:rsidRPr="00E80E5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 w:rsidRPr="00E80E50">
        <w:rPr>
          <w:color w:val="000000"/>
          <w:sz w:val="28"/>
          <w:szCs w:val="28"/>
          <w:lang w:val="uk-UA"/>
        </w:rPr>
        <w:t xml:space="preserve">Метою цієї роботи було вивчення впливу </w:t>
      </w:r>
      <w:proofErr w:type="spellStart"/>
      <w:r w:rsidRPr="00E80E50">
        <w:rPr>
          <w:color w:val="000000"/>
          <w:sz w:val="28"/>
          <w:szCs w:val="28"/>
          <w:lang w:val="uk-UA"/>
        </w:rPr>
        <w:t>імуномод</w:t>
      </w:r>
      <w:r>
        <w:rPr>
          <w:color w:val="000000"/>
          <w:sz w:val="28"/>
          <w:szCs w:val="28"/>
          <w:lang w:val="uk-UA"/>
        </w:rPr>
        <w:t>улюючої</w:t>
      </w:r>
      <w:proofErr w:type="spellEnd"/>
      <w:r>
        <w:rPr>
          <w:color w:val="000000"/>
          <w:sz w:val="28"/>
          <w:szCs w:val="28"/>
          <w:lang w:val="uk-UA"/>
        </w:rPr>
        <w:t xml:space="preserve"> терапії на  стан специ</w:t>
      </w:r>
      <w:r w:rsidRPr="00E80E50">
        <w:rPr>
          <w:color w:val="000000"/>
          <w:sz w:val="28"/>
          <w:szCs w:val="28"/>
          <w:lang w:val="uk-UA"/>
        </w:rPr>
        <w:t>фічного гуморального імунітету при пр</w:t>
      </w:r>
      <w:r>
        <w:rPr>
          <w:color w:val="000000"/>
          <w:sz w:val="28"/>
          <w:szCs w:val="28"/>
          <w:lang w:val="uk-UA"/>
        </w:rPr>
        <w:t>огресуванні хронічної хвороби нирок у хворих</w:t>
      </w:r>
      <w:r w:rsidRPr="00E80E50">
        <w:rPr>
          <w:color w:val="000000"/>
          <w:sz w:val="28"/>
          <w:szCs w:val="28"/>
          <w:lang w:val="uk-UA"/>
        </w:rPr>
        <w:t xml:space="preserve"> на І</w:t>
      </w:r>
      <w:r w:rsidR="003B6C66">
        <w:rPr>
          <w:color w:val="000000"/>
          <w:sz w:val="28"/>
          <w:szCs w:val="28"/>
          <w:lang w:val="uk-UA"/>
        </w:rPr>
        <w:t>ХС до та після</w:t>
      </w:r>
      <w:r w:rsidRPr="00E80E50">
        <w:rPr>
          <w:color w:val="000000"/>
          <w:sz w:val="28"/>
          <w:szCs w:val="28"/>
          <w:lang w:val="uk-UA"/>
        </w:rPr>
        <w:t xml:space="preserve"> лікування.</w:t>
      </w:r>
      <w:r w:rsidR="00A84737" w:rsidRPr="00E80E50">
        <w:rPr>
          <w:sz w:val="28"/>
          <w:szCs w:val="28"/>
          <w:lang w:val="uk-UA"/>
        </w:rPr>
        <w:t xml:space="preserve"> </w:t>
      </w:r>
    </w:p>
    <w:p w:rsidR="00FE4402" w:rsidRPr="00FE4402" w:rsidRDefault="00E80E50" w:rsidP="00FE4402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proofErr w:type="gramStart"/>
      <w:r w:rsidRPr="00E80E50">
        <w:rPr>
          <w:b/>
          <w:sz w:val="28"/>
          <w:szCs w:val="28"/>
        </w:rPr>
        <w:t>Матер</w:t>
      </w:r>
      <w:proofErr w:type="gramEnd"/>
      <w:r w:rsidRPr="00E80E50">
        <w:rPr>
          <w:b/>
          <w:sz w:val="28"/>
          <w:szCs w:val="28"/>
        </w:rPr>
        <w:t>іали</w:t>
      </w:r>
      <w:proofErr w:type="spellEnd"/>
      <w:r w:rsidRPr="00E80E50">
        <w:rPr>
          <w:b/>
          <w:sz w:val="28"/>
          <w:szCs w:val="28"/>
        </w:rPr>
        <w:t xml:space="preserve"> та </w:t>
      </w:r>
      <w:proofErr w:type="spellStart"/>
      <w:r w:rsidRPr="00E80E50">
        <w:rPr>
          <w:b/>
          <w:sz w:val="28"/>
          <w:szCs w:val="28"/>
        </w:rPr>
        <w:t>методи</w:t>
      </w:r>
      <w:proofErr w:type="spellEnd"/>
      <w:r w:rsidRPr="00E80E50">
        <w:rPr>
          <w:b/>
          <w:sz w:val="28"/>
          <w:szCs w:val="28"/>
        </w:rPr>
        <w:t>.</w:t>
      </w:r>
      <w:r w:rsidRPr="00E80E50">
        <w:rPr>
          <w:sz w:val="28"/>
          <w:szCs w:val="28"/>
        </w:rPr>
        <w:t xml:space="preserve"> </w:t>
      </w:r>
      <w:proofErr w:type="spellStart"/>
      <w:proofErr w:type="gramStart"/>
      <w:r w:rsidRPr="00E80E50">
        <w:rPr>
          <w:sz w:val="28"/>
          <w:szCs w:val="28"/>
        </w:rPr>
        <w:t>П</w:t>
      </w:r>
      <w:proofErr w:type="gramEnd"/>
      <w:r w:rsidRPr="00E80E50">
        <w:rPr>
          <w:sz w:val="28"/>
          <w:szCs w:val="28"/>
        </w:rPr>
        <w:t>ід</w:t>
      </w:r>
      <w:proofErr w:type="spellEnd"/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спостереженням</w:t>
      </w:r>
      <w:proofErr w:type="spellEnd"/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знаходилися</w:t>
      </w:r>
      <w:proofErr w:type="spellEnd"/>
      <w:r w:rsidRPr="00E80E50">
        <w:rPr>
          <w:sz w:val="28"/>
          <w:szCs w:val="28"/>
        </w:rPr>
        <w:t xml:space="preserve"> 20 </w:t>
      </w:r>
      <w:proofErr w:type="spellStart"/>
      <w:r w:rsidRPr="00E80E50">
        <w:rPr>
          <w:sz w:val="28"/>
          <w:szCs w:val="28"/>
        </w:rPr>
        <w:t>осі</w:t>
      </w:r>
      <w:r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 (35 - 65 </w:t>
      </w:r>
      <w:proofErr w:type="spellStart"/>
      <w:r>
        <w:rPr>
          <w:sz w:val="28"/>
          <w:szCs w:val="28"/>
        </w:rPr>
        <w:t>років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них 10</w:t>
      </w:r>
      <w:r>
        <w:rPr>
          <w:sz w:val="28"/>
          <w:szCs w:val="28"/>
          <w:lang w:val="uk-UA"/>
        </w:rPr>
        <w:t xml:space="preserve"> </w:t>
      </w:r>
      <w:r w:rsidRPr="00E80E50">
        <w:rPr>
          <w:sz w:val="28"/>
          <w:szCs w:val="28"/>
        </w:rPr>
        <w:t>(</w:t>
      </w:r>
      <w:proofErr w:type="spellStart"/>
      <w:r w:rsidRPr="00E80E50">
        <w:rPr>
          <w:sz w:val="28"/>
          <w:szCs w:val="28"/>
        </w:rPr>
        <w:t>група</w:t>
      </w:r>
      <w:proofErr w:type="spellEnd"/>
      <w:r w:rsidRPr="00E80E50">
        <w:rPr>
          <w:sz w:val="28"/>
          <w:szCs w:val="28"/>
        </w:rPr>
        <w:t xml:space="preserve"> А - контроль) - </w:t>
      </w:r>
      <w:proofErr w:type="spellStart"/>
      <w:r w:rsidRPr="00E80E50">
        <w:rPr>
          <w:sz w:val="28"/>
          <w:szCs w:val="28"/>
        </w:rPr>
        <w:t>хворі</w:t>
      </w:r>
      <w:proofErr w:type="spellEnd"/>
      <w:r w:rsidRPr="00E80E50">
        <w:rPr>
          <w:sz w:val="28"/>
          <w:szCs w:val="28"/>
        </w:rPr>
        <w:t xml:space="preserve"> на ІХС,</w:t>
      </w:r>
      <w:r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асоційован</w:t>
      </w:r>
      <w:proofErr w:type="spellEnd"/>
      <w:r>
        <w:rPr>
          <w:sz w:val="28"/>
          <w:szCs w:val="28"/>
          <w:lang w:val="uk-UA"/>
        </w:rPr>
        <w:t>а</w:t>
      </w:r>
      <w:r w:rsidRPr="00E80E50">
        <w:rPr>
          <w:sz w:val="28"/>
          <w:szCs w:val="28"/>
        </w:rPr>
        <w:t xml:space="preserve"> з </w:t>
      </w:r>
      <w:proofErr w:type="spellStart"/>
      <w:r w:rsidRPr="00E80E50">
        <w:rPr>
          <w:sz w:val="28"/>
          <w:szCs w:val="28"/>
        </w:rPr>
        <w:t>гіперт</w:t>
      </w:r>
      <w:r>
        <w:rPr>
          <w:sz w:val="28"/>
          <w:szCs w:val="28"/>
        </w:rPr>
        <w:t>онічн</w:t>
      </w:r>
      <w:r w:rsidR="00FE4402">
        <w:rPr>
          <w:sz w:val="28"/>
          <w:szCs w:val="28"/>
        </w:rPr>
        <w:t>ою</w:t>
      </w:r>
      <w:proofErr w:type="spellEnd"/>
      <w:r w:rsidR="00FE4402">
        <w:rPr>
          <w:sz w:val="28"/>
          <w:szCs w:val="28"/>
        </w:rPr>
        <w:t xml:space="preserve"> хворобою (Г</w:t>
      </w:r>
      <w:r w:rsidR="00FE4402">
        <w:rPr>
          <w:sz w:val="28"/>
          <w:szCs w:val="28"/>
          <w:lang w:val="uk-UA"/>
        </w:rPr>
        <w:t>Х</w:t>
      </w:r>
      <w:r w:rsidR="003B6C66">
        <w:rPr>
          <w:sz w:val="28"/>
          <w:szCs w:val="28"/>
        </w:rPr>
        <w:t>) II ст.,</w:t>
      </w:r>
      <w:r>
        <w:rPr>
          <w:sz w:val="28"/>
          <w:szCs w:val="28"/>
          <w:lang w:val="uk-UA"/>
        </w:rPr>
        <w:t>с</w:t>
      </w:r>
      <w:proofErr w:type="spellStart"/>
      <w:r w:rsidRPr="00E80E50">
        <w:rPr>
          <w:sz w:val="28"/>
          <w:szCs w:val="28"/>
        </w:rPr>
        <w:t>табі</w:t>
      </w:r>
      <w:r w:rsidR="003B6C66">
        <w:rPr>
          <w:sz w:val="28"/>
          <w:szCs w:val="28"/>
        </w:rPr>
        <w:t>льн</w:t>
      </w:r>
      <w:proofErr w:type="spellEnd"/>
      <w:r w:rsidR="003B6C66">
        <w:rPr>
          <w:sz w:val="28"/>
          <w:szCs w:val="28"/>
          <w:lang w:val="uk-UA"/>
        </w:rPr>
        <w:t>у</w:t>
      </w:r>
      <w:r w:rsidR="003B6C66">
        <w:rPr>
          <w:sz w:val="28"/>
          <w:szCs w:val="28"/>
        </w:rPr>
        <w:t xml:space="preserve"> </w:t>
      </w:r>
      <w:proofErr w:type="spellStart"/>
      <w:r w:rsidR="003B6C66">
        <w:rPr>
          <w:sz w:val="28"/>
          <w:szCs w:val="28"/>
        </w:rPr>
        <w:t>стенокарді</w:t>
      </w:r>
      <w:proofErr w:type="spellEnd"/>
      <w:r w:rsidR="003B6C66"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напруги</w:t>
      </w:r>
      <w:proofErr w:type="spellEnd"/>
      <w:r>
        <w:rPr>
          <w:sz w:val="28"/>
          <w:szCs w:val="28"/>
        </w:rPr>
        <w:t xml:space="preserve"> - 2 -</w:t>
      </w:r>
      <w:r>
        <w:rPr>
          <w:sz w:val="28"/>
          <w:szCs w:val="28"/>
          <w:lang w:val="uk-UA"/>
        </w:rPr>
        <w:t>й</w:t>
      </w:r>
      <w:r w:rsidRPr="00E80E50">
        <w:rPr>
          <w:sz w:val="28"/>
          <w:szCs w:val="28"/>
        </w:rPr>
        <w:t xml:space="preserve"> ФК (</w:t>
      </w:r>
      <w:proofErr w:type="spellStart"/>
      <w:r w:rsidRPr="00E80E50">
        <w:rPr>
          <w:sz w:val="28"/>
          <w:szCs w:val="28"/>
        </w:rPr>
        <w:t>відповідно</w:t>
      </w:r>
      <w:proofErr w:type="spellEnd"/>
      <w:r w:rsidRPr="00E80E50">
        <w:rPr>
          <w:sz w:val="28"/>
          <w:szCs w:val="28"/>
        </w:rPr>
        <w:t xml:space="preserve"> до </w:t>
      </w:r>
      <w:proofErr w:type="spellStart"/>
      <w:r w:rsidRPr="00E80E50">
        <w:rPr>
          <w:sz w:val="28"/>
          <w:szCs w:val="28"/>
        </w:rPr>
        <w:t>критеріїв</w:t>
      </w:r>
      <w:proofErr w:type="spellEnd"/>
      <w:r w:rsidRPr="00E80E50">
        <w:rPr>
          <w:sz w:val="28"/>
          <w:szCs w:val="28"/>
        </w:rPr>
        <w:t xml:space="preserve"> Нью-</w:t>
      </w:r>
      <w:proofErr w:type="spellStart"/>
      <w:r w:rsidRPr="00E80E50">
        <w:rPr>
          <w:sz w:val="28"/>
          <w:szCs w:val="28"/>
        </w:rPr>
        <w:t>Йоркської</w:t>
      </w:r>
      <w:proofErr w:type="spellEnd"/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асоціації</w:t>
      </w:r>
      <w:proofErr w:type="spellEnd"/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кардіологів</w:t>
      </w:r>
      <w:proofErr w:type="spellEnd"/>
      <w:r w:rsidRPr="00E80E50">
        <w:rPr>
          <w:sz w:val="28"/>
          <w:szCs w:val="28"/>
        </w:rPr>
        <w:t xml:space="preserve"> (NYHA)). </w:t>
      </w:r>
      <w:proofErr w:type="spellStart"/>
      <w:r w:rsidRPr="00E80E50">
        <w:rPr>
          <w:sz w:val="28"/>
          <w:szCs w:val="28"/>
        </w:rPr>
        <w:t>Враховували</w:t>
      </w:r>
      <w:proofErr w:type="spellEnd"/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тривалість</w:t>
      </w:r>
      <w:proofErr w:type="spellEnd"/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захворювання</w:t>
      </w:r>
      <w:proofErr w:type="spellEnd"/>
      <w:r w:rsidR="00FE4402">
        <w:rPr>
          <w:sz w:val="28"/>
          <w:szCs w:val="28"/>
          <w:lang w:val="uk-UA"/>
        </w:rPr>
        <w:t xml:space="preserve"> (&gt;</w:t>
      </w:r>
      <w:r w:rsidRPr="00E80E50">
        <w:rPr>
          <w:sz w:val="28"/>
          <w:szCs w:val="28"/>
        </w:rPr>
        <w:t xml:space="preserve">3-х </w:t>
      </w:r>
      <w:proofErr w:type="spellStart"/>
      <w:r w:rsidRPr="00E80E50">
        <w:rPr>
          <w:sz w:val="28"/>
          <w:szCs w:val="28"/>
        </w:rPr>
        <w:t>років</w:t>
      </w:r>
      <w:proofErr w:type="spellEnd"/>
      <w:r w:rsidR="00FE4402">
        <w:rPr>
          <w:sz w:val="28"/>
          <w:szCs w:val="28"/>
          <w:lang w:val="uk-UA"/>
        </w:rPr>
        <w:t>)</w:t>
      </w:r>
      <w:r w:rsidRPr="00E80E50">
        <w:rPr>
          <w:sz w:val="28"/>
          <w:szCs w:val="28"/>
        </w:rPr>
        <w:t xml:space="preserve">, </w:t>
      </w:r>
      <w:proofErr w:type="spellStart"/>
      <w:r w:rsidRPr="00E80E50">
        <w:rPr>
          <w:sz w:val="28"/>
          <w:szCs w:val="28"/>
        </w:rPr>
        <w:t>скарги</w:t>
      </w:r>
      <w:proofErr w:type="spellEnd"/>
      <w:r w:rsidRPr="00E80E50">
        <w:rPr>
          <w:sz w:val="28"/>
          <w:szCs w:val="28"/>
        </w:rPr>
        <w:t xml:space="preserve">, анамнез, </w:t>
      </w:r>
      <w:proofErr w:type="spellStart"/>
      <w:r w:rsidRPr="00E80E50">
        <w:rPr>
          <w:sz w:val="28"/>
          <w:szCs w:val="28"/>
        </w:rPr>
        <w:t>дані</w:t>
      </w:r>
      <w:proofErr w:type="spellEnd"/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об'єктивного</w:t>
      </w:r>
      <w:proofErr w:type="spellEnd"/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огляду</w:t>
      </w:r>
      <w:proofErr w:type="spellEnd"/>
      <w:r w:rsidRPr="00E80E50">
        <w:rPr>
          <w:sz w:val="28"/>
          <w:szCs w:val="28"/>
        </w:rPr>
        <w:t>,</w:t>
      </w:r>
      <w:r w:rsidR="00FE4402">
        <w:rPr>
          <w:sz w:val="28"/>
          <w:szCs w:val="28"/>
        </w:rPr>
        <w:t xml:space="preserve"> (</w:t>
      </w:r>
      <w:proofErr w:type="spellStart"/>
      <w:r w:rsidR="00FE4402">
        <w:rPr>
          <w:sz w:val="28"/>
          <w:szCs w:val="28"/>
        </w:rPr>
        <w:t>група</w:t>
      </w:r>
      <w:proofErr w:type="spellEnd"/>
      <w:r w:rsidR="00FE4402">
        <w:rPr>
          <w:sz w:val="28"/>
          <w:szCs w:val="28"/>
        </w:rPr>
        <w:t xml:space="preserve"> В) - 10 </w:t>
      </w:r>
      <w:proofErr w:type="spellStart"/>
      <w:r w:rsidR="00FE4402">
        <w:rPr>
          <w:sz w:val="28"/>
          <w:szCs w:val="28"/>
        </w:rPr>
        <w:t>хворих</w:t>
      </w:r>
      <w:proofErr w:type="spellEnd"/>
      <w:r w:rsidR="00FE4402">
        <w:rPr>
          <w:sz w:val="28"/>
          <w:szCs w:val="28"/>
        </w:rPr>
        <w:t xml:space="preserve"> (ІХС, </w:t>
      </w:r>
      <w:r w:rsidR="00FE4402">
        <w:rPr>
          <w:sz w:val="28"/>
          <w:szCs w:val="28"/>
          <w:lang w:val="uk-UA"/>
        </w:rPr>
        <w:t>що</w:t>
      </w:r>
      <w:r w:rsidRPr="00E80E50">
        <w:rPr>
          <w:sz w:val="28"/>
          <w:szCs w:val="28"/>
        </w:rPr>
        <w:t xml:space="preserve"> </w:t>
      </w:r>
      <w:proofErr w:type="spellStart"/>
      <w:r w:rsidRPr="00E80E50">
        <w:rPr>
          <w:sz w:val="28"/>
          <w:szCs w:val="28"/>
        </w:rPr>
        <w:t>ассоційована</w:t>
      </w:r>
      <w:proofErr w:type="spellEnd"/>
      <w:r w:rsidRPr="00E80E50">
        <w:rPr>
          <w:sz w:val="28"/>
          <w:szCs w:val="28"/>
        </w:rPr>
        <w:t xml:space="preserve"> з ГХ та ХХН з легким </w:t>
      </w:r>
      <w:proofErr w:type="spellStart"/>
      <w:r w:rsidRPr="00E80E50">
        <w:rPr>
          <w:sz w:val="28"/>
          <w:szCs w:val="28"/>
        </w:rPr>
        <w:t>зниженя</w:t>
      </w:r>
      <w:proofErr w:type="spellEnd"/>
      <w:r w:rsidR="00FE4402">
        <w:rPr>
          <w:sz w:val="28"/>
          <w:szCs w:val="28"/>
          <w:lang w:val="uk-UA"/>
        </w:rPr>
        <w:t>м</w:t>
      </w:r>
      <w:r w:rsidRPr="00E80E50">
        <w:rPr>
          <w:sz w:val="28"/>
          <w:szCs w:val="28"/>
        </w:rPr>
        <w:t xml:space="preserve"> </w:t>
      </w:r>
      <w:r w:rsidR="00FE4402">
        <w:rPr>
          <w:sz w:val="28"/>
          <w:szCs w:val="28"/>
          <w:lang w:val="uk-UA"/>
        </w:rPr>
        <w:t xml:space="preserve">швидкості </w:t>
      </w:r>
      <w:proofErr w:type="spellStart"/>
      <w:r w:rsidR="005A74E1">
        <w:rPr>
          <w:sz w:val="28"/>
          <w:szCs w:val="28"/>
          <w:lang w:val="uk-UA"/>
        </w:rPr>
        <w:t>клуб</w:t>
      </w:r>
      <w:r w:rsidR="00FE4402">
        <w:rPr>
          <w:sz w:val="28"/>
          <w:szCs w:val="28"/>
          <w:lang w:val="uk-UA"/>
        </w:rPr>
        <w:t>очкової</w:t>
      </w:r>
      <w:proofErr w:type="spellEnd"/>
      <w:r w:rsidR="00FE4402">
        <w:rPr>
          <w:sz w:val="28"/>
          <w:szCs w:val="28"/>
          <w:lang w:val="uk-UA"/>
        </w:rPr>
        <w:t xml:space="preserve"> фільтрації (</w:t>
      </w:r>
      <w:r w:rsidRPr="00E80E50">
        <w:rPr>
          <w:sz w:val="28"/>
          <w:szCs w:val="28"/>
        </w:rPr>
        <w:t>ШКФ</w:t>
      </w:r>
      <w:r w:rsidR="00FE4402">
        <w:rPr>
          <w:sz w:val="28"/>
          <w:szCs w:val="28"/>
          <w:lang w:val="uk-UA"/>
        </w:rPr>
        <w:t>)</w:t>
      </w:r>
      <w:r w:rsidRPr="00E80E50">
        <w:rPr>
          <w:sz w:val="28"/>
          <w:szCs w:val="28"/>
        </w:rPr>
        <w:t xml:space="preserve"> (60-89мл / </w:t>
      </w:r>
      <w:proofErr w:type="spellStart"/>
      <w:r w:rsidRPr="00E80E50">
        <w:rPr>
          <w:sz w:val="28"/>
          <w:szCs w:val="28"/>
        </w:rPr>
        <w:t>хв</w:t>
      </w:r>
      <w:proofErr w:type="spellEnd"/>
      <w:r w:rsidRPr="00E80E50">
        <w:rPr>
          <w:sz w:val="28"/>
          <w:szCs w:val="28"/>
        </w:rPr>
        <w:t xml:space="preserve"> / 1,73м</w:t>
      </w:r>
      <w:proofErr w:type="gramStart"/>
      <w:r w:rsidRPr="00E80E50">
        <w:rPr>
          <w:sz w:val="28"/>
          <w:szCs w:val="28"/>
        </w:rPr>
        <w:t>2</w:t>
      </w:r>
      <w:proofErr w:type="gramEnd"/>
      <w:r w:rsidRPr="00E80E50">
        <w:rPr>
          <w:sz w:val="28"/>
          <w:szCs w:val="28"/>
        </w:rPr>
        <w:t xml:space="preserve">)). </w:t>
      </w:r>
      <w:r w:rsidR="005A74E1">
        <w:rPr>
          <w:sz w:val="28"/>
          <w:szCs w:val="28"/>
        </w:rPr>
        <w:t xml:space="preserve"> </w:t>
      </w:r>
      <w:r w:rsidR="005A74E1">
        <w:rPr>
          <w:sz w:val="28"/>
          <w:szCs w:val="28"/>
          <w:lang w:val="uk-UA"/>
        </w:rPr>
        <w:t>Визначення</w:t>
      </w:r>
      <w:r w:rsidR="00FE4402" w:rsidRPr="00FE4402">
        <w:rPr>
          <w:sz w:val="28"/>
          <w:szCs w:val="28"/>
        </w:rPr>
        <w:t xml:space="preserve"> ШКФ </w:t>
      </w:r>
      <w:r w:rsidR="00BA2BC3" w:rsidRPr="001E4D27">
        <w:rPr>
          <w:rFonts w:eastAsia="Arial"/>
          <w:color w:val="000000"/>
          <w:sz w:val="28"/>
          <w:szCs w:val="28"/>
          <w:lang w:val="uk-UA"/>
        </w:rPr>
        <w:t xml:space="preserve">проводили за допомогою формули D. W. </w:t>
      </w:r>
      <w:proofErr w:type="spellStart"/>
      <w:r w:rsidR="00BA2BC3" w:rsidRPr="001E4D27">
        <w:rPr>
          <w:rFonts w:eastAsia="Arial"/>
          <w:color w:val="000000"/>
          <w:sz w:val="28"/>
          <w:szCs w:val="28"/>
          <w:lang w:val="uk-UA"/>
        </w:rPr>
        <w:t>Coccroft</w:t>
      </w:r>
      <w:proofErr w:type="spellEnd"/>
      <w:r w:rsidR="00BA2BC3" w:rsidRPr="001E4D27">
        <w:rPr>
          <w:rFonts w:eastAsia="Arial"/>
          <w:color w:val="000000"/>
          <w:sz w:val="28"/>
          <w:szCs w:val="28"/>
          <w:lang w:val="uk-UA"/>
        </w:rPr>
        <w:t xml:space="preserve"> і M. </w:t>
      </w:r>
      <w:r w:rsidR="00BA2BC3">
        <w:rPr>
          <w:rFonts w:eastAsia="Arial"/>
          <w:color w:val="000000"/>
          <w:sz w:val="28"/>
          <w:szCs w:val="28"/>
          <w:lang w:val="uk-UA"/>
        </w:rPr>
        <w:t xml:space="preserve">Н. </w:t>
      </w:r>
      <w:proofErr w:type="spellStart"/>
      <w:r w:rsidR="00BA2BC3">
        <w:rPr>
          <w:rFonts w:eastAsia="Arial"/>
          <w:color w:val="000000"/>
          <w:sz w:val="28"/>
          <w:szCs w:val="28"/>
          <w:lang w:val="uk-UA"/>
        </w:rPr>
        <w:t>Gault</w:t>
      </w:r>
      <w:proofErr w:type="spellEnd"/>
      <w:r w:rsidR="00FE4402">
        <w:rPr>
          <w:rFonts w:eastAsia="Arial"/>
          <w:color w:val="000000"/>
          <w:sz w:val="28"/>
          <w:szCs w:val="28"/>
          <w:lang w:val="uk-UA"/>
        </w:rPr>
        <w:t xml:space="preserve">. </w:t>
      </w:r>
      <w:r w:rsidR="00FE4402" w:rsidRPr="00FE4402">
        <w:rPr>
          <w:rFonts w:eastAsia="Arial"/>
          <w:color w:val="000000"/>
          <w:sz w:val="28"/>
          <w:szCs w:val="28"/>
          <w:lang w:val="uk-UA"/>
        </w:rPr>
        <w:t xml:space="preserve">Враховували рівень </w:t>
      </w:r>
      <w:r w:rsidR="005A74E1" w:rsidRPr="005A74E1">
        <w:rPr>
          <w:rFonts w:eastAsia="Arial"/>
          <w:color w:val="000000"/>
          <w:sz w:val="28"/>
          <w:szCs w:val="28"/>
          <w:lang w:val="uk-UA"/>
        </w:rPr>
        <w:t xml:space="preserve">сироваткового </w:t>
      </w:r>
      <w:proofErr w:type="spellStart"/>
      <w:r w:rsidR="005A74E1">
        <w:rPr>
          <w:rFonts w:eastAsia="Arial"/>
          <w:color w:val="000000"/>
          <w:sz w:val="28"/>
          <w:szCs w:val="28"/>
          <w:lang w:val="uk-UA"/>
        </w:rPr>
        <w:t>креатиніну</w:t>
      </w:r>
      <w:proofErr w:type="spellEnd"/>
      <w:r w:rsidR="00FE4402" w:rsidRPr="00FE4402">
        <w:rPr>
          <w:rFonts w:eastAsia="Arial"/>
          <w:color w:val="000000"/>
          <w:sz w:val="28"/>
          <w:szCs w:val="28"/>
          <w:lang w:val="uk-UA"/>
        </w:rPr>
        <w:t>,</w:t>
      </w:r>
      <w:r w:rsidR="005A74E1">
        <w:rPr>
          <w:rFonts w:eastAsia="Arial"/>
          <w:color w:val="000000"/>
          <w:sz w:val="28"/>
          <w:szCs w:val="28"/>
          <w:lang w:val="uk-UA"/>
        </w:rPr>
        <w:t xml:space="preserve"> а також вік, стать, масу тіла</w:t>
      </w:r>
      <w:r w:rsidR="00FE4402" w:rsidRPr="00FE4402">
        <w:rPr>
          <w:rFonts w:eastAsia="Arial"/>
          <w:color w:val="000000"/>
          <w:sz w:val="28"/>
          <w:szCs w:val="28"/>
          <w:lang w:val="uk-UA"/>
        </w:rPr>
        <w:t>. Дослідження проводилися двічі: до і через 10 днів після лікування.</w:t>
      </w:r>
      <w:r w:rsidR="00FE4402">
        <w:rPr>
          <w:rFonts w:eastAsia="Arial"/>
          <w:color w:val="000000"/>
          <w:sz w:val="28"/>
          <w:szCs w:val="28"/>
          <w:lang w:val="uk-UA"/>
        </w:rPr>
        <w:t xml:space="preserve"> </w:t>
      </w:r>
      <w:proofErr w:type="spellStart"/>
      <w:r w:rsidR="00FE4402">
        <w:rPr>
          <w:rFonts w:eastAsia="Arial"/>
          <w:color w:val="000000"/>
          <w:sz w:val="28"/>
          <w:szCs w:val="28"/>
          <w:lang w:val="uk-UA"/>
        </w:rPr>
        <w:t>Імунофено</w:t>
      </w:r>
      <w:r w:rsidR="00FE4402" w:rsidRPr="00FE4402">
        <w:rPr>
          <w:rFonts w:eastAsia="Arial"/>
          <w:color w:val="000000"/>
          <w:sz w:val="28"/>
          <w:szCs w:val="28"/>
          <w:lang w:val="uk-UA"/>
        </w:rPr>
        <w:t>типування</w:t>
      </w:r>
      <w:proofErr w:type="spellEnd"/>
      <w:r w:rsidR="005A74E1">
        <w:rPr>
          <w:rFonts w:eastAsia="Arial"/>
          <w:color w:val="000000"/>
          <w:sz w:val="28"/>
          <w:szCs w:val="28"/>
          <w:lang w:val="uk-UA"/>
        </w:rPr>
        <w:t xml:space="preserve"> </w:t>
      </w:r>
      <w:r w:rsidR="00FE4402" w:rsidRPr="00FE4402">
        <w:rPr>
          <w:rFonts w:eastAsia="Arial"/>
          <w:color w:val="000000"/>
          <w:sz w:val="28"/>
          <w:szCs w:val="28"/>
          <w:lang w:val="uk-UA"/>
        </w:rPr>
        <w:t xml:space="preserve">В-лімфоцитів проводили з використанням </w:t>
      </w:r>
      <w:proofErr w:type="spellStart"/>
      <w:r w:rsidR="00FE4402" w:rsidRPr="00FE4402">
        <w:rPr>
          <w:rFonts w:eastAsia="Arial"/>
          <w:color w:val="000000"/>
          <w:sz w:val="28"/>
          <w:szCs w:val="28"/>
          <w:lang w:val="uk-UA"/>
        </w:rPr>
        <w:lastRenderedPageBreak/>
        <w:t>моноклональних</w:t>
      </w:r>
      <w:proofErr w:type="spellEnd"/>
      <w:r w:rsidR="00FE4402" w:rsidRPr="00FE4402">
        <w:rPr>
          <w:rFonts w:eastAsia="Arial"/>
          <w:color w:val="000000"/>
          <w:sz w:val="28"/>
          <w:szCs w:val="28"/>
          <w:lang w:val="uk-UA"/>
        </w:rPr>
        <w:t xml:space="preserve"> антитіл (</w:t>
      </w:r>
      <w:proofErr w:type="spellStart"/>
      <w:r w:rsidR="00FE4402" w:rsidRPr="00FE4402">
        <w:rPr>
          <w:rFonts w:eastAsia="Arial"/>
          <w:color w:val="000000"/>
          <w:sz w:val="28"/>
          <w:szCs w:val="28"/>
          <w:lang w:val="uk-UA"/>
        </w:rPr>
        <w:t>СD-маркерів</w:t>
      </w:r>
      <w:proofErr w:type="spellEnd"/>
      <w:r w:rsidR="00FE4402" w:rsidRPr="00FE4402">
        <w:rPr>
          <w:rFonts w:eastAsia="Arial"/>
          <w:color w:val="000000"/>
          <w:sz w:val="28"/>
          <w:szCs w:val="28"/>
          <w:lang w:val="uk-UA"/>
        </w:rPr>
        <w:t xml:space="preserve">) до поверхневих антигенів лейкоцитів людини методом </w:t>
      </w:r>
      <w:proofErr w:type="spellStart"/>
      <w:r w:rsidR="00FE4402" w:rsidRPr="00FE4402">
        <w:rPr>
          <w:rFonts w:eastAsia="Arial"/>
          <w:color w:val="000000"/>
          <w:sz w:val="28"/>
          <w:szCs w:val="28"/>
          <w:lang w:val="uk-UA"/>
        </w:rPr>
        <w:t>імунофлуоресцентній</w:t>
      </w:r>
      <w:proofErr w:type="spellEnd"/>
      <w:r w:rsidR="00FE4402" w:rsidRPr="00FE4402">
        <w:rPr>
          <w:rFonts w:eastAsia="Arial"/>
          <w:color w:val="000000"/>
          <w:sz w:val="28"/>
          <w:szCs w:val="28"/>
          <w:lang w:val="uk-UA"/>
        </w:rPr>
        <w:t xml:space="preserve"> мікроскопії (ФМ </w:t>
      </w:r>
      <w:proofErr w:type="spellStart"/>
      <w:r w:rsidR="00FE4402" w:rsidRPr="00FE4402">
        <w:rPr>
          <w:rFonts w:eastAsia="Arial"/>
          <w:color w:val="000000"/>
          <w:sz w:val="28"/>
          <w:szCs w:val="28"/>
          <w:lang w:val="uk-UA"/>
        </w:rPr>
        <w:t>JenaVal</w:t>
      </w:r>
      <w:proofErr w:type="spellEnd"/>
      <w:r w:rsidR="00FE4402" w:rsidRPr="00FE4402">
        <w:rPr>
          <w:rFonts w:eastAsia="Arial"/>
          <w:color w:val="000000"/>
          <w:sz w:val="28"/>
          <w:szCs w:val="28"/>
          <w:lang w:val="uk-UA"/>
        </w:rPr>
        <w:t xml:space="preserve"> (Німеччина)).</w:t>
      </w:r>
      <w:r w:rsidR="000F1150" w:rsidRPr="00FE4402">
        <w:rPr>
          <w:sz w:val="28"/>
          <w:szCs w:val="28"/>
          <w:lang w:val="uk-UA"/>
        </w:rPr>
        <w:t xml:space="preserve"> </w:t>
      </w:r>
      <w:r w:rsidR="00FE4402" w:rsidRPr="00FE4402">
        <w:rPr>
          <w:sz w:val="28"/>
          <w:szCs w:val="28"/>
          <w:lang w:val="uk-UA"/>
        </w:rPr>
        <w:t>Рівень ци</w:t>
      </w:r>
      <w:r w:rsidR="00FE4402">
        <w:rPr>
          <w:sz w:val="28"/>
          <w:szCs w:val="28"/>
          <w:lang w:val="uk-UA"/>
        </w:rPr>
        <w:t>ркулюючих імунних комплексів (ЦІ</w:t>
      </w:r>
      <w:r w:rsidR="00FE4402" w:rsidRPr="00FE4402">
        <w:rPr>
          <w:sz w:val="28"/>
          <w:szCs w:val="28"/>
          <w:lang w:val="uk-UA"/>
        </w:rPr>
        <w:t xml:space="preserve">К) в сироватці крові визначали на спектрофотометрі при довжині хвилі 450 </w:t>
      </w:r>
      <w:proofErr w:type="spellStart"/>
      <w:r w:rsidR="00FE4402" w:rsidRPr="00FE4402">
        <w:rPr>
          <w:sz w:val="28"/>
          <w:szCs w:val="28"/>
          <w:lang w:val="uk-UA"/>
        </w:rPr>
        <w:t>нм</w:t>
      </w:r>
      <w:proofErr w:type="spellEnd"/>
      <w:r w:rsidR="00FE4402" w:rsidRPr="00FE4402">
        <w:rPr>
          <w:sz w:val="28"/>
          <w:szCs w:val="28"/>
          <w:lang w:val="uk-UA"/>
        </w:rPr>
        <w:t xml:space="preserve"> після преципітації 3,5% і 7% розчином </w:t>
      </w:r>
      <w:proofErr w:type="spellStart"/>
      <w:r w:rsidR="00FE4402" w:rsidRPr="00FE4402">
        <w:rPr>
          <w:sz w:val="28"/>
          <w:szCs w:val="28"/>
          <w:lang w:val="uk-UA"/>
        </w:rPr>
        <w:t>поліетиленгліколю</w:t>
      </w:r>
      <w:proofErr w:type="spellEnd"/>
      <w:r w:rsidR="00FE4402" w:rsidRPr="00FE4402">
        <w:rPr>
          <w:sz w:val="28"/>
          <w:szCs w:val="28"/>
          <w:lang w:val="uk-UA"/>
        </w:rPr>
        <w:t xml:space="preserve"> 6000 (за методикою Гриневича Ю.А) [6]. </w:t>
      </w:r>
      <w:r w:rsidR="00FE4402">
        <w:rPr>
          <w:sz w:val="28"/>
          <w:szCs w:val="28"/>
          <w:lang w:val="uk-UA"/>
        </w:rPr>
        <w:t>В</w:t>
      </w:r>
      <w:r w:rsidR="00FE4402" w:rsidRPr="00FE4402">
        <w:rPr>
          <w:sz w:val="28"/>
          <w:szCs w:val="28"/>
          <w:lang w:val="uk-UA"/>
        </w:rPr>
        <w:t>міст</w:t>
      </w:r>
    </w:p>
    <w:p w:rsidR="00FC5CD8" w:rsidRDefault="00FE4402" w:rsidP="00FC5CD8">
      <w:pPr>
        <w:spacing w:line="360" w:lineRule="auto"/>
        <w:jc w:val="both"/>
        <w:rPr>
          <w:sz w:val="28"/>
          <w:szCs w:val="28"/>
          <w:lang w:val="uk-UA"/>
        </w:rPr>
      </w:pPr>
      <w:r w:rsidRPr="00FE4402">
        <w:rPr>
          <w:sz w:val="28"/>
          <w:szCs w:val="28"/>
          <w:lang w:val="uk-UA"/>
        </w:rPr>
        <w:t>сироваткових імуноглобулінів (</w:t>
      </w:r>
      <w:proofErr w:type="spellStart"/>
      <w:r w:rsidRPr="00FE4402">
        <w:rPr>
          <w:sz w:val="28"/>
          <w:szCs w:val="28"/>
        </w:rPr>
        <w:t>IgA</w:t>
      </w:r>
      <w:proofErr w:type="spellEnd"/>
      <w:r w:rsidRPr="00FE4402">
        <w:rPr>
          <w:sz w:val="28"/>
          <w:szCs w:val="28"/>
          <w:lang w:val="uk-UA"/>
        </w:rPr>
        <w:t xml:space="preserve">, </w:t>
      </w:r>
      <w:proofErr w:type="spellStart"/>
      <w:r w:rsidRPr="00FE4402">
        <w:rPr>
          <w:sz w:val="28"/>
          <w:szCs w:val="28"/>
        </w:rPr>
        <w:t>IgM</w:t>
      </w:r>
      <w:proofErr w:type="spellEnd"/>
      <w:r w:rsidRPr="00FE4402">
        <w:rPr>
          <w:sz w:val="28"/>
          <w:szCs w:val="28"/>
          <w:lang w:val="uk-UA"/>
        </w:rPr>
        <w:t xml:space="preserve">, </w:t>
      </w:r>
      <w:proofErr w:type="spellStart"/>
      <w:r w:rsidRPr="00FE4402">
        <w:rPr>
          <w:sz w:val="28"/>
          <w:szCs w:val="28"/>
        </w:rPr>
        <w:t>IgG</w:t>
      </w:r>
      <w:proofErr w:type="spellEnd"/>
      <w:r w:rsidRPr="00FE4402">
        <w:rPr>
          <w:sz w:val="28"/>
          <w:szCs w:val="28"/>
          <w:lang w:val="uk-UA"/>
        </w:rPr>
        <w:t xml:space="preserve">) визначали методом радіальної </w:t>
      </w:r>
      <w:proofErr w:type="spellStart"/>
      <w:r w:rsidRPr="00FE4402">
        <w:rPr>
          <w:sz w:val="28"/>
          <w:szCs w:val="28"/>
          <w:lang w:val="uk-UA"/>
        </w:rPr>
        <w:t>імунодифузії</w:t>
      </w:r>
      <w:proofErr w:type="spellEnd"/>
      <w:r w:rsidRPr="00FE4402">
        <w:rPr>
          <w:sz w:val="28"/>
          <w:szCs w:val="28"/>
          <w:lang w:val="uk-UA"/>
        </w:rPr>
        <w:t xml:space="preserve"> в гелі по </w:t>
      </w:r>
      <w:r w:rsidRPr="00FE4402">
        <w:rPr>
          <w:sz w:val="28"/>
          <w:szCs w:val="28"/>
        </w:rPr>
        <w:t>G</w:t>
      </w:r>
      <w:r w:rsidRPr="00FE4402">
        <w:rPr>
          <w:sz w:val="28"/>
          <w:szCs w:val="28"/>
          <w:lang w:val="uk-UA"/>
        </w:rPr>
        <w:t xml:space="preserve">. </w:t>
      </w:r>
      <w:proofErr w:type="spellStart"/>
      <w:r w:rsidRPr="00FE4402">
        <w:rPr>
          <w:sz w:val="28"/>
          <w:szCs w:val="28"/>
        </w:rPr>
        <w:t>Manchini</w:t>
      </w:r>
      <w:proofErr w:type="spellEnd"/>
      <w:r w:rsidRPr="00FE4402">
        <w:rPr>
          <w:sz w:val="28"/>
          <w:szCs w:val="28"/>
          <w:lang w:val="uk-UA"/>
        </w:rPr>
        <w:t xml:space="preserve"> з використанн</w:t>
      </w:r>
      <w:r w:rsidRPr="00FC5CD8">
        <w:rPr>
          <w:sz w:val="28"/>
          <w:szCs w:val="28"/>
          <w:lang w:val="uk-UA"/>
        </w:rPr>
        <w:t xml:space="preserve">ям наборів </w:t>
      </w:r>
      <w:proofErr w:type="spellStart"/>
      <w:r w:rsidRPr="00FC5CD8">
        <w:rPr>
          <w:sz w:val="28"/>
          <w:szCs w:val="28"/>
          <w:lang w:val="uk-UA"/>
        </w:rPr>
        <w:t>моноспеціфіческіх</w:t>
      </w:r>
      <w:proofErr w:type="spellEnd"/>
      <w:r w:rsidRPr="00FC5CD8">
        <w:rPr>
          <w:sz w:val="28"/>
          <w:szCs w:val="28"/>
          <w:lang w:val="uk-UA"/>
        </w:rPr>
        <w:t xml:space="preserve"> </w:t>
      </w:r>
      <w:proofErr w:type="spellStart"/>
      <w:r w:rsidRPr="00FC5CD8">
        <w:rPr>
          <w:sz w:val="28"/>
          <w:szCs w:val="28"/>
          <w:lang w:val="uk-UA"/>
        </w:rPr>
        <w:t>антисироваток</w:t>
      </w:r>
      <w:proofErr w:type="spellEnd"/>
      <w:r w:rsidRPr="00FC5CD8">
        <w:rPr>
          <w:sz w:val="28"/>
          <w:szCs w:val="28"/>
          <w:lang w:val="uk-UA"/>
        </w:rPr>
        <w:t xml:space="preserve"> до імуноглобулінів </w:t>
      </w:r>
      <w:proofErr w:type="gramStart"/>
      <w:r w:rsidRPr="00FC5CD8">
        <w:rPr>
          <w:sz w:val="28"/>
          <w:szCs w:val="28"/>
          <w:lang w:val="uk-UA"/>
        </w:rPr>
        <w:t>р</w:t>
      </w:r>
      <w:proofErr w:type="gramEnd"/>
      <w:r w:rsidRPr="00FC5CD8">
        <w:rPr>
          <w:sz w:val="28"/>
          <w:szCs w:val="28"/>
          <w:lang w:val="uk-UA"/>
        </w:rPr>
        <w:t>ізних класів.</w:t>
      </w:r>
      <w:r w:rsidR="00FC5CD8">
        <w:rPr>
          <w:sz w:val="28"/>
          <w:szCs w:val="28"/>
          <w:lang w:val="uk-UA"/>
        </w:rPr>
        <w:t xml:space="preserve"> </w:t>
      </w:r>
      <w:r w:rsidR="00FC5CD8" w:rsidRPr="00730EE1">
        <w:rPr>
          <w:sz w:val="28"/>
          <w:szCs w:val="28"/>
          <w:lang w:val="uk-UA"/>
        </w:rPr>
        <w:t>В якості</w:t>
      </w:r>
      <w:r w:rsidR="003B7129">
        <w:rPr>
          <w:sz w:val="28"/>
          <w:szCs w:val="28"/>
          <w:lang w:val="uk-UA"/>
        </w:rPr>
        <w:t xml:space="preserve"> </w:t>
      </w:r>
      <w:proofErr w:type="spellStart"/>
      <w:r w:rsidR="00FC5CD8" w:rsidRPr="00730EE1">
        <w:rPr>
          <w:sz w:val="28"/>
          <w:szCs w:val="28"/>
          <w:lang w:val="uk-UA"/>
        </w:rPr>
        <w:t>иммуномодулятора</w:t>
      </w:r>
      <w:proofErr w:type="spellEnd"/>
      <w:r w:rsidR="005A74E1">
        <w:rPr>
          <w:sz w:val="28"/>
          <w:szCs w:val="28"/>
          <w:lang w:val="uk-UA"/>
        </w:rPr>
        <w:t xml:space="preserve"> </w:t>
      </w:r>
      <w:r w:rsidR="005A74E1" w:rsidRPr="00730EE1">
        <w:rPr>
          <w:sz w:val="28"/>
          <w:szCs w:val="28"/>
          <w:lang w:val="uk-UA"/>
        </w:rPr>
        <w:t>застосовували</w:t>
      </w:r>
      <w:r w:rsidR="00FC5CD8" w:rsidRPr="00730EE1">
        <w:rPr>
          <w:sz w:val="28"/>
          <w:szCs w:val="28"/>
          <w:lang w:val="uk-UA"/>
        </w:rPr>
        <w:t xml:space="preserve"> двічі на день протягом 10 днів</w:t>
      </w:r>
      <w:r w:rsidR="005A74E1">
        <w:rPr>
          <w:sz w:val="28"/>
          <w:szCs w:val="28"/>
          <w:lang w:val="uk-UA"/>
        </w:rPr>
        <w:t xml:space="preserve"> </w:t>
      </w:r>
      <w:r w:rsidR="005A74E1" w:rsidRPr="00730EE1">
        <w:rPr>
          <w:sz w:val="28"/>
          <w:szCs w:val="28"/>
          <w:lang w:val="uk-UA"/>
        </w:rPr>
        <w:t xml:space="preserve">2 </w:t>
      </w:r>
      <w:proofErr w:type="spellStart"/>
      <w:r w:rsidR="005A74E1" w:rsidRPr="00730EE1">
        <w:rPr>
          <w:sz w:val="28"/>
          <w:szCs w:val="28"/>
          <w:lang w:val="uk-UA"/>
        </w:rPr>
        <w:t>мл</w:t>
      </w:r>
      <w:proofErr w:type="spellEnd"/>
      <w:r w:rsidR="00FC5CD8" w:rsidRPr="00730EE1">
        <w:rPr>
          <w:sz w:val="28"/>
          <w:szCs w:val="28"/>
          <w:lang w:val="uk-UA"/>
        </w:rPr>
        <w:t xml:space="preserve"> </w:t>
      </w:r>
      <w:proofErr w:type="spellStart"/>
      <w:r w:rsidR="00FC5CD8" w:rsidRPr="00730EE1">
        <w:rPr>
          <w:sz w:val="28"/>
          <w:szCs w:val="28"/>
          <w:lang w:val="uk-UA"/>
        </w:rPr>
        <w:t>внутрішньом'язово</w:t>
      </w:r>
      <w:proofErr w:type="spellEnd"/>
      <w:r w:rsidR="00FC5CD8" w:rsidRPr="00730EE1">
        <w:rPr>
          <w:sz w:val="28"/>
          <w:szCs w:val="28"/>
          <w:lang w:val="uk-UA"/>
        </w:rPr>
        <w:t xml:space="preserve"> препарат (</w:t>
      </w:r>
      <w:proofErr w:type="spellStart"/>
      <w:r w:rsidR="00FC5CD8" w:rsidRPr="00730EE1">
        <w:rPr>
          <w:sz w:val="28"/>
          <w:szCs w:val="28"/>
          <w:lang w:val="uk-UA"/>
        </w:rPr>
        <w:t>Ербісол</w:t>
      </w:r>
      <w:proofErr w:type="spellEnd"/>
      <w:r w:rsidR="00FC5CD8" w:rsidRPr="00730EE1">
        <w:rPr>
          <w:sz w:val="28"/>
          <w:szCs w:val="28"/>
          <w:lang w:val="uk-UA"/>
        </w:rPr>
        <w:t>)</w:t>
      </w:r>
      <w:r w:rsidR="00FC5CD8">
        <w:rPr>
          <w:sz w:val="28"/>
          <w:szCs w:val="28"/>
          <w:lang w:val="uk-UA"/>
        </w:rPr>
        <w:t xml:space="preserve">, </w:t>
      </w:r>
      <w:r w:rsidR="00FC5CD8" w:rsidRPr="00730EE1">
        <w:rPr>
          <w:sz w:val="28"/>
          <w:szCs w:val="28"/>
          <w:lang w:val="uk-UA"/>
        </w:rPr>
        <w:t xml:space="preserve">що складається з комплексу природних небілкових низькомолекулярних органічних сполук </w:t>
      </w:r>
      <w:proofErr w:type="spellStart"/>
      <w:r w:rsidR="00FC5CD8" w:rsidRPr="00730EE1">
        <w:rPr>
          <w:sz w:val="28"/>
          <w:szCs w:val="28"/>
          <w:lang w:val="uk-UA"/>
        </w:rPr>
        <w:t>негормогального</w:t>
      </w:r>
      <w:proofErr w:type="spellEnd"/>
      <w:r w:rsidR="00FC5CD8" w:rsidRPr="00730EE1">
        <w:rPr>
          <w:sz w:val="28"/>
          <w:szCs w:val="28"/>
          <w:lang w:val="uk-UA"/>
        </w:rPr>
        <w:t xml:space="preserve"> походження з тваринної ембріональної тканини. </w:t>
      </w:r>
      <w:r w:rsidR="00FC5CD8" w:rsidRPr="009D4DF0">
        <w:rPr>
          <w:sz w:val="28"/>
          <w:szCs w:val="28"/>
          <w:lang w:val="uk-UA"/>
        </w:rPr>
        <w:t xml:space="preserve">Математичні розрахунки виконані за допомогою пакету </w:t>
      </w:r>
      <w:r w:rsidR="00FC5CD8" w:rsidRPr="00FC5CD8">
        <w:rPr>
          <w:sz w:val="28"/>
          <w:szCs w:val="28"/>
        </w:rPr>
        <w:t>STATISTICA</w:t>
      </w:r>
      <w:r w:rsidR="00FC5CD8" w:rsidRPr="009D4DF0">
        <w:rPr>
          <w:sz w:val="28"/>
          <w:szCs w:val="28"/>
          <w:lang w:val="uk-UA"/>
        </w:rPr>
        <w:t xml:space="preserve"> </w:t>
      </w:r>
      <w:r w:rsidR="00FC5CD8" w:rsidRPr="00FC5CD8">
        <w:rPr>
          <w:sz w:val="28"/>
          <w:szCs w:val="28"/>
        </w:rPr>
        <w:t>v</w:t>
      </w:r>
      <w:r w:rsidR="00FC5CD8" w:rsidRPr="009D4DF0">
        <w:rPr>
          <w:sz w:val="28"/>
          <w:szCs w:val="28"/>
          <w:lang w:val="uk-UA"/>
        </w:rPr>
        <w:t xml:space="preserve">.6.0 (компанія </w:t>
      </w:r>
      <w:proofErr w:type="spellStart"/>
      <w:r w:rsidR="00FC5CD8" w:rsidRPr="00FC5CD8">
        <w:rPr>
          <w:sz w:val="28"/>
          <w:szCs w:val="28"/>
        </w:rPr>
        <w:t>StatSoft</w:t>
      </w:r>
      <w:proofErr w:type="spellEnd"/>
      <w:r w:rsidR="00FC5CD8" w:rsidRPr="009D4DF0">
        <w:rPr>
          <w:sz w:val="28"/>
          <w:szCs w:val="28"/>
          <w:lang w:val="uk-UA"/>
        </w:rPr>
        <w:t xml:space="preserve">, </w:t>
      </w:r>
      <w:proofErr w:type="spellStart"/>
      <w:r w:rsidR="00FC5CD8" w:rsidRPr="00FC5CD8">
        <w:rPr>
          <w:sz w:val="28"/>
          <w:szCs w:val="28"/>
        </w:rPr>
        <w:t>Inc</w:t>
      </w:r>
      <w:proofErr w:type="spellEnd"/>
      <w:r w:rsidR="00FC5CD8" w:rsidRPr="009D4DF0">
        <w:rPr>
          <w:sz w:val="28"/>
          <w:szCs w:val="28"/>
          <w:lang w:val="uk-UA"/>
        </w:rPr>
        <w:t xml:space="preserve"> ®) [7].</w:t>
      </w:r>
    </w:p>
    <w:p w:rsidR="00105DE9" w:rsidRDefault="00FC5CD8" w:rsidP="00FC5CD8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FC5CD8">
        <w:rPr>
          <w:b/>
          <w:sz w:val="28"/>
          <w:szCs w:val="28"/>
        </w:rPr>
        <w:t>Результати</w:t>
      </w:r>
      <w:proofErr w:type="spellEnd"/>
      <w:r w:rsidRPr="00FC5CD8">
        <w:rPr>
          <w:b/>
          <w:sz w:val="28"/>
          <w:szCs w:val="28"/>
        </w:rPr>
        <w:t xml:space="preserve"> </w:t>
      </w:r>
      <w:proofErr w:type="spellStart"/>
      <w:proofErr w:type="gramStart"/>
      <w:r w:rsidRPr="00FC5CD8">
        <w:rPr>
          <w:b/>
          <w:sz w:val="28"/>
          <w:szCs w:val="28"/>
        </w:rPr>
        <w:t>досл</w:t>
      </w:r>
      <w:proofErr w:type="gramEnd"/>
      <w:r w:rsidRPr="00FC5CD8">
        <w:rPr>
          <w:b/>
          <w:sz w:val="28"/>
          <w:szCs w:val="28"/>
        </w:rPr>
        <w:t>іджень</w:t>
      </w:r>
      <w:proofErr w:type="spellEnd"/>
      <w:r w:rsidRPr="00FC5CD8">
        <w:rPr>
          <w:b/>
          <w:sz w:val="28"/>
          <w:szCs w:val="28"/>
        </w:rPr>
        <w:t xml:space="preserve"> та </w:t>
      </w:r>
      <w:proofErr w:type="spellStart"/>
      <w:r w:rsidRPr="00FC5CD8">
        <w:rPr>
          <w:b/>
          <w:sz w:val="28"/>
          <w:szCs w:val="28"/>
        </w:rPr>
        <w:t>їх</w:t>
      </w:r>
      <w:proofErr w:type="spellEnd"/>
      <w:r w:rsidRPr="00FC5CD8">
        <w:rPr>
          <w:b/>
          <w:sz w:val="28"/>
          <w:szCs w:val="28"/>
        </w:rPr>
        <w:t xml:space="preserve"> </w:t>
      </w:r>
      <w:proofErr w:type="spellStart"/>
      <w:r w:rsidRPr="00FC5CD8">
        <w:rPr>
          <w:b/>
          <w:sz w:val="28"/>
          <w:szCs w:val="28"/>
        </w:rPr>
        <w:t>обговорення</w:t>
      </w:r>
      <w:proofErr w:type="spellEnd"/>
      <w:r w:rsidRPr="00FC5CD8">
        <w:rPr>
          <w:b/>
          <w:sz w:val="28"/>
          <w:szCs w:val="28"/>
        </w:rPr>
        <w:t xml:space="preserve">. </w:t>
      </w:r>
      <w:proofErr w:type="spellStart"/>
      <w:r w:rsidRPr="00FC5CD8">
        <w:rPr>
          <w:sz w:val="28"/>
          <w:szCs w:val="28"/>
        </w:rPr>
        <w:t>Відомо</w:t>
      </w:r>
      <w:proofErr w:type="spellEnd"/>
      <w:r w:rsidRPr="00FC5CD8">
        <w:rPr>
          <w:sz w:val="28"/>
          <w:szCs w:val="28"/>
        </w:rPr>
        <w:t xml:space="preserve">, </w:t>
      </w:r>
      <w:proofErr w:type="spellStart"/>
      <w:r w:rsidRPr="00FC5CD8">
        <w:rPr>
          <w:sz w:val="28"/>
          <w:szCs w:val="28"/>
        </w:rPr>
        <w:t>що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завершальним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етапом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гуморальн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FC5CD8">
        <w:rPr>
          <w:sz w:val="28"/>
          <w:szCs w:val="28"/>
        </w:rPr>
        <w:t>імунних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реакцій</w:t>
      </w:r>
      <w:proofErr w:type="spellEnd"/>
      <w:r w:rsidRPr="00FC5CD8">
        <w:rPr>
          <w:sz w:val="28"/>
          <w:szCs w:val="28"/>
        </w:rPr>
        <w:t xml:space="preserve"> є синтез </w:t>
      </w:r>
      <w:proofErr w:type="spellStart"/>
      <w:r w:rsidRPr="00FC5CD8">
        <w:rPr>
          <w:sz w:val="28"/>
          <w:szCs w:val="28"/>
        </w:rPr>
        <w:t>специфічних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антитіл</w:t>
      </w:r>
      <w:proofErr w:type="spellEnd"/>
      <w:r w:rsidRPr="00FC5CD8">
        <w:rPr>
          <w:sz w:val="28"/>
          <w:szCs w:val="28"/>
        </w:rPr>
        <w:t xml:space="preserve">. </w:t>
      </w:r>
      <w:proofErr w:type="spellStart"/>
      <w:r w:rsidRPr="00FC5CD8">
        <w:rPr>
          <w:sz w:val="28"/>
          <w:szCs w:val="28"/>
        </w:rPr>
        <w:t>Аналіз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показників</w:t>
      </w:r>
      <w:proofErr w:type="spellEnd"/>
      <w:r w:rsidRPr="00FC5CD8">
        <w:rPr>
          <w:sz w:val="28"/>
          <w:szCs w:val="28"/>
        </w:rPr>
        <w:t xml:space="preserve"> гуморального </w:t>
      </w:r>
      <w:proofErr w:type="spellStart"/>
      <w:r w:rsidRPr="00FC5CD8">
        <w:rPr>
          <w:sz w:val="28"/>
          <w:szCs w:val="28"/>
        </w:rPr>
        <w:t>специфічного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імунітету</w:t>
      </w:r>
      <w:proofErr w:type="spellEnd"/>
      <w:r w:rsidRPr="00FC5CD8">
        <w:rPr>
          <w:sz w:val="28"/>
          <w:szCs w:val="28"/>
        </w:rPr>
        <w:t xml:space="preserve"> у </w:t>
      </w:r>
      <w:proofErr w:type="spellStart"/>
      <w:r w:rsidRPr="00FC5CD8">
        <w:rPr>
          <w:sz w:val="28"/>
          <w:szCs w:val="28"/>
        </w:rPr>
        <w:t>хворих</w:t>
      </w:r>
      <w:proofErr w:type="spellEnd"/>
      <w:r w:rsidRPr="00FC5CD8">
        <w:rPr>
          <w:sz w:val="28"/>
          <w:szCs w:val="28"/>
        </w:rPr>
        <w:t xml:space="preserve"> показав, </w:t>
      </w:r>
      <w:proofErr w:type="spellStart"/>
      <w:r w:rsidRPr="00FC5CD8">
        <w:rPr>
          <w:sz w:val="28"/>
          <w:szCs w:val="28"/>
        </w:rPr>
        <w:t>що</w:t>
      </w:r>
      <w:proofErr w:type="spellEnd"/>
      <w:r w:rsidRPr="00FC5CD8">
        <w:rPr>
          <w:sz w:val="28"/>
          <w:szCs w:val="28"/>
        </w:rPr>
        <w:t xml:space="preserve"> абсолютна </w:t>
      </w:r>
      <w:proofErr w:type="spellStart"/>
      <w:r w:rsidRPr="00FC5CD8">
        <w:rPr>
          <w:sz w:val="28"/>
          <w:szCs w:val="28"/>
        </w:rPr>
        <w:t>кількість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лейкоцитів</w:t>
      </w:r>
      <w:proofErr w:type="spellEnd"/>
      <w:r w:rsidRPr="00FC5CD8">
        <w:rPr>
          <w:sz w:val="28"/>
          <w:szCs w:val="28"/>
        </w:rPr>
        <w:t xml:space="preserve"> (АКС) в </w:t>
      </w:r>
      <w:proofErr w:type="spellStart"/>
      <w:r w:rsidRPr="00FC5CD8">
        <w:rPr>
          <w:sz w:val="28"/>
          <w:szCs w:val="28"/>
        </w:rPr>
        <w:t>крові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хворих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proofErr w:type="gramStart"/>
      <w:r w:rsidRPr="00FC5CD8">
        <w:rPr>
          <w:sz w:val="28"/>
          <w:szCs w:val="28"/>
        </w:rPr>
        <w:t>досл</w:t>
      </w:r>
      <w:proofErr w:type="gramEnd"/>
      <w:r w:rsidRPr="00FC5CD8">
        <w:rPr>
          <w:sz w:val="28"/>
          <w:szCs w:val="28"/>
        </w:rPr>
        <w:t>іджуваної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груп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(ІХС та ХХН) до </w:t>
      </w:r>
      <w:proofErr w:type="spellStart"/>
      <w:r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</w:t>
      </w:r>
      <w:proofErr w:type="spellEnd"/>
      <w:r>
        <w:rPr>
          <w:sz w:val="28"/>
          <w:szCs w:val="28"/>
          <w:lang w:val="uk-UA"/>
        </w:rPr>
        <w:t>а</w:t>
      </w:r>
      <w:r w:rsidRPr="00FC5CD8">
        <w:rPr>
          <w:sz w:val="28"/>
          <w:szCs w:val="28"/>
        </w:rPr>
        <w:t xml:space="preserve"> в 1.18 рази </w:t>
      </w:r>
      <w:proofErr w:type="spellStart"/>
      <w:r w:rsidRPr="00FC5CD8">
        <w:rPr>
          <w:sz w:val="28"/>
          <w:szCs w:val="28"/>
        </w:rPr>
        <w:t>більше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ніж</w:t>
      </w:r>
      <w:proofErr w:type="spellEnd"/>
      <w:r w:rsidRPr="00FC5CD8">
        <w:rPr>
          <w:sz w:val="28"/>
          <w:szCs w:val="28"/>
        </w:rPr>
        <w:t xml:space="preserve"> в </w:t>
      </w:r>
      <w:proofErr w:type="spellStart"/>
      <w:r w:rsidRPr="00FC5CD8">
        <w:rPr>
          <w:sz w:val="28"/>
          <w:szCs w:val="28"/>
        </w:rPr>
        <w:t>групі</w:t>
      </w:r>
      <w:proofErr w:type="spellEnd"/>
      <w:r w:rsidRPr="00FC5CD8">
        <w:rPr>
          <w:sz w:val="28"/>
          <w:szCs w:val="28"/>
        </w:rPr>
        <w:t xml:space="preserve"> контролю (ІХС).</w:t>
      </w:r>
      <w:r>
        <w:rPr>
          <w:sz w:val="28"/>
          <w:szCs w:val="28"/>
          <w:lang w:val="uk-UA"/>
        </w:rPr>
        <w:t xml:space="preserve"> </w:t>
      </w:r>
      <w:r w:rsidRPr="00FC5CD8">
        <w:rPr>
          <w:sz w:val="28"/>
          <w:szCs w:val="28"/>
          <w:lang w:val="uk-UA"/>
        </w:rPr>
        <w:t xml:space="preserve">Після </w:t>
      </w:r>
      <w:proofErr w:type="spellStart"/>
      <w:r w:rsidRPr="00FC5CD8">
        <w:rPr>
          <w:sz w:val="28"/>
          <w:szCs w:val="28"/>
          <w:lang w:val="uk-UA"/>
        </w:rPr>
        <w:t>імуномодулюючої</w:t>
      </w:r>
      <w:proofErr w:type="spellEnd"/>
      <w:r w:rsidRPr="00FC5CD8">
        <w:rPr>
          <w:sz w:val="28"/>
          <w:szCs w:val="28"/>
          <w:lang w:val="uk-UA"/>
        </w:rPr>
        <w:t xml:space="preserve"> терапії відзначалося дост</w:t>
      </w:r>
      <w:r w:rsidR="005A74E1">
        <w:rPr>
          <w:sz w:val="28"/>
          <w:szCs w:val="28"/>
          <w:lang w:val="uk-UA"/>
        </w:rPr>
        <w:t>овірне збільшення АКС в 2,15 (р</w:t>
      </w:r>
      <w:r w:rsidRPr="00FC5CD8">
        <w:rPr>
          <w:sz w:val="28"/>
          <w:szCs w:val="28"/>
          <w:lang w:val="uk-UA"/>
        </w:rPr>
        <w:t>&lt;0,05) рази в по</w:t>
      </w:r>
      <w:r w:rsidR="005A74E1">
        <w:rPr>
          <w:sz w:val="28"/>
          <w:szCs w:val="28"/>
          <w:lang w:val="uk-UA"/>
        </w:rPr>
        <w:t>рівнянні з вихідним і в 2,68 (р</w:t>
      </w:r>
      <w:r w:rsidRPr="00FC5CD8">
        <w:rPr>
          <w:sz w:val="28"/>
          <w:szCs w:val="28"/>
          <w:lang w:val="uk-UA"/>
        </w:rPr>
        <w:t>&lt;0,05) рази - контролем. Кількість С</w:t>
      </w:r>
      <w:r w:rsidRPr="00FC5CD8">
        <w:rPr>
          <w:sz w:val="28"/>
          <w:szCs w:val="28"/>
        </w:rPr>
        <w:t>D</w:t>
      </w:r>
      <w:r>
        <w:rPr>
          <w:sz w:val="28"/>
          <w:szCs w:val="28"/>
          <w:lang w:val="uk-UA"/>
        </w:rPr>
        <w:t>19</w:t>
      </w:r>
      <w:r w:rsidR="005A74E1">
        <w:rPr>
          <w:sz w:val="28"/>
          <w:szCs w:val="28"/>
          <w:lang w:val="uk-UA"/>
        </w:rPr>
        <w:t>+</w:t>
      </w:r>
      <w:r w:rsidRPr="00FC5CD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C5CD8">
        <w:rPr>
          <w:sz w:val="28"/>
          <w:szCs w:val="28"/>
          <w:lang w:val="uk-UA"/>
        </w:rPr>
        <w:t>лімфоцитів в крові хворих дослі</w:t>
      </w:r>
      <w:r>
        <w:rPr>
          <w:sz w:val="28"/>
          <w:szCs w:val="28"/>
          <w:lang w:val="uk-UA"/>
        </w:rPr>
        <w:t>джуваної групи до лікування була</w:t>
      </w:r>
      <w:r w:rsidR="005A74E1">
        <w:rPr>
          <w:sz w:val="28"/>
          <w:szCs w:val="28"/>
          <w:lang w:val="uk-UA"/>
        </w:rPr>
        <w:t xml:space="preserve"> в 1,25 (р</w:t>
      </w:r>
      <w:r w:rsidRPr="00FC5CD8">
        <w:rPr>
          <w:sz w:val="28"/>
          <w:szCs w:val="28"/>
          <w:lang w:val="uk-UA"/>
        </w:rPr>
        <w:t xml:space="preserve">&lt;0,05) рази більше ніж в групі контролю, в той час як після лікування їх кількість дещо зменшувалася, в порівнянні з вихідним значенням, наближаючись, однак не досягаючи контрольного рівня. </w:t>
      </w:r>
      <w:r>
        <w:rPr>
          <w:sz w:val="28"/>
          <w:szCs w:val="28"/>
        </w:rPr>
        <w:t xml:space="preserve">Так, </w:t>
      </w:r>
      <w:r>
        <w:rPr>
          <w:sz w:val="28"/>
          <w:szCs w:val="28"/>
          <w:lang w:val="uk-UA"/>
        </w:rPr>
        <w:t>в</w:t>
      </w:r>
      <w:proofErr w:type="spellStart"/>
      <w:r w:rsidRPr="00FC5CD8">
        <w:rPr>
          <w:sz w:val="28"/>
          <w:szCs w:val="28"/>
        </w:rPr>
        <w:t>мі</w:t>
      </w:r>
      <w:proofErr w:type="gramStart"/>
      <w:r w:rsidRPr="00FC5CD8">
        <w:rPr>
          <w:sz w:val="28"/>
          <w:szCs w:val="28"/>
        </w:rPr>
        <w:t>ст</w:t>
      </w:r>
      <w:proofErr w:type="spellEnd"/>
      <w:proofErr w:type="gram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IgA</w:t>
      </w:r>
      <w:proofErr w:type="spellEnd"/>
      <w:r w:rsidRPr="00FC5CD8">
        <w:rPr>
          <w:sz w:val="28"/>
          <w:szCs w:val="28"/>
        </w:rPr>
        <w:t xml:space="preserve">, </w:t>
      </w:r>
      <w:proofErr w:type="spellStart"/>
      <w:r w:rsidRPr="00FC5CD8">
        <w:rPr>
          <w:sz w:val="28"/>
          <w:szCs w:val="28"/>
        </w:rPr>
        <w:t>IgG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IgM</w:t>
      </w:r>
      <w:proofErr w:type="spellEnd"/>
      <w:r>
        <w:rPr>
          <w:sz w:val="28"/>
          <w:szCs w:val="28"/>
        </w:rPr>
        <w:t xml:space="preserve"> до початку </w:t>
      </w:r>
      <w:proofErr w:type="spellStart"/>
      <w:r>
        <w:rPr>
          <w:sz w:val="28"/>
          <w:szCs w:val="28"/>
        </w:rPr>
        <w:t>лікування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</w:t>
      </w:r>
      <w:proofErr w:type="spellEnd"/>
      <w:r>
        <w:rPr>
          <w:sz w:val="28"/>
          <w:szCs w:val="28"/>
          <w:lang w:val="uk-UA"/>
        </w:rPr>
        <w:t>в</w:t>
      </w:r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ста</w:t>
      </w:r>
      <w:r w:rsidR="005A74E1">
        <w:rPr>
          <w:sz w:val="28"/>
          <w:szCs w:val="28"/>
        </w:rPr>
        <w:t>тистично</w:t>
      </w:r>
      <w:proofErr w:type="spellEnd"/>
      <w:r w:rsidR="005A74E1">
        <w:rPr>
          <w:sz w:val="28"/>
          <w:szCs w:val="28"/>
        </w:rPr>
        <w:t xml:space="preserve"> </w:t>
      </w:r>
      <w:proofErr w:type="spellStart"/>
      <w:r w:rsidR="005A74E1">
        <w:rPr>
          <w:sz w:val="28"/>
          <w:szCs w:val="28"/>
        </w:rPr>
        <w:t>достовірно</w:t>
      </w:r>
      <w:proofErr w:type="spellEnd"/>
      <w:r w:rsidR="005A74E1">
        <w:rPr>
          <w:sz w:val="28"/>
          <w:szCs w:val="28"/>
        </w:rPr>
        <w:t xml:space="preserve"> - в 1,58 (р&lt;0,05), 1,23 (р&lt;0,05), 2,55 (р</w:t>
      </w:r>
      <w:r w:rsidRPr="00FC5CD8">
        <w:rPr>
          <w:sz w:val="28"/>
          <w:szCs w:val="28"/>
        </w:rPr>
        <w:t xml:space="preserve">&lt;0,05) рази </w:t>
      </w:r>
      <w:proofErr w:type="spellStart"/>
      <w:r w:rsidRPr="00FC5CD8">
        <w:rPr>
          <w:sz w:val="28"/>
          <w:szCs w:val="28"/>
        </w:rPr>
        <w:t>відповідно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вище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контрольних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значень</w:t>
      </w:r>
      <w:proofErr w:type="spellEnd"/>
      <w:r w:rsidRPr="00FC5CD8">
        <w:rPr>
          <w:sz w:val="28"/>
          <w:szCs w:val="28"/>
        </w:rPr>
        <w:t>.</w:t>
      </w:r>
      <w:r w:rsidR="006A7632">
        <w:rPr>
          <w:sz w:val="28"/>
          <w:szCs w:val="28"/>
        </w:rPr>
        <w:t xml:space="preserve"> </w:t>
      </w:r>
      <w:proofErr w:type="spellStart"/>
      <w:proofErr w:type="gramStart"/>
      <w:r w:rsidRPr="00FC5CD8">
        <w:rPr>
          <w:sz w:val="28"/>
          <w:szCs w:val="28"/>
        </w:rPr>
        <w:t>П</w:t>
      </w:r>
      <w:proofErr w:type="gramEnd"/>
      <w:r w:rsidRPr="00FC5CD8">
        <w:rPr>
          <w:sz w:val="28"/>
          <w:szCs w:val="28"/>
        </w:rPr>
        <w:t>ісля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лікування</w:t>
      </w:r>
      <w:proofErr w:type="spellEnd"/>
      <w:r w:rsidRPr="00FC5CD8">
        <w:rPr>
          <w:sz w:val="28"/>
          <w:szCs w:val="28"/>
        </w:rPr>
        <w:t xml:space="preserve">, </w:t>
      </w:r>
      <w:proofErr w:type="spellStart"/>
      <w:r w:rsidRPr="00FC5CD8">
        <w:rPr>
          <w:sz w:val="28"/>
          <w:szCs w:val="28"/>
        </w:rPr>
        <w:t>рівні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IgA</w:t>
      </w:r>
      <w:proofErr w:type="spellEnd"/>
      <w:r w:rsidRPr="00FC5CD8">
        <w:rPr>
          <w:sz w:val="28"/>
          <w:szCs w:val="28"/>
        </w:rPr>
        <w:t xml:space="preserve"> і </w:t>
      </w:r>
      <w:proofErr w:type="spellStart"/>
      <w:r w:rsidRPr="00FC5CD8">
        <w:rPr>
          <w:sz w:val="28"/>
          <w:szCs w:val="28"/>
        </w:rPr>
        <w:t>IgM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зменшувалися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щодо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вихід</w:t>
      </w:r>
      <w:r w:rsidR="005A74E1">
        <w:rPr>
          <w:sz w:val="28"/>
          <w:szCs w:val="28"/>
        </w:rPr>
        <w:t>ного</w:t>
      </w:r>
      <w:proofErr w:type="spellEnd"/>
      <w:r w:rsidR="005A74E1">
        <w:rPr>
          <w:sz w:val="28"/>
          <w:szCs w:val="28"/>
        </w:rPr>
        <w:t xml:space="preserve"> </w:t>
      </w:r>
      <w:proofErr w:type="spellStart"/>
      <w:r w:rsidR="005A74E1">
        <w:rPr>
          <w:sz w:val="28"/>
          <w:szCs w:val="28"/>
        </w:rPr>
        <w:t>рівня</w:t>
      </w:r>
      <w:proofErr w:type="spellEnd"/>
      <w:r w:rsidR="005A74E1">
        <w:rPr>
          <w:sz w:val="28"/>
          <w:szCs w:val="28"/>
        </w:rPr>
        <w:t xml:space="preserve"> в 1,12 і 1,92 (р</w:t>
      </w:r>
      <w:r w:rsidRPr="00FC5CD8">
        <w:rPr>
          <w:sz w:val="28"/>
          <w:szCs w:val="28"/>
        </w:rPr>
        <w:t>&lt;0,05) рази</w:t>
      </w:r>
      <w:r>
        <w:rPr>
          <w:sz w:val="28"/>
          <w:szCs w:val="28"/>
          <w:lang w:val="uk-UA"/>
        </w:rPr>
        <w:t xml:space="preserve">  відповідно</w:t>
      </w:r>
      <w:r w:rsidRPr="00FC5CD8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C5CD8">
        <w:rPr>
          <w:sz w:val="28"/>
          <w:szCs w:val="28"/>
        </w:rPr>
        <w:t>скла</w:t>
      </w:r>
      <w:r w:rsidR="005A74E1">
        <w:rPr>
          <w:sz w:val="28"/>
          <w:szCs w:val="28"/>
        </w:rPr>
        <w:t>вши</w:t>
      </w:r>
      <w:proofErr w:type="spellEnd"/>
      <w:r w:rsidR="005A74E1">
        <w:rPr>
          <w:sz w:val="28"/>
          <w:szCs w:val="28"/>
        </w:rPr>
        <w:t xml:space="preserve"> 2,22 ± 0,17 і 1,38 ± 0,69 г/</w:t>
      </w:r>
      <w:r w:rsidRPr="00FC5CD8">
        <w:rPr>
          <w:sz w:val="28"/>
          <w:szCs w:val="28"/>
        </w:rPr>
        <w:t xml:space="preserve">л, </w:t>
      </w:r>
      <w:proofErr w:type="spellStart"/>
      <w:r w:rsidRPr="00FC5CD8">
        <w:rPr>
          <w:sz w:val="28"/>
          <w:szCs w:val="28"/>
        </w:rPr>
        <w:t>проте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за</w:t>
      </w:r>
      <w:r w:rsidR="005A74E1">
        <w:rPr>
          <w:sz w:val="28"/>
          <w:szCs w:val="28"/>
        </w:rPr>
        <w:t>лишалися</w:t>
      </w:r>
      <w:proofErr w:type="spellEnd"/>
      <w:r w:rsidR="005A74E1">
        <w:rPr>
          <w:sz w:val="28"/>
          <w:szCs w:val="28"/>
        </w:rPr>
        <w:t xml:space="preserve"> </w:t>
      </w:r>
      <w:proofErr w:type="spellStart"/>
      <w:r w:rsidR="005A74E1">
        <w:rPr>
          <w:sz w:val="28"/>
          <w:szCs w:val="28"/>
        </w:rPr>
        <w:t>достовірно</w:t>
      </w:r>
      <w:proofErr w:type="spellEnd"/>
      <w:r w:rsidR="005A74E1">
        <w:rPr>
          <w:sz w:val="28"/>
          <w:szCs w:val="28"/>
        </w:rPr>
        <w:t xml:space="preserve"> - в 1,44 (р&lt;0,05) і в 1,32 (р</w:t>
      </w:r>
      <w:r w:rsidRPr="00FC5CD8">
        <w:rPr>
          <w:sz w:val="28"/>
          <w:szCs w:val="28"/>
        </w:rPr>
        <w:t xml:space="preserve">&lt;0,05) рази </w:t>
      </w:r>
      <w:proofErr w:type="spellStart"/>
      <w:r w:rsidRPr="00FC5CD8">
        <w:rPr>
          <w:sz w:val="28"/>
          <w:szCs w:val="28"/>
        </w:rPr>
        <w:t>вище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контрольних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значень</w:t>
      </w:r>
      <w:proofErr w:type="spellEnd"/>
      <w:r w:rsidRPr="00FC5CD8">
        <w:rPr>
          <w:sz w:val="28"/>
          <w:szCs w:val="28"/>
        </w:rPr>
        <w:t xml:space="preserve">, </w:t>
      </w:r>
      <w:proofErr w:type="spellStart"/>
      <w:r w:rsidRPr="00FC5CD8">
        <w:rPr>
          <w:sz w:val="28"/>
          <w:szCs w:val="28"/>
        </w:rPr>
        <w:t>що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склал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2,22 (0,20) і 1,38 (0,06) г/</w:t>
      </w:r>
      <w:r w:rsidRPr="00FC5CD8">
        <w:rPr>
          <w:sz w:val="28"/>
          <w:szCs w:val="28"/>
        </w:rPr>
        <w:t xml:space="preserve">л. У той же час </w:t>
      </w:r>
      <w:proofErr w:type="spellStart"/>
      <w:r w:rsidRPr="00FC5CD8">
        <w:rPr>
          <w:sz w:val="28"/>
          <w:szCs w:val="28"/>
        </w:rPr>
        <w:lastRenderedPageBreak/>
        <w:t>рівень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IgG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="0033651C" w:rsidRPr="0033651C">
        <w:rPr>
          <w:sz w:val="28"/>
          <w:szCs w:val="28"/>
        </w:rPr>
        <w:t>дещо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збільшувався</w:t>
      </w:r>
      <w:proofErr w:type="spellEnd"/>
      <w:r w:rsidRPr="00FC5CD8">
        <w:rPr>
          <w:sz w:val="28"/>
          <w:szCs w:val="28"/>
        </w:rPr>
        <w:t xml:space="preserve">, але </w:t>
      </w:r>
      <w:proofErr w:type="spellStart"/>
      <w:r w:rsidRPr="00FC5CD8">
        <w:rPr>
          <w:sz w:val="28"/>
          <w:szCs w:val="28"/>
        </w:rPr>
        <w:t>достовірно</w:t>
      </w:r>
      <w:proofErr w:type="spellEnd"/>
      <w:r w:rsidRPr="00FC5CD8">
        <w:rPr>
          <w:sz w:val="28"/>
          <w:szCs w:val="28"/>
        </w:rPr>
        <w:t xml:space="preserve"> не </w:t>
      </w:r>
      <w:proofErr w:type="spellStart"/>
      <w:r w:rsidRPr="00FC5CD8">
        <w:rPr>
          <w:sz w:val="28"/>
          <w:szCs w:val="28"/>
        </w:rPr>
        <w:t>ві</w:t>
      </w:r>
      <w:proofErr w:type="gramStart"/>
      <w:r w:rsidRPr="00FC5CD8">
        <w:rPr>
          <w:sz w:val="28"/>
          <w:szCs w:val="28"/>
        </w:rPr>
        <w:t>др</w:t>
      </w:r>
      <w:proofErr w:type="gramEnd"/>
      <w:r w:rsidRPr="00FC5CD8">
        <w:rPr>
          <w:sz w:val="28"/>
          <w:szCs w:val="28"/>
        </w:rPr>
        <w:t>ізнявся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від</w:t>
      </w:r>
      <w:proofErr w:type="spellEnd"/>
      <w:r w:rsidRPr="00FC5CD8">
        <w:rPr>
          <w:sz w:val="28"/>
          <w:szCs w:val="28"/>
        </w:rPr>
        <w:t xml:space="preserve"> початкового </w:t>
      </w:r>
      <w:proofErr w:type="spellStart"/>
      <w:r w:rsidRPr="00FC5CD8">
        <w:rPr>
          <w:sz w:val="28"/>
          <w:szCs w:val="28"/>
        </w:rPr>
        <w:t>рівня</w:t>
      </w:r>
      <w:proofErr w:type="spellEnd"/>
      <w:r w:rsidRPr="00FC5CD8">
        <w:rPr>
          <w:sz w:val="28"/>
          <w:szCs w:val="28"/>
        </w:rPr>
        <w:t xml:space="preserve">. </w:t>
      </w:r>
      <w:r w:rsidR="005A74E1">
        <w:rPr>
          <w:sz w:val="28"/>
          <w:szCs w:val="28"/>
          <w:lang w:val="uk-UA"/>
        </w:rPr>
        <w:t>П</w:t>
      </w:r>
      <w:proofErr w:type="spellStart"/>
      <w:r w:rsidRPr="00FC5CD8">
        <w:rPr>
          <w:sz w:val="28"/>
          <w:szCs w:val="28"/>
        </w:rPr>
        <w:t>рогресування</w:t>
      </w:r>
      <w:proofErr w:type="spellEnd"/>
      <w:r w:rsidRPr="00FC5CD8">
        <w:rPr>
          <w:sz w:val="28"/>
          <w:szCs w:val="28"/>
        </w:rPr>
        <w:t xml:space="preserve"> ХХН </w:t>
      </w:r>
      <w:r w:rsidR="005A74E1">
        <w:rPr>
          <w:sz w:val="28"/>
          <w:szCs w:val="28"/>
          <w:lang w:val="uk-UA"/>
        </w:rPr>
        <w:t xml:space="preserve">доволі </w:t>
      </w:r>
      <w:r w:rsidRPr="00FC5CD8">
        <w:rPr>
          <w:sz w:val="28"/>
          <w:szCs w:val="28"/>
        </w:rPr>
        <w:t xml:space="preserve">часто </w:t>
      </w:r>
      <w:proofErr w:type="spellStart"/>
      <w:r w:rsidRPr="00FC5CD8">
        <w:rPr>
          <w:sz w:val="28"/>
          <w:szCs w:val="28"/>
        </w:rPr>
        <w:t>супроводжується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низьким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вмістом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IgG</w:t>
      </w:r>
      <w:proofErr w:type="spellEnd"/>
      <w:r w:rsidRPr="00FC5CD8">
        <w:rPr>
          <w:sz w:val="28"/>
          <w:szCs w:val="28"/>
        </w:rPr>
        <w:t xml:space="preserve"> на </w:t>
      </w:r>
      <w:proofErr w:type="spellStart"/>
      <w:r w:rsidRPr="00FC5CD8">
        <w:rPr>
          <w:sz w:val="28"/>
          <w:szCs w:val="28"/>
        </w:rPr>
        <w:t>тлі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високих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титрів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IgM</w:t>
      </w:r>
      <w:proofErr w:type="spellEnd"/>
      <w:r w:rsidRPr="00FC5CD8">
        <w:rPr>
          <w:sz w:val="28"/>
          <w:szCs w:val="28"/>
        </w:rPr>
        <w:t xml:space="preserve">, </w:t>
      </w:r>
      <w:proofErr w:type="spellStart"/>
      <w:r w:rsidRPr="00FC5CD8">
        <w:rPr>
          <w:sz w:val="28"/>
          <w:szCs w:val="28"/>
        </w:rPr>
        <w:t>що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="0033651C" w:rsidRPr="0033651C">
        <w:rPr>
          <w:sz w:val="28"/>
          <w:szCs w:val="28"/>
        </w:rPr>
        <w:t>ймовірно</w:t>
      </w:r>
      <w:proofErr w:type="spellEnd"/>
      <w:r w:rsidR="0033651C">
        <w:rPr>
          <w:sz w:val="28"/>
          <w:szCs w:val="28"/>
          <w:lang w:val="uk-UA"/>
        </w:rPr>
        <w:t xml:space="preserve">, </w:t>
      </w:r>
      <w:proofErr w:type="spellStart"/>
      <w:r w:rsidRPr="00FC5CD8">
        <w:rPr>
          <w:sz w:val="28"/>
          <w:szCs w:val="28"/>
        </w:rPr>
        <w:t>викликано</w:t>
      </w:r>
      <w:proofErr w:type="spellEnd"/>
      <w:r w:rsidRPr="00FC5CD8">
        <w:rPr>
          <w:sz w:val="28"/>
          <w:szCs w:val="28"/>
        </w:rPr>
        <w:t xml:space="preserve"> дефектом </w:t>
      </w:r>
      <w:proofErr w:type="spellStart"/>
      <w:r w:rsidRPr="00FC5CD8">
        <w:rPr>
          <w:sz w:val="28"/>
          <w:szCs w:val="28"/>
        </w:rPr>
        <w:t>перемикання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активності</w:t>
      </w:r>
      <w:proofErr w:type="spellEnd"/>
      <w:r w:rsidRPr="00FC5CD8">
        <w:rPr>
          <w:sz w:val="28"/>
          <w:szCs w:val="28"/>
        </w:rPr>
        <w:t xml:space="preserve"> B-</w:t>
      </w:r>
      <w:proofErr w:type="spellStart"/>
      <w:r w:rsidRPr="00FC5CD8">
        <w:rPr>
          <w:sz w:val="28"/>
          <w:szCs w:val="28"/>
        </w:rPr>
        <w:t>клітин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продуцентів</w:t>
      </w:r>
      <w:proofErr w:type="spellEnd"/>
      <w:r w:rsidRPr="00FC5CD8">
        <w:rPr>
          <w:sz w:val="28"/>
          <w:szCs w:val="28"/>
        </w:rPr>
        <w:t xml:space="preserve"> </w:t>
      </w:r>
      <w:proofErr w:type="spellStart"/>
      <w:r w:rsidRPr="00FC5CD8">
        <w:rPr>
          <w:sz w:val="28"/>
          <w:szCs w:val="28"/>
        </w:rPr>
        <w:t>IgM</w:t>
      </w:r>
      <w:proofErr w:type="spellEnd"/>
      <w:r w:rsidRPr="00FC5CD8">
        <w:rPr>
          <w:sz w:val="28"/>
          <w:szCs w:val="28"/>
        </w:rPr>
        <w:t xml:space="preserve"> на </w:t>
      </w:r>
      <w:proofErr w:type="spellStart"/>
      <w:r w:rsidRPr="00FC5CD8">
        <w:rPr>
          <w:sz w:val="28"/>
          <w:szCs w:val="28"/>
        </w:rPr>
        <w:t>IgG</w:t>
      </w:r>
      <w:proofErr w:type="spellEnd"/>
      <w:r w:rsidRPr="00FC5CD8">
        <w:rPr>
          <w:sz w:val="28"/>
          <w:szCs w:val="28"/>
        </w:rPr>
        <w:t>- B-</w:t>
      </w:r>
      <w:proofErr w:type="spellStart"/>
      <w:r w:rsidRPr="00FC5CD8">
        <w:rPr>
          <w:sz w:val="28"/>
          <w:szCs w:val="28"/>
        </w:rPr>
        <w:t>клітини</w:t>
      </w:r>
      <w:proofErr w:type="spellEnd"/>
      <w:r w:rsidRPr="00FC5CD8">
        <w:rPr>
          <w:sz w:val="28"/>
          <w:szCs w:val="28"/>
        </w:rPr>
        <w:t xml:space="preserve"> - </w:t>
      </w:r>
      <w:proofErr w:type="spellStart"/>
      <w:r w:rsidRPr="00FC5CD8">
        <w:rPr>
          <w:sz w:val="28"/>
          <w:szCs w:val="28"/>
        </w:rPr>
        <w:t>продуценти</w:t>
      </w:r>
      <w:proofErr w:type="spellEnd"/>
      <w:r w:rsidRPr="00FC5CD8">
        <w:rPr>
          <w:sz w:val="28"/>
          <w:szCs w:val="28"/>
        </w:rPr>
        <w:t xml:space="preserve"> [8-10].</w:t>
      </w:r>
    </w:p>
    <w:p w:rsidR="00A84737" w:rsidRDefault="00A84737" w:rsidP="00A847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</w:p>
    <w:p w:rsidR="00A84737" w:rsidRPr="00C55348" w:rsidRDefault="0033651C" w:rsidP="00A84737">
      <w:pPr>
        <w:jc w:val="center"/>
        <w:rPr>
          <w:b/>
          <w:sz w:val="28"/>
          <w:szCs w:val="28"/>
          <w:lang w:val="uk-UA"/>
        </w:rPr>
      </w:pPr>
      <w:proofErr w:type="spellStart"/>
      <w:r w:rsidRPr="0033651C">
        <w:rPr>
          <w:b/>
          <w:sz w:val="28"/>
          <w:szCs w:val="28"/>
        </w:rPr>
        <w:t>Показники</w:t>
      </w:r>
      <w:proofErr w:type="spellEnd"/>
      <w:r w:rsidRPr="0033651C">
        <w:rPr>
          <w:b/>
          <w:sz w:val="28"/>
          <w:szCs w:val="28"/>
        </w:rPr>
        <w:t xml:space="preserve"> </w:t>
      </w:r>
      <w:proofErr w:type="spellStart"/>
      <w:r w:rsidRPr="0033651C">
        <w:rPr>
          <w:b/>
          <w:sz w:val="28"/>
          <w:szCs w:val="28"/>
        </w:rPr>
        <w:t>специфічного</w:t>
      </w:r>
      <w:proofErr w:type="spellEnd"/>
      <w:r w:rsidRPr="0033651C">
        <w:rPr>
          <w:b/>
          <w:sz w:val="28"/>
          <w:szCs w:val="28"/>
        </w:rPr>
        <w:t xml:space="preserve"> гуморального </w:t>
      </w:r>
      <w:proofErr w:type="spellStart"/>
      <w:r w:rsidRPr="0033651C">
        <w:rPr>
          <w:b/>
          <w:sz w:val="28"/>
          <w:szCs w:val="28"/>
        </w:rPr>
        <w:t>імунітету</w:t>
      </w:r>
      <w:proofErr w:type="spellEnd"/>
      <w:r w:rsidRPr="0033651C">
        <w:rPr>
          <w:b/>
          <w:sz w:val="28"/>
          <w:szCs w:val="28"/>
        </w:rPr>
        <w:t xml:space="preserve"> при </w:t>
      </w:r>
      <w:r w:rsidR="00A84737" w:rsidRPr="00C55348">
        <w:rPr>
          <w:b/>
          <w:sz w:val="28"/>
          <w:szCs w:val="28"/>
          <w:lang w:val="uk-UA"/>
        </w:rPr>
        <w:t>прогресуванні хронічної хвороби нирок  у хворих на ІХС</w:t>
      </w:r>
      <w:r w:rsidR="00A84737" w:rsidRPr="00C55348">
        <w:rPr>
          <w:b/>
          <w:sz w:val="28"/>
          <w:szCs w:val="28"/>
        </w:rPr>
        <w:t xml:space="preserve"> </w:t>
      </w:r>
      <w:r w:rsidR="00A84737" w:rsidRPr="00C55348">
        <w:rPr>
          <w:b/>
          <w:sz w:val="28"/>
          <w:szCs w:val="28"/>
          <w:lang w:val="uk-UA"/>
        </w:rPr>
        <w:t xml:space="preserve"> </w:t>
      </w:r>
    </w:p>
    <w:p w:rsidR="00105DE9" w:rsidRPr="00C55348" w:rsidRDefault="00105DE9" w:rsidP="00105DE9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C55348">
        <w:rPr>
          <w:bCs/>
          <w:sz w:val="28"/>
          <w:szCs w:val="28"/>
          <w:lang w:val="uk-UA"/>
        </w:rPr>
        <w:t xml:space="preserve">(М (m), n </w:t>
      </w:r>
      <w:r w:rsidRPr="00C55348">
        <w:rPr>
          <w:bCs/>
          <w:sz w:val="28"/>
          <w:szCs w:val="28"/>
        </w:rPr>
        <w:t>= 10</w:t>
      </w:r>
      <w:r w:rsidRPr="00C55348">
        <w:rPr>
          <w:bCs/>
          <w:sz w:val="28"/>
          <w:szCs w:val="28"/>
          <w:lang w:val="uk-UA"/>
        </w:rPr>
        <w:t>)</w:t>
      </w:r>
    </w:p>
    <w:tbl>
      <w:tblPr>
        <w:tblW w:w="0" w:type="auto"/>
        <w:jc w:val="center"/>
        <w:tblInd w:w="-660" w:type="dxa"/>
        <w:tblLayout w:type="fixed"/>
        <w:tblLook w:val="0000" w:firstRow="0" w:lastRow="0" w:firstColumn="0" w:lastColumn="0" w:noHBand="0" w:noVBand="0"/>
      </w:tblPr>
      <w:tblGrid>
        <w:gridCol w:w="2023"/>
        <w:gridCol w:w="1418"/>
        <w:gridCol w:w="1417"/>
        <w:gridCol w:w="1559"/>
        <w:gridCol w:w="1701"/>
        <w:gridCol w:w="1596"/>
      </w:tblGrid>
      <w:tr w:rsidR="00A84737" w:rsidRPr="00C55348" w:rsidTr="0033651C">
        <w:trPr>
          <w:trHeight w:val="677"/>
          <w:jc w:val="center"/>
        </w:trPr>
        <w:tc>
          <w:tcPr>
            <w:tcW w:w="2023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A84737" w:rsidRPr="0033651C" w:rsidRDefault="0033651C" w:rsidP="00105DE9">
            <w:pPr>
              <w:snapToGrid w:val="0"/>
              <w:spacing w:line="288" w:lineRule="auto"/>
              <w:jc w:val="center"/>
              <w:rPr>
                <w:b/>
                <w:lang w:val="uk-UA"/>
              </w:rPr>
            </w:pPr>
            <w:r>
              <w:rPr>
                <w:b/>
              </w:rPr>
              <w:t>Показ</w:t>
            </w:r>
            <w:r>
              <w:rPr>
                <w:b/>
                <w:lang w:val="uk-UA"/>
              </w:rPr>
              <w:t>ник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84737" w:rsidRPr="0033651C" w:rsidRDefault="0033651C" w:rsidP="00E90AEF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До </w:t>
            </w:r>
            <w:proofErr w:type="gramStart"/>
            <w:r>
              <w:rPr>
                <w:b/>
              </w:rPr>
              <w:t>л</w:t>
            </w:r>
            <w:proofErr w:type="spellStart"/>
            <w:proofErr w:type="gramEnd"/>
            <w:r>
              <w:rPr>
                <w:b/>
                <w:lang w:val="uk-UA"/>
              </w:rPr>
              <w:t>ікування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A84737" w:rsidRPr="0033651C" w:rsidRDefault="00A84737" w:rsidP="00105DE9">
            <w:pPr>
              <w:snapToGrid w:val="0"/>
              <w:jc w:val="center"/>
              <w:rPr>
                <w:b/>
                <w:lang w:val="uk-UA"/>
              </w:rPr>
            </w:pPr>
            <w:r w:rsidRPr="00C55348">
              <w:rPr>
                <w:b/>
                <w:lang w:val="en-US"/>
              </w:rPr>
              <w:t>B</w:t>
            </w:r>
            <w:r w:rsidRPr="00C55348">
              <w:rPr>
                <w:b/>
              </w:rPr>
              <w:t>-</w:t>
            </w:r>
            <w:r w:rsidRPr="00C55348">
              <w:rPr>
                <w:b/>
                <w:lang w:val="en-US"/>
              </w:rPr>
              <w:t>A</w:t>
            </w:r>
            <w:r w:rsidRPr="00C55348">
              <w:rPr>
                <w:b/>
              </w:rPr>
              <w:t xml:space="preserve"> </w:t>
            </w:r>
            <w:proofErr w:type="spellStart"/>
            <w:r w:rsidR="0033651C" w:rsidRPr="0033651C">
              <w:rPr>
                <w:b/>
              </w:rPr>
              <w:t>відмінності</w:t>
            </w:r>
            <w:proofErr w:type="spellEnd"/>
            <w:r w:rsidR="0033651C" w:rsidRPr="0033651C">
              <w:rPr>
                <w:b/>
              </w:rPr>
              <w:t xml:space="preserve"> по U-</w:t>
            </w:r>
            <w:proofErr w:type="spellStart"/>
            <w:r w:rsidR="0033651C" w:rsidRPr="0033651C">
              <w:rPr>
                <w:b/>
              </w:rPr>
              <w:t>критері</w:t>
            </w:r>
            <w:proofErr w:type="spellEnd"/>
            <w:r w:rsidR="0033651C">
              <w:rPr>
                <w:b/>
                <w:lang w:val="uk-UA"/>
              </w:rPr>
              <w:t>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33651C" w:rsidP="00105DE9">
            <w:pPr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spellStart"/>
            <w:proofErr w:type="gramEnd"/>
            <w:r>
              <w:rPr>
                <w:b/>
                <w:lang w:val="uk-UA"/>
              </w:rPr>
              <w:t>ісля</w:t>
            </w:r>
            <w:proofErr w:type="spellEnd"/>
            <w:r w:rsidR="00A84737" w:rsidRPr="00C55348">
              <w:rPr>
                <w:b/>
              </w:rPr>
              <w:t xml:space="preserve"> </w:t>
            </w:r>
            <w:r>
              <w:rPr>
                <w:b/>
              </w:rPr>
              <w:t>л</w:t>
            </w:r>
            <w:proofErr w:type="spellStart"/>
            <w:r>
              <w:rPr>
                <w:b/>
                <w:lang w:val="uk-UA"/>
              </w:rPr>
              <w:t>ікування</w:t>
            </w:r>
            <w:proofErr w:type="spellEnd"/>
          </w:p>
        </w:tc>
        <w:tc>
          <w:tcPr>
            <w:tcW w:w="159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A84737" w:rsidRPr="00C55348" w:rsidRDefault="0033651C" w:rsidP="0033651C">
            <w:pPr>
              <w:snapToGrid w:val="0"/>
              <w:jc w:val="center"/>
              <w:rPr>
                <w:b/>
              </w:rPr>
            </w:pPr>
            <w:r w:rsidRPr="00C55348">
              <w:rPr>
                <w:b/>
                <w:lang w:val="en-US"/>
              </w:rPr>
              <w:t>B</w:t>
            </w:r>
            <w:r w:rsidRPr="00C55348">
              <w:rPr>
                <w:b/>
              </w:rPr>
              <w:t>-</w:t>
            </w:r>
            <w:r w:rsidRPr="00C55348">
              <w:rPr>
                <w:b/>
                <w:lang w:val="en-US"/>
              </w:rPr>
              <w:t>A</w:t>
            </w:r>
            <w:r w:rsidRPr="00C55348">
              <w:rPr>
                <w:b/>
              </w:rPr>
              <w:t xml:space="preserve"> </w:t>
            </w:r>
            <w:proofErr w:type="spellStart"/>
            <w:r w:rsidRPr="0033651C">
              <w:rPr>
                <w:b/>
              </w:rPr>
              <w:t>відмінності</w:t>
            </w:r>
            <w:proofErr w:type="spellEnd"/>
            <w:r w:rsidRPr="0033651C">
              <w:rPr>
                <w:b/>
              </w:rPr>
              <w:t xml:space="preserve"> по U-</w:t>
            </w:r>
            <w:proofErr w:type="spellStart"/>
            <w:r w:rsidRPr="0033651C">
              <w:rPr>
                <w:b/>
              </w:rPr>
              <w:t>критері</w:t>
            </w:r>
            <w:proofErr w:type="spellEnd"/>
            <w:r>
              <w:rPr>
                <w:b/>
                <w:lang w:val="uk-UA"/>
              </w:rPr>
              <w:t>ю</w:t>
            </w:r>
          </w:p>
        </w:tc>
      </w:tr>
      <w:tr w:rsidR="00A84737" w:rsidRPr="00C55348" w:rsidTr="0033651C">
        <w:trPr>
          <w:trHeight w:val="489"/>
          <w:jc w:val="center"/>
        </w:trPr>
        <w:tc>
          <w:tcPr>
            <w:tcW w:w="202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spacing w:line="288" w:lineRule="auto"/>
              <w:jc w:val="center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84737" w:rsidRPr="00C55348" w:rsidRDefault="0033651C" w:rsidP="00105DE9">
            <w:pPr>
              <w:snapToGrid w:val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Груп</w:t>
            </w:r>
            <w:r w:rsidR="00A84737" w:rsidRPr="00C55348">
              <w:rPr>
                <w:b/>
              </w:rPr>
              <w:t>а</w:t>
            </w:r>
            <w:proofErr w:type="spellEnd"/>
            <w:proofErr w:type="gramStart"/>
            <w:r w:rsidR="00105DE9" w:rsidRPr="00C55348">
              <w:rPr>
                <w:b/>
              </w:rPr>
              <w:t xml:space="preserve"> </w:t>
            </w:r>
            <w:r w:rsidR="00A84737" w:rsidRPr="00C55348">
              <w:rPr>
                <w:b/>
              </w:rPr>
              <w:t>А</w:t>
            </w:r>
            <w:proofErr w:type="gramEnd"/>
            <w:r w:rsidR="00A84737" w:rsidRPr="00C55348">
              <w:rPr>
                <w:b/>
              </w:rPr>
              <w:t xml:space="preserve"> </w:t>
            </w:r>
          </w:p>
          <w:p w:rsidR="00A84737" w:rsidRPr="00C55348" w:rsidRDefault="00A84737" w:rsidP="00105DE9">
            <w:pPr>
              <w:snapToGrid w:val="0"/>
              <w:jc w:val="center"/>
              <w:rPr>
                <w:b/>
              </w:rPr>
            </w:pPr>
            <w:r w:rsidRPr="00C55348">
              <w:rPr>
                <w:b/>
              </w:rPr>
              <w:t>ИБС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84737" w:rsidRPr="00C55348" w:rsidRDefault="0033651C" w:rsidP="00E90AEF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Груп</w:t>
            </w:r>
            <w:r w:rsidR="00A84737" w:rsidRPr="00C55348">
              <w:rPr>
                <w:b/>
              </w:rPr>
              <w:t>а</w:t>
            </w:r>
            <w:proofErr w:type="spellEnd"/>
            <w:proofErr w:type="gramStart"/>
            <w:r w:rsidR="00105DE9" w:rsidRPr="00C55348">
              <w:rPr>
                <w:b/>
              </w:rPr>
              <w:t xml:space="preserve"> </w:t>
            </w:r>
            <w:r w:rsidR="00A84737" w:rsidRPr="00C55348">
              <w:rPr>
                <w:b/>
              </w:rPr>
              <w:t>В</w:t>
            </w:r>
            <w:proofErr w:type="gramEnd"/>
          </w:p>
          <w:p w:rsidR="00A84737" w:rsidRPr="00C55348" w:rsidRDefault="00A84737" w:rsidP="00E90AEF">
            <w:pPr>
              <w:jc w:val="center"/>
              <w:rPr>
                <w:b/>
                <w:sz w:val="22"/>
                <w:szCs w:val="22"/>
              </w:rPr>
            </w:pPr>
            <w:r w:rsidRPr="00C55348">
              <w:rPr>
                <w:b/>
                <w:sz w:val="22"/>
                <w:szCs w:val="22"/>
              </w:rPr>
              <w:t>ИБС и ХБП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105DE9" w:rsidP="00E90AE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55348">
              <w:rPr>
                <w:b/>
              </w:rPr>
              <w:t>Г</w:t>
            </w:r>
            <w:r w:rsidR="00A84737" w:rsidRPr="00C55348">
              <w:rPr>
                <w:b/>
              </w:rPr>
              <w:t>руппа</w:t>
            </w:r>
          </w:p>
          <w:p w:rsidR="00A84737" w:rsidRPr="00C55348" w:rsidRDefault="00A84737" w:rsidP="00E90AEF">
            <w:pPr>
              <w:jc w:val="center"/>
              <w:rPr>
                <w:b/>
                <w:lang w:val="en-US"/>
              </w:rPr>
            </w:pPr>
            <w:r w:rsidRPr="00C55348">
              <w:rPr>
                <w:b/>
                <w:sz w:val="20"/>
                <w:szCs w:val="20"/>
              </w:rPr>
              <w:t>ИБС и ХБП</w:t>
            </w:r>
            <w:r w:rsidRPr="00C55348">
              <w:rPr>
                <w:b/>
              </w:rPr>
              <w:t xml:space="preserve"> </w:t>
            </w:r>
          </w:p>
        </w:tc>
        <w:tc>
          <w:tcPr>
            <w:tcW w:w="159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spacing w:line="288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A84737" w:rsidRPr="00C55348" w:rsidTr="0033651C">
        <w:trPr>
          <w:trHeight w:val="601"/>
          <w:jc w:val="center"/>
        </w:trPr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105DE9" w:rsidP="00105DE9">
            <w:pPr>
              <w:snapToGrid w:val="0"/>
              <w:rPr>
                <w:b/>
                <w:sz w:val="22"/>
                <w:szCs w:val="22"/>
                <w:vertAlign w:val="superscript"/>
              </w:rPr>
            </w:pPr>
            <w:proofErr w:type="spellStart"/>
            <w:r w:rsidRPr="00C55348">
              <w:rPr>
                <w:b/>
                <w:sz w:val="22"/>
                <w:szCs w:val="22"/>
              </w:rPr>
              <w:t>Абс</w:t>
            </w:r>
            <w:proofErr w:type="spellEnd"/>
            <w:r w:rsidRPr="00C55348">
              <w:rPr>
                <w:b/>
                <w:sz w:val="22"/>
                <w:szCs w:val="22"/>
              </w:rPr>
              <w:t>.</w:t>
            </w:r>
            <w:r w:rsidR="00A84737" w:rsidRPr="00C55348">
              <w:rPr>
                <w:b/>
                <w:sz w:val="22"/>
                <w:szCs w:val="22"/>
              </w:rPr>
              <w:t xml:space="preserve"> </w:t>
            </w:r>
            <w:r w:rsidRPr="00C55348">
              <w:rPr>
                <w:b/>
                <w:sz w:val="22"/>
                <w:szCs w:val="22"/>
              </w:rPr>
              <w:t>К</w:t>
            </w:r>
            <w:proofErr w:type="spellStart"/>
            <w:r w:rsidR="0033651C">
              <w:rPr>
                <w:b/>
                <w:sz w:val="22"/>
                <w:szCs w:val="22"/>
                <w:lang w:val="uk-UA"/>
              </w:rPr>
              <w:t>ількість</w:t>
            </w:r>
            <w:proofErr w:type="spellEnd"/>
            <w:r w:rsidR="0033651C">
              <w:rPr>
                <w:b/>
                <w:sz w:val="22"/>
                <w:szCs w:val="22"/>
              </w:rPr>
              <w:t xml:space="preserve"> лимфоцит</w:t>
            </w:r>
            <w:r w:rsidR="0033651C">
              <w:rPr>
                <w:b/>
                <w:sz w:val="22"/>
                <w:szCs w:val="22"/>
                <w:lang w:val="uk-UA"/>
              </w:rPr>
              <w:t>і</w:t>
            </w:r>
            <w:r w:rsidR="00A84737" w:rsidRPr="00C55348">
              <w:rPr>
                <w:b/>
                <w:sz w:val="22"/>
                <w:szCs w:val="22"/>
              </w:rPr>
              <w:t>в, х10</w:t>
            </w:r>
            <w:r w:rsidR="00A84737" w:rsidRPr="00C55348">
              <w:rPr>
                <w:b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84737" w:rsidRPr="00C55348" w:rsidRDefault="00A84737" w:rsidP="00105DE9">
            <w:pPr>
              <w:snapToGrid w:val="0"/>
              <w:jc w:val="center"/>
            </w:pPr>
            <w:r w:rsidRPr="00C55348">
              <w:t>1,41</w:t>
            </w:r>
            <w:r w:rsidR="00105DE9" w:rsidRPr="00C55348">
              <w:t xml:space="preserve"> </w:t>
            </w:r>
            <w:r w:rsidRPr="00C55348">
              <w:t>(0,05)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1,67</w:t>
            </w:r>
            <w:r w:rsidR="00105DE9" w:rsidRPr="00C55348">
              <w:t xml:space="preserve"> </w:t>
            </w:r>
            <w:r w:rsidRPr="00C55348">
              <w:t>(0,06)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</w:pPr>
            <w:r w:rsidRPr="00C55348">
              <w:t>0,26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rPr>
                <w:lang w:val="uk-UA"/>
              </w:rPr>
              <w:t>3</w:t>
            </w:r>
            <w:r w:rsidRPr="00C55348">
              <w:t>,</w:t>
            </w:r>
            <w:r w:rsidRPr="00C55348">
              <w:rPr>
                <w:lang w:val="uk-UA"/>
              </w:rPr>
              <w:t>79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(0.18)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</w:pPr>
            <w:r w:rsidRPr="00C55348">
              <w:t>2,</w:t>
            </w:r>
            <w:r w:rsidRPr="00C55348">
              <w:rPr>
                <w:lang w:val="uk-UA"/>
              </w:rPr>
              <w:t>12</w:t>
            </w:r>
            <w:r w:rsidRPr="00C55348">
              <w:t>*</w:t>
            </w:r>
          </w:p>
        </w:tc>
      </w:tr>
      <w:tr w:rsidR="00A84737" w:rsidRPr="00C55348" w:rsidTr="0033651C">
        <w:trPr>
          <w:jc w:val="center"/>
        </w:trPr>
        <w:tc>
          <w:tcPr>
            <w:tcW w:w="202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rPr>
                <w:b/>
                <w:sz w:val="22"/>
                <w:szCs w:val="22"/>
                <w:vertAlign w:val="superscript"/>
              </w:rPr>
            </w:pPr>
            <w:proofErr w:type="gramStart"/>
            <w:r w:rsidRPr="00C55348">
              <w:rPr>
                <w:b/>
                <w:sz w:val="22"/>
                <w:szCs w:val="22"/>
              </w:rPr>
              <w:t>В-л</w:t>
            </w:r>
            <w:proofErr w:type="gramEnd"/>
            <w:r w:rsidRPr="00C55348">
              <w:rPr>
                <w:b/>
                <w:sz w:val="22"/>
                <w:szCs w:val="22"/>
              </w:rPr>
              <w:t xml:space="preserve"> (</w:t>
            </w:r>
            <w:r w:rsidRPr="00C55348">
              <w:rPr>
                <w:b/>
                <w:sz w:val="22"/>
                <w:szCs w:val="22"/>
                <w:lang w:val="fr-FR"/>
              </w:rPr>
              <w:t>CD</w:t>
            </w:r>
            <w:r w:rsidRPr="00C55348">
              <w:rPr>
                <w:b/>
                <w:sz w:val="22"/>
                <w:szCs w:val="22"/>
              </w:rPr>
              <w:t>19),</w:t>
            </w:r>
            <w:r w:rsidR="00105DE9" w:rsidRPr="00C55348">
              <w:rPr>
                <w:b/>
                <w:sz w:val="22"/>
                <w:szCs w:val="22"/>
              </w:rPr>
              <w:t xml:space="preserve"> </w:t>
            </w:r>
            <w:r w:rsidRPr="00C55348">
              <w:rPr>
                <w:b/>
                <w:sz w:val="22"/>
                <w:szCs w:val="22"/>
              </w:rPr>
              <w:t>х 10</w:t>
            </w:r>
            <w:r w:rsidRPr="00C55348">
              <w:rPr>
                <w:b/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0,32</w:t>
            </w:r>
            <w:r w:rsidR="00105DE9" w:rsidRPr="00C55348"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0,03</w:t>
            </w:r>
            <w:r w:rsidRPr="00C55348"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0,4</w:t>
            </w:r>
            <w:r w:rsidRPr="00C55348">
              <w:rPr>
                <w:lang w:val="uk-UA"/>
              </w:rPr>
              <w:t>0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0,0</w:t>
            </w:r>
            <w:r w:rsidRPr="00C55348">
              <w:rPr>
                <w:lang w:val="uk-UA"/>
              </w:rPr>
              <w:t>2)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</w:pPr>
            <w:r w:rsidRPr="00C55348">
              <w:t>0,0</w:t>
            </w:r>
            <w:r w:rsidRPr="00C55348">
              <w:rPr>
                <w:lang w:val="uk-UA"/>
              </w:rPr>
              <w:t>8</w:t>
            </w:r>
            <w:r w:rsidRPr="00C55348">
              <w:t>*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0,</w:t>
            </w:r>
            <w:r w:rsidRPr="00C55348">
              <w:rPr>
                <w:lang w:val="uk-UA"/>
              </w:rPr>
              <w:t>33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0,0</w:t>
            </w:r>
            <w:r w:rsidRPr="00C55348">
              <w:rPr>
                <w:lang w:val="uk-UA"/>
              </w:rPr>
              <w:t>3)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</w:pPr>
            <w:r w:rsidRPr="00C55348">
              <w:t>0,</w:t>
            </w:r>
            <w:r w:rsidRPr="00C55348">
              <w:rPr>
                <w:lang w:val="uk-UA"/>
              </w:rPr>
              <w:t>07</w:t>
            </w:r>
          </w:p>
        </w:tc>
      </w:tr>
      <w:tr w:rsidR="00A84737" w:rsidRPr="00C55348" w:rsidTr="0033651C">
        <w:trPr>
          <w:jc w:val="center"/>
        </w:trPr>
        <w:tc>
          <w:tcPr>
            <w:tcW w:w="202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55348">
              <w:rPr>
                <w:b/>
                <w:sz w:val="22"/>
                <w:szCs w:val="22"/>
                <w:lang w:val="en-US"/>
              </w:rPr>
              <w:t>Ig</w:t>
            </w:r>
            <w:proofErr w:type="spellEnd"/>
            <w:r w:rsidRPr="00C55348">
              <w:rPr>
                <w:b/>
                <w:sz w:val="22"/>
                <w:szCs w:val="22"/>
              </w:rPr>
              <w:t xml:space="preserve"> </w:t>
            </w:r>
            <w:r w:rsidRPr="00C55348">
              <w:rPr>
                <w:b/>
                <w:sz w:val="22"/>
                <w:szCs w:val="22"/>
                <w:lang w:val="en-US"/>
              </w:rPr>
              <w:t>A</w:t>
            </w:r>
            <w:r w:rsidRPr="00C55348">
              <w:rPr>
                <w:b/>
                <w:sz w:val="22"/>
                <w:szCs w:val="22"/>
              </w:rPr>
              <w:t>, г/л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1,</w:t>
            </w:r>
            <w:r w:rsidRPr="00C55348">
              <w:rPr>
                <w:lang w:val="uk-UA"/>
              </w:rPr>
              <w:t>54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</w:t>
            </w:r>
            <w:r w:rsidRPr="00C55348">
              <w:rPr>
                <w:lang w:val="uk-UA"/>
              </w:rPr>
              <w:t>04)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2,</w:t>
            </w:r>
            <w:r w:rsidRPr="00C55348">
              <w:rPr>
                <w:lang w:val="uk-UA"/>
              </w:rPr>
              <w:t>44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</w:t>
            </w:r>
            <w:r w:rsidRPr="00C55348">
              <w:rPr>
                <w:lang w:val="uk-UA"/>
              </w:rPr>
              <w:t>22)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  <w:rPr>
                <w:lang w:val="en-US"/>
              </w:rPr>
            </w:pPr>
            <w:r w:rsidRPr="00C55348">
              <w:t>0,</w:t>
            </w:r>
            <w:r w:rsidRPr="00C55348">
              <w:rPr>
                <w:lang w:val="uk-UA"/>
              </w:rPr>
              <w:t>9</w:t>
            </w:r>
            <w:r w:rsidRPr="00C55348">
              <w:rPr>
                <w:lang w:val="en-US"/>
              </w:rPr>
              <w:t>*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2,2</w:t>
            </w:r>
            <w:r w:rsidRPr="00C55348">
              <w:rPr>
                <w:lang w:val="uk-UA"/>
              </w:rPr>
              <w:t>2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</w:t>
            </w:r>
            <w:r w:rsidRPr="00C55348">
              <w:rPr>
                <w:lang w:val="uk-UA"/>
              </w:rPr>
              <w:t>20)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  <w:rPr>
                <w:lang w:val="uk-UA"/>
              </w:rPr>
            </w:pPr>
            <w:r w:rsidRPr="00C55348">
              <w:t>0,</w:t>
            </w:r>
            <w:r w:rsidRPr="00C55348">
              <w:rPr>
                <w:lang w:val="uk-UA"/>
              </w:rPr>
              <w:t>22</w:t>
            </w:r>
          </w:p>
        </w:tc>
      </w:tr>
      <w:tr w:rsidR="00A84737" w:rsidRPr="00C55348" w:rsidTr="0033651C">
        <w:trPr>
          <w:jc w:val="center"/>
        </w:trPr>
        <w:tc>
          <w:tcPr>
            <w:tcW w:w="202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55348">
              <w:rPr>
                <w:b/>
                <w:sz w:val="22"/>
                <w:szCs w:val="22"/>
                <w:lang w:val="en-US"/>
              </w:rPr>
              <w:t>Ig</w:t>
            </w:r>
            <w:proofErr w:type="spellEnd"/>
            <w:r w:rsidRPr="00C55348">
              <w:rPr>
                <w:b/>
                <w:sz w:val="22"/>
                <w:szCs w:val="22"/>
                <w:lang w:val="en-US"/>
              </w:rPr>
              <w:t xml:space="preserve"> G</w:t>
            </w:r>
            <w:r w:rsidRPr="00C55348">
              <w:rPr>
                <w:b/>
                <w:sz w:val="22"/>
                <w:szCs w:val="22"/>
              </w:rPr>
              <w:t>, г/л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rPr>
                <w:lang w:val="uk-UA"/>
              </w:rPr>
              <w:t>10.52</w:t>
            </w:r>
            <w:r w:rsidRPr="00C55348"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0,55</w:t>
            </w:r>
            <w:r w:rsidRPr="00C55348">
              <w:rPr>
                <w:lang w:val="uk-UA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1</w:t>
            </w:r>
            <w:r w:rsidRPr="00C55348">
              <w:rPr>
                <w:lang w:val="uk-UA"/>
              </w:rPr>
              <w:t>2</w:t>
            </w:r>
            <w:r w:rsidRPr="00C55348">
              <w:t>,</w:t>
            </w:r>
            <w:r w:rsidRPr="00C55348">
              <w:rPr>
                <w:lang w:val="uk-UA"/>
              </w:rPr>
              <w:t>94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(0.82)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  <w:rPr>
                <w:lang w:val="en-US"/>
              </w:rPr>
            </w:pPr>
            <w:r w:rsidRPr="00C55348">
              <w:rPr>
                <w:lang w:val="uk-UA"/>
              </w:rPr>
              <w:t>2</w:t>
            </w:r>
            <w:r w:rsidRPr="00C55348">
              <w:t>,</w:t>
            </w:r>
            <w:r w:rsidRPr="00C55348">
              <w:rPr>
                <w:lang w:val="uk-UA"/>
              </w:rPr>
              <w:t>42</w:t>
            </w:r>
            <w:r w:rsidRPr="00C55348">
              <w:rPr>
                <w:lang w:val="en-US"/>
              </w:rPr>
              <w:t>*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1</w:t>
            </w:r>
            <w:r w:rsidRPr="00C55348">
              <w:rPr>
                <w:lang w:val="uk-UA"/>
              </w:rPr>
              <w:t>5</w:t>
            </w:r>
            <w:r w:rsidRPr="00C55348">
              <w:t>,</w:t>
            </w:r>
            <w:r w:rsidRPr="00C55348">
              <w:rPr>
                <w:lang w:val="uk-UA"/>
              </w:rPr>
              <w:t>1</w:t>
            </w:r>
            <w:r w:rsidRPr="00C55348">
              <w:t>9</w:t>
            </w:r>
            <w:r w:rsidR="00105DE9" w:rsidRPr="00C55348">
              <w:t xml:space="preserve"> (</w:t>
            </w:r>
            <w:r w:rsidRPr="00C55348">
              <w:rPr>
                <w:lang w:val="uk-UA"/>
              </w:rPr>
              <w:t>0.53</w:t>
            </w:r>
            <w:r w:rsidR="00105DE9" w:rsidRPr="00C55348">
              <w:rPr>
                <w:lang w:val="uk-UA"/>
              </w:rPr>
              <w:t>)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  <w:rPr>
                <w:lang w:val="uk-UA"/>
              </w:rPr>
            </w:pPr>
            <w:r w:rsidRPr="00C55348">
              <w:rPr>
                <w:lang w:val="uk-UA"/>
              </w:rPr>
              <w:t>2</w:t>
            </w:r>
            <w:r w:rsidRPr="00C55348">
              <w:t>,</w:t>
            </w:r>
            <w:r w:rsidRPr="00C55348">
              <w:rPr>
                <w:lang w:val="uk-UA"/>
              </w:rPr>
              <w:t>25</w:t>
            </w:r>
          </w:p>
        </w:tc>
      </w:tr>
      <w:tr w:rsidR="00A84737" w:rsidRPr="00C55348" w:rsidTr="0033651C">
        <w:trPr>
          <w:jc w:val="center"/>
        </w:trPr>
        <w:tc>
          <w:tcPr>
            <w:tcW w:w="202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C55348">
              <w:rPr>
                <w:b/>
                <w:sz w:val="22"/>
                <w:szCs w:val="22"/>
                <w:lang w:val="en-US"/>
              </w:rPr>
              <w:t>Ig</w:t>
            </w:r>
            <w:proofErr w:type="spellEnd"/>
            <w:r w:rsidRPr="00C55348">
              <w:rPr>
                <w:b/>
                <w:sz w:val="22"/>
                <w:szCs w:val="22"/>
                <w:lang w:val="en-US"/>
              </w:rPr>
              <w:t xml:space="preserve"> M</w:t>
            </w:r>
            <w:r w:rsidRPr="00C55348">
              <w:rPr>
                <w:b/>
                <w:sz w:val="22"/>
                <w:szCs w:val="22"/>
              </w:rPr>
              <w:t>, г/л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1,0</w:t>
            </w:r>
            <w:r w:rsidRPr="00C55348">
              <w:rPr>
                <w:lang w:val="uk-UA"/>
              </w:rPr>
              <w:t>4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0,0</w:t>
            </w:r>
            <w:r w:rsidRPr="00C55348">
              <w:rPr>
                <w:lang w:val="uk-UA"/>
              </w:rPr>
              <w:t>9)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2,</w:t>
            </w:r>
            <w:r w:rsidRPr="00C55348">
              <w:rPr>
                <w:lang w:val="uk-UA"/>
              </w:rPr>
              <w:t>66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</w:t>
            </w:r>
            <w:r w:rsidRPr="00C55348">
              <w:rPr>
                <w:lang w:val="uk-UA"/>
              </w:rPr>
              <w:t>36)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  <w:rPr>
                <w:lang w:val="uk-UA"/>
              </w:rPr>
            </w:pPr>
            <w:r w:rsidRPr="00C55348">
              <w:t>1,</w:t>
            </w:r>
            <w:r w:rsidRPr="00C55348">
              <w:rPr>
                <w:lang w:val="uk-UA"/>
              </w:rPr>
              <w:t>62</w:t>
            </w:r>
            <w:r w:rsidRPr="00C55348">
              <w:rPr>
                <w:lang w:val="en-US"/>
              </w:rPr>
              <w:t>*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rPr>
                <w:lang w:val="en-US"/>
              </w:rPr>
              <w:t>1</w:t>
            </w:r>
            <w:r w:rsidRPr="00C55348">
              <w:t>,</w:t>
            </w:r>
            <w:r w:rsidRPr="00C55348">
              <w:rPr>
                <w:lang w:val="uk-UA"/>
              </w:rPr>
              <w:t>38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rPr>
                <w:lang w:val="uk-UA"/>
              </w:rPr>
              <w:t>(</w:t>
            </w:r>
            <w:r w:rsidRPr="00C55348">
              <w:t>0,</w:t>
            </w:r>
            <w:r w:rsidRPr="00C55348">
              <w:rPr>
                <w:lang w:val="en-US"/>
              </w:rPr>
              <w:t>0</w:t>
            </w:r>
            <w:r w:rsidRPr="00C55348">
              <w:rPr>
                <w:lang w:val="uk-UA"/>
              </w:rPr>
              <w:t>6)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  <w:rPr>
                <w:lang w:val="uk-UA"/>
              </w:rPr>
            </w:pPr>
            <w:r w:rsidRPr="00C55348">
              <w:t>1,</w:t>
            </w:r>
            <w:r w:rsidRPr="00C55348">
              <w:rPr>
                <w:lang w:val="uk-UA"/>
              </w:rPr>
              <w:t>28</w:t>
            </w:r>
            <w:r w:rsidRPr="00C55348">
              <w:rPr>
                <w:lang w:val="en-US"/>
              </w:rPr>
              <w:t>*</w:t>
            </w:r>
          </w:p>
        </w:tc>
      </w:tr>
      <w:tr w:rsidR="00A84737" w:rsidRPr="00C55348" w:rsidTr="0033651C">
        <w:trPr>
          <w:jc w:val="center"/>
        </w:trPr>
        <w:tc>
          <w:tcPr>
            <w:tcW w:w="202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rPr>
                <w:b/>
                <w:sz w:val="22"/>
                <w:szCs w:val="22"/>
              </w:rPr>
            </w:pPr>
            <w:r w:rsidRPr="00C55348">
              <w:rPr>
                <w:b/>
                <w:sz w:val="22"/>
                <w:szCs w:val="22"/>
              </w:rPr>
              <w:t>ЦИК с 3,5% ПЭГ,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</w:pPr>
            <w:r w:rsidRPr="00C55348">
              <w:t>0,04</w:t>
            </w:r>
            <w:r w:rsidR="00105DE9" w:rsidRPr="00C55348">
              <w:t xml:space="preserve"> (</w:t>
            </w:r>
            <w:r w:rsidRPr="00C55348">
              <w:t>0,01</w:t>
            </w:r>
            <w:r w:rsidR="00105DE9" w:rsidRPr="00C55348"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  <w:rPr>
                <w:lang w:val="uk-UA"/>
              </w:rPr>
            </w:pPr>
            <w:r w:rsidRPr="00C55348">
              <w:t>0,0</w:t>
            </w:r>
            <w:r w:rsidRPr="00C55348">
              <w:rPr>
                <w:lang w:val="uk-UA"/>
              </w:rPr>
              <w:t>7</w:t>
            </w:r>
            <w:r w:rsidR="00105DE9" w:rsidRPr="00C55348">
              <w:rPr>
                <w:lang w:val="uk-UA"/>
              </w:rPr>
              <w:t xml:space="preserve"> </w:t>
            </w:r>
            <w:r w:rsidRPr="00C55348">
              <w:t>± 0,0</w:t>
            </w:r>
            <w:r w:rsidRPr="00C55348">
              <w:rPr>
                <w:lang w:val="uk-U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  <w:rPr>
                <w:lang w:val="en-US"/>
              </w:rPr>
            </w:pPr>
            <w:r w:rsidRPr="00C55348">
              <w:t>0,0</w:t>
            </w:r>
            <w:r w:rsidRPr="00C55348">
              <w:rPr>
                <w:lang w:val="uk-UA"/>
              </w:rPr>
              <w:t>3</w:t>
            </w:r>
            <w:r w:rsidRPr="00C55348">
              <w:rPr>
                <w:lang w:val="en-US"/>
              </w:rPr>
              <w:t>*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</w:pPr>
            <w:r w:rsidRPr="00C55348">
              <w:t>0,0</w:t>
            </w:r>
            <w:r w:rsidRPr="00C55348">
              <w:rPr>
                <w:lang w:val="en-US"/>
              </w:rPr>
              <w:t>5</w:t>
            </w:r>
            <w:r w:rsidR="00105DE9" w:rsidRPr="00C55348">
              <w:t xml:space="preserve"> (</w:t>
            </w:r>
            <w:r w:rsidRPr="00C55348">
              <w:t>0,01</w:t>
            </w:r>
            <w:r w:rsidR="00105DE9" w:rsidRPr="00C55348">
              <w:t>)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  <w:rPr>
                <w:lang w:val="en-US"/>
              </w:rPr>
            </w:pPr>
            <w:r w:rsidRPr="00C55348">
              <w:t>0,0</w:t>
            </w:r>
            <w:r w:rsidRPr="00C55348">
              <w:rPr>
                <w:lang w:val="en-US"/>
              </w:rPr>
              <w:t>2*</w:t>
            </w:r>
          </w:p>
        </w:tc>
      </w:tr>
      <w:tr w:rsidR="00A84737" w:rsidRPr="00C55348" w:rsidTr="0033651C">
        <w:trPr>
          <w:jc w:val="center"/>
        </w:trPr>
        <w:tc>
          <w:tcPr>
            <w:tcW w:w="202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rPr>
                <w:b/>
                <w:sz w:val="22"/>
                <w:szCs w:val="22"/>
              </w:rPr>
            </w:pPr>
            <w:r w:rsidRPr="00C55348">
              <w:rPr>
                <w:b/>
                <w:sz w:val="22"/>
                <w:szCs w:val="22"/>
              </w:rPr>
              <w:t xml:space="preserve">ЦИК с 7% </w:t>
            </w:r>
            <w:r w:rsidR="00105DE9" w:rsidRPr="00C55348">
              <w:rPr>
                <w:b/>
                <w:sz w:val="22"/>
                <w:szCs w:val="22"/>
              </w:rPr>
              <w:t xml:space="preserve"> </w:t>
            </w:r>
            <w:r w:rsidRPr="00C55348">
              <w:rPr>
                <w:b/>
                <w:sz w:val="22"/>
                <w:szCs w:val="22"/>
              </w:rPr>
              <w:t>ПЭГ,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</w:pPr>
            <w:r w:rsidRPr="00C55348">
              <w:t>0,0</w:t>
            </w:r>
            <w:r w:rsidRPr="00C55348">
              <w:rPr>
                <w:lang w:val="en-US"/>
              </w:rPr>
              <w:t>6</w:t>
            </w:r>
            <w:r w:rsidR="00105DE9" w:rsidRPr="00C55348">
              <w:t xml:space="preserve"> (</w:t>
            </w:r>
            <w:r w:rsidRPr="00C55348">
              <w:t>0,01</w:t>
            </w:r>
            <w:r w:rsidR="00105DE9" w:rsidRPr="00C55348"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</w:pPr>
            <w:r w:rsidRPr="00C55348">
              <w:t>0,0</w:t>
            </w:r>
            <w:r w:rsidRPr="00C55348">
              <w:rPr>
                <w:lang w:val="en-US"/>
              </w:rPr>
              <w:t>9</w:t>
            </w:r>
            <w:r w:rsidR="00105DE9" w:rsidRPr="00C55348">
              <w:t xml:space="preserve"> </w:t>
            </w:r>
            <w:r w:rsidRPr="00C55348">
              <w:t>± 0,02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</w:pPr>
            <w:r w:rsidRPr="00C55348">
              <w:t>0,01</w:t>
            </w:r>
            <w:r w:rsidRPr="00C55348">
              <w:rPr>
                <w:lang w:val="en-US"/>
              </w:rPr>
              <w:t>*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84737" w:rsidRPr="00C55348" w:rsidRDefault="00A84737" w:rsidP="00105DE9">
            <w:pPr>
              <w:snapToGrid w:val="0"/>
              <w:jc w:val="center"/>
            </w:pPr>
            <w:r w:rsidRPr="00C55348">
              <w:t>0,07</w:t>
            </w:r>
            <w:r w:rsidR="00105DE9" w:rsidRPr="00C55348">
              <w:t xml:space="preserve"> (</w:t>
            </w:r>
            <w:r w:rsidRPr="00C55348">
              <w:t>0,01</w:t>
            </w:r>
            <w:r w:rsidR="00105DE9" w:rsidRPr="00C55348">
              <w:t>)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4737" w:rsidRPr="00C55348" w:rsidRDefault="00A84737" w:rsidP="00E90AEF">
            <w:pPr>
              <w:snapToGrid w:val="0"/>
              <w:jc w:val="center"/>
            </w:pPr>
            <w:r w:rsidRPr="00C55348">
              <w:t>0,02</w:t>
            </w:r>
            <w:r w:rsidRPr="00C55348">
              <w:rPr>
                <w:lang w:val="en-US"/>
              </w:rPr>
              <w:t>*</w:t>
            </w:r>
          </w:p>
        </w:tc>
      </w:tr>
    </w:tbl>
    <w:p w:rsidR="0033651C" w:rsidRDefault="0033651C" w:rsidP="0033651C">
      <w:pPr>
        <w:ind w:firstLine="902"/>
        <w:jc w:val="both"/>
        <w:rPr>
          <w:b/>
          <w:szCs w:val="28"/>
          <w:lang w:val="uk-UA"/>
        </w:rPr>
      </w:pPr>
      <w:proofErr w:type="spellStart"/>
      <w:r w:rsidRPr="0033651C">
        <w:rPr>
          <w:b/>
          <w:szCs w:val="28"/>
        </w:rPr>
        <w:t>Примітка</w:t>
      </w:r>
      <w:proofErr w:type="spellEnd"/>
      <w:r w:rsidRPr="0033651C">
        <w:rPr>
          <w:b/>
          <w:szCs w:val="28"/>
        </w:rPr>
        <w:t xml:space="preserve">: </w:t>
      </w:r>
      <w:proofErr w:type="spellStart"/>
      <w:r w:rsidRPr="0033651C">
        <w:rPr>
          <w:b/>
          <w:szCs w:val="28"/>
        </w:rPr>
        <w:t>група</w:t>
      </w:r>
      <w:proofErr w:type="spellEnd"/>
      <w:r w:rsidRPr="0033651C">
        <w:rPr>
          <w:b/>
          <w:szCs w:val="28"/>
        </w:rPr>
        <w:t xml:space="preserve"> </w:t>
      </w:r>
      <w:proofErr w:type="gramStart"/>
      <w:r w:rsidRPr="0033651C">
        <w:rPr>
          <w:b/>
          <w:szCs w:val="28"/>
        </w:rPr>
        <w:t>А-</w:t>
      </w:r>
      <w:proofErr w:type="gramEnd"/>
      <w:r w:rsidRPr="0033651C">
        <w:rPr>
          <w:b/>
          <w:szCs w:val="28"/>
        </w:rPr>
        <w:t xml:space="preserve"> </w:t>
      </w:r>
      <w:proofErr w:type="spellStart"/>
      <w:r w:rsidRPr="0033651C">
        <w:rPr>
          <w:b/>
          <w:szCs w:val="28"/>
        </w:rPr>
        <w:t>контрольна</w:t>
      </w:r>
      <w:proofErr w:type="spellEnd"/>
      <w:r w:rsidRPr="0033651C">
        <w:rPr>
          <w:b/>
          <w:szCs w:val="28"/>
        </w:rPr>
        <w:t xml:space="preserve"> </w:t>
      </w:r>
      <w:proofErr w:type="spellStart"/>
      <w:r w:rsidRPr="0033651C">
        <w:rPr>
          <w:b/>
          <w:szCs w:val="28"/>
        </w:rPr>
        <w:t>група</w:t>
      </w:r>
      <w:proofErr w:type="spellEnd"/>
      <w:r w:rsidRPr="0033651C">
        <w:rPr>
          <w:b/>
          <w:szCs w:val="28"/>
        </w:rPr>
        <w:t xml:space="preserve">, </w:t>
      </w:r>
      <w:proofErr w:type="spellStart"/>
      <w:r w:rsidRPr="0033651C">
        <w:rPr>
          <w:b/>
          <w:szCs w:val="28"/>
        </w:rPr>
        <w:t>група</w:t>
      </w:r>
      <w:proofErr w:type="spellEnd"/>
      <w:r w:rsidRPr="0033651C">
        <w:rPr>
          <w:b/>
          <w:szCs w:val="28"/>
        </w:rPr>
        <w:t xml:space="preserve"> В - ІХС. * -Р &lt;0,05 -достоверность </w:t>
      </w:r>
      <w:proofErr w:type="spellStart"/>
      <w:r w:rsidRPr="0033651C">
        <w:rPr>
          <w:b/>
          <w:szCs w:val="28"/>
        </w:rPr>
        <w:t>відмінностей</w:t>
      </w:r>
      <w:proofErr w:type="spellEnd"/>
      <w:r w:rsidRPr="0033651C">
        <w:rPr>
          <w:b/>
          <w:szCs w:val="28"/>
        </w:rPr>
        <w:t xml:space="preserve"> з контролем</w:t>
      </w:r>
    </w:p>
    <w:p w:rsidR="00807BCB" w:rsidRDefault="0033651C" w:rsidP="00807BCB">
      <w:pPr>
        <w:spacing w:before="240" w:line="360" w:lineRule="auto"/>
        <w:ind w:firstLine="902"/>
        <w:jc w:val="both"/>
        <w:rPr>
          <w:sz w:val="28"/>
          <w:szCs w:val="28"/>
          <w:lang w:val="uk-UA"/>
        </w:rPr>
      </w:pPr>
      <w:r w:rsidRPr="0033651C">
        <w:rPr>
          <w:sz w:val="28"/>
          <w:szCs w:val="28"/>
          <w:lang w:val="uk-UA"/>
        </w:rPr>
        <w:t xml:space="preserve">Утворені в процесі імунної відповіді </w:t>
      </w:r>
      <w:proofErr w:type="spellStart"/>
      <w:r w:rsidRPr="0033651C">
        <w:rPr>
          <w:sz w:val="28"/>
          <w:szCs w:val="28"/>
        </w:rPr>
        <w:t>Ig</w:t>
      </w:r>
      <w:proofErr w:type="spellEnd"/>
      <w:r w:rsidRPr="0033651C">
        <w:rPr>
          <w:sz w:val="28"/>
          <w:szCs w:val="28"/>
          <w:lang w:val="uk-UA"/>
        </w:rPr>
        <w:t xml:space="preserve"> вступаючи в імунні реакції зв'язують вільні</w:t>
      </w:r>
      <w:r>
        <w:rPr>
          <w:sz w:val="28"/>
          <w:szCs w:val="28"/>
          <w:lang w:val="uk-UA"/>
        </w:rPr>
        <w:t xml:space="preserve"> </w:t>
      </w:r>
      <w:r w:rsidRPr="0033651C">
        <w:rPr>
          <w:sz w:val="28"/>
          <w:szCs w:val="28"/>
          <w:lang w:val="uk-UA"/>
        </w:rPr>
        <w:t xml:space="preserve">антигени, що циркулюють </w:t>
      </w:r>
      <w:r>
        <w:rPr>
          <w:sz w:val="28"/>
          <w:szCs w:val="28"/>
          <w:lang w:val="uk-UA"/>
        </w:rPr>
        <w:t>в плазмі крові утворюючи ЦІ</w:t>
      </w:r>
      <w:r w:rsidRPr="0033651C">
        <w:rPr>
          <w:sz w:val="28"/>
          <w:szCs w:val="28"/>
          <w:lang w:val="uk-UA"/>
        </w:rPr>
        <w:t xml:space="preserve">К. </w:t>
      </w:r>
      <w:proofErr w:type="spellStart"/>
      <w:r w:rsidRPr="0033651C">
        <w:rPr>
          <w:sz w:val="28"/>
          <w:szCs w:val="28"/>
        </w:rPr>
        <w:t>Їх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концентрація</w:t>
      </w:r>
      <w:proofErr w:type="spellEnd"/>
      <w:r w:rsidRPr="0033651C">
        <w:rPr>
          <w:sz w:val="28"/>
          <w:szCs w:val="28"/>
        </w:rPr>
        <w:t xml:space="preserve"> в </w:t>
      </w:r>
      <w:proofErr w:type="spellStart"/>
      <w:r w:rsidRPr="0033651C">
        <w:rPr>
          <w:sz w:val="28"/>
          <w:szCs w:val="28"/>
        </w:rPr>
        <w:t>крові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B7129">
        <w:rPr>
          <w:sz w:val="28"/>
          <w:szCs w:val="28"/>
        </w:rPr>
        <w:t>хворих</w:t>
      </w:r>
      <w:proofErr w:type="spellEnd"/>
      <w:r w:rsidRPr="003B7129">
        <w:rPr>
          <w:sz w:val="28"/>
          <w:szCs w:val="28"/>
        </w:rPr>
        <w:t xml:space="preserve"> </w:t>
      </w:r>
      <w:r w:rsidR="00A84737" w:rsidRPr="003B7129">
        <w:rPr>
          <w:sz w:val="28"/>
          <w:szCs w:val="28"/>
          <w:lang w:val="uk-UA"/>
        </w:rPr>
        <w:t>при прогресуванні хронічної хвороби нирок  у хворих на ІХС</w:t>
      </w:r>
      <w:r w:rsidR="00A84737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достовірно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перевищувала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контрольні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значення</w:t>
      </w:r>
      <w:proofErr w:type="spellEnd"/>
      <w:r w:rsidRPr="0033651C">
        <w:rPr>
          <w:sz w:val="28"/>
          <w:szCs w:val="28"/>
        </w:rPr>
        <w:t xml:space="preserve"> до </w:t>
      </w:r>
      <w:proofErr w:type="spellStart"/>
      <w:r w:rsidR="000D5C1C">
        <w:rPr>
          <w:sz w:val="28"/>
          <w:szCs w:val="28"/>
        </w:rPr>
        <w:t>лікування</w:t>
      </w:r>
      <w:proofErr w:type="spellEnd"/>
      <w:r w:rsidR="000D5C1C">
        <w:rPr>
          <w:sz w:val="28"/>
          <w:szCs w:val="28"/>
        </w:rPr>
        <w:t xml:space="preserve"> [в 1,75 (3,5% ПЕГ) (</w:t>
      </w:r>
      <w:proofErr w:type="gramStart"/>
      <w:r w:rsidR="000D5C1C">
        <w:rPr>
          <w:sz w:val="28"/>
          <w:szCs w:val="28"/>
        </w:rPr>
        <w:t>р</w:t>
      </w:r>
      <w:proofErr w:type="gramEnd"/>
      <w:r w:rsidRPr="0033651C">
        <w:rPr>
          <w:sz w:val="28"/>
          <w:szCs w:val="28"/>
        </w:rPr>
        <w:t xml:space="preserve">&lt;0,05) і 1,5 (7% ПЕГ) рази]. </w:t>
      </w:r>
      <w:proofErr w:type="spellStart"/>
      <w:proofErr w:type="gramStart"/>
      <w:r w:rsidRPr="0033651C">
        <w:rPr>
          <w:sz w:val="28"/>
          <w:szCs w:val="28"/>
        </w:rPr>
        <w:t>П</w:t>
      </w:r>
      <w:proofErr w:type="gramEnd"/>
      <w:r w:rsidRPr="0033651C">
        <w:rPr>
          <w:sz w:val="28"/>
          <w:szCs w:val="28"/>
        </w:rPr>
        <w:t>ісля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лікування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знижува</w:t>
      </w:r>
      <w:proofErr w:type="spellEnd"/>
      <w:r>
        <w:rPr>
          <w:sz w:val="28"/>
          <w:szCs w:val="28"/>
          <w:lang w:val="uk-UA"/>
        </w:rPr>
        <w:t>вся</w:t>
      </w:r>
      <w:r w:rsidR="000D5C1C">
        <w:rPr>
          <w:sz w:val="28"/>
          <w:szCs w:val="28"/>
        </w:rPr>
        <w:t xml:space="preserve"> </w:t>
      </w:r>
      <w:proofErr w:type="spellStart"/>
      <w:r w:rsidR="000D5C1C">
        <w:rPr>
          <w:sz w:val="28"/>
          <w:szCs w:val="28"/>
        </w:rPr>
        <w:t>щодо</w:t>
      </w:r>
      <w:proofErr w:type="spellEnd"/>
      <w:r w:rsidR="000D5C1C">
        <w:rPr>
          <w:sz w:val="28"/>
          <w:szCs w:val="28"/>
        </w:rPr>
        <w:t xml:space="preserve"> </w:t>
      </w:r>
      <w:proofErr w:type="spellStart"/>
      <w:r w:rsidR="000D5C1C">
        <w:rPr>
          <w:sz w:val="28"/>
          <w:szCs w:val="28"/>
        </w:rPr>
        <w:t>вихідного</w:t>
      </w:r>
      <w:proofErr w:type="spellEnd"/>
      <w:r w:rsidR="000D5C1C">
        <w:rPr>
          <w:sz w:val="28"/>
          <w:szCs w:val="28"/>
        </w:rPr>
        <w:t xml:space="preserve"> </w:t>
      </w:r>
      <w:proofErr w:type="spellStart"/>
      <w:r w:rsidR="000D5C1C">
        <w:rPr>
          <w:sz w:val="28"/>
          <w:szCs w:val="28"/>
        </w:rPr>
        <w:t>рівня</w:t>
      </w:r>
      <w:proofErr w:type="spellEnd"/>
      <w:r w:rsidR="000D5C1C">
        <w:rPr>
          <w:sz w:val="28"/>
          <w:szCs w:val="28"/>
        </w:rPr>
        <w:t xml:space="preserve"> [в 1,4 (р&lt;0,01) і 1,29 (р</w:t>
      </w:r>
      <w:r w:rsidRPr="0033651C">
        <w:rPr>
          <w:sz w:val="28"/>
          <w:szCs w:val="28"/>
        </w:rPr>
        <w:t xml:space="preserve">&lt;0,05) </w:t>
      </w:r>
      <w:proofErr w:type="spellStart"/>
      <w:r w:rsidRPr="0033651C">
        <w:rPr>
          <w:sz w:val="28"/>
          <w:szCs w:val="28"/>
        </w:rPr>
        <w:t>разa</w:t>
      </w:r>
      <w:proofErr w:type="spellEnd"/>
      <w:r w:rsidRPr="0033651C">
        <w:rPr>
          <w:sz w:val="28"/>
          <w:szCs w:val="28"/>
        </w:rPr>
        <w:t xml:space="preserve">], </w:t>
      </w:r>
      <w:proofErr w:type="spellStart"/>
      <w:r w:rsidRPr="0033651C">
        <w:rPr>
          <w:sz w:val="28"/>
          <w:szCs w:val="28"/>
        </w:rPr>
        <w:t>залишаючись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трохи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вище</w:t>
      </w:r>
      <w:proofErr w:type="spellEnd"/>
      <w:r w:rsidRPr="0033651C">
        <w:rPr>
          <w:sz w:val="28"/>
          <w:szCs w:val="28"/>
        </w:rPr>
        <w:t xml:space="preserve"> контролю, </w:t>
      </w:r>
      <w:proofErr w:type="spellStart"/>
      <w:r w:rsidRPr="0033651C">
        <w:rPr>
          <w:sz w:val="28"/>
          <w:szCs w:val="28"/>
        </w:rPr>
        <w:t>що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може</w:t>
      </w:r>
      <w:proofErr w:type="spellEnd"/>
      <w:r w:rsidRPr="0033651C">
        <w:rPr>
          <w:sz w:val="28"/>
          <w:szCs w:val="28"/>
        </w:rPr>
        <w:t xml:space="preserve"> бути результатом </w:t>
      </w:r>
      <w:proofErr w:type="spellStart"/>
      <w:r w:rsidRPr="0033651C">
        <w:rPr>
          <w:sz w:val="28"/>
          <w:szCs w:val="28"/>
        </w:rPr>
        <w:t>зменшення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ан</w:t>
      </w:r>
      <w:r>
        <w:rPr>
          <w:sz w:val="28"/>
          <w:szCs w:val="28"/>
        </w:rPr>
        <w:t>тигенної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стимуляції</w:t>
      </w:r>
      <w:proofErr w:type="spellEnd"/>
      <w:r>
        <w:rPr>
          <w:sz w:val="28"/>
          <w:szCs w:val="28"/>
        </w:rPr>
        <w:t xml:space="preserve"> гуморально</w:t>
      </w:r>
      <w:r>
        <w:rPr>
          <w:sz w:val="28"/>
          <w:szCs w:val="28"/>
          <w:lang w:val="uk-UA"/>
        </w:rPr>
        <w:t>ї</w:t>
      </w:r>
      <w:r w:rsidRPr="0033651C">
        <w:rPr>
          <w:sz w:val="28"/>
          <w:szCs w:val="28"/>
        </w:rPr>
        <w:t xml:space="preserve"> і </w:t>
      </w:r>
      <w:proofErr w:type="spellStart"/>
      <w:r w:rsidRPr="0033651C">
        <w:rPr>
          <w:sz w:val="28"/>
          <w:szCs w:val="28"/>
        </w:rPr>
        <w:t>активації</w:t>
      </w:r>
      <w:proofErr w:type="spellEnd"/>
      <w:r w:rsidRPr="0033651C">
        <w:rPr>
          <w:sz w:val="28"/>
          <w:szCs w:val="28"/>
        </w:rPr>
        <w:t xml:space="preserve"> </w:t>
      </w:r>
      <w:proofErr w:type="spellStart"/>
      <w:r w:rsidRPr="0033651C">
        <w:rPr>
          <w:sz w:val="28"/>
          <w:szCs w:val="28"/>
        </w:rPr>
        <w:t>макрофагальної</w:t>
      </w:r>
      <w:proofErr w:type="spellEnd"/>
      <w:r w:rsidRPr="0033651C">
        <w:rPr>
          <w:sz w:val="28"/>
          <w:szCs w:val="28"/>
        </w:rPr>
        <w:t xml:space="preserve"> ланки </w:t>
      </w:r>
      <w:proofErr w:type="spellStart"/>
      <w:r w:rsidRPr="0033651C">
        <w:rPr>
          <w:sz w:val="28"/>
          <w:szCs w:val="28"/>
        </w:rPr>
        <w:t>імунітету</w:t>
      </w:r>
      <w:proofErr w:type="spellEnd"/>
      <w:r w:rsidRPr="0033651C">
        <w:rPr>
          <w:sz w:val="28"/>
          <w:szCs w:val="28"/>
        </w:rPr>
        <w:t xml:space="preserve"> (табл. 1).</w:t>
      </w:r>
      <w:r>
        <w:rPr>
          <w:sz w:val="28"/>
          <w:szCs w:val="28"/>
          <w:lang w:val="uk-UA"/>
        </w:rPr>
        <w:t xml:space="preserve"> </w:t>
      </w:r>
      <w:r w:rsidRPr="0033651C">
        <w:rPr>
          <w:sz w:val="28"/>
          <w:szCs w:val="28"/>
          <w:lang w:val="uk-UA"/>
        </w:rPr>
        <w:t>При хронічному запа</w:t>
      </w:r>
      <w:r>
        <w:rPr>
          <w:sz w:val="28"/>
          <w:szCs w:val="28"/>
          <w:lang w:val="uk-UA"/>
        </w:rPr>
        <w:t>ленні ЦІ</w:t>
      </w:r>
      <w:r w:rsidRPr="0033651C">
        <w:rPr>
          <w:sz w:val="28"/>
          <w:szCs w:val="28"/>
          <w:lang w:val="uk-UA"/>
        </w:rPr>
        <w:t xml:space="preserve">К фіксуються на мембранах </w:t>
      </w:r>
      <w:proofErr w:type="spellStart"/>
      <w:r w:rsidRPr="0033651C">
        <w:rPr>
          <w:sz w:val="28"/>
          <w:szCs w:val="28"/>
          <w:lang w:val="uk-UA"/>
        </w:rPr>
        <w:t>ендотеліоцитів</w:t>
      </w:r>
      <w:proofErr w:type="spellEnd"/>
      <w:r w:rsidRPr="0033651C">
        <w:rPr>
          <w:sz w:val="28"/>
          <w:szCs w:val="28"/>
          <w:lang w:val="uk-UA"/>
        </w:rPr>
        <w:t xml:space="preserve"> зі зміненими поверхневими властивостями, активують систему комплементу (</w:t>
      </w:r>
      <w:proofErr w:type="spellStart"/>
      <w:r w:rsidRPr="0033651C">
        <w:rPr>
          <w:sz w:val="28"/>
          <w:szCs w:val="28"/>
          <w:lang w:val="uk-UA"/>
        </w:rPr>
        <w:t>IgM</w:t>
      </w:r>
      <w:proofErr w:type="spellEnd"/>
      <w:r w:rsidRPr="0033651C">
        <w:rPr>
          <w:sz w:val="28"/>
          <w:szCs w:val="28"/>
          <w:lang w:val="uk-UA"/>
        </w:rPr>
        <w:t xml:space="preserve">) і </w:t>
      </w:r>
      <w:proofErr w:type="spellStart"/>
      <w:r w:rsidRPr="0033651C">
        <w:rPr>
          <w:sz w:val="28"/>
          <w:szCs w:val="28"/>
          <w:lang w:val="uk-UA"/>
        </w:rPr>
        <w:t>вазоактивні</w:t>
      </w:r>
      <w:proofErr w:type="spellEnd"/>
      <w:r w:rsidRPr="0033651C">
        <w:rPr>
          <w:sz w:val="28"/>
          <w:szCs w:val="28"/>
          <w:lang w:val="uk-UA"/>
        </w:rPr>
        <w:t xml:space="preserve"> медіатори запалення, які сприяють вивільненню факторів агресії фагоцит</w:t>
      </w:r>
      <w:r w:rsidR="00B30F65">
        <w:rPr>
          <w:sz w:val="28"/>
          <w:szCs w:val="28"/>
          <w:lang w:val="uk-UA"/>
        </w:rPr>
        <w:t>ів. При цьому ушкоджуються як ЦІ</w:t>
      </w:r>
      <w:r w:rsidRPr="0033651C">
        <w:rPr>
          <w:sz w:val="28"/>
          <w:szCs w:val="28"/>
          <w:lang w:val="uk-UA"/>
        </w:rPr>
        <w:t xml:space="preserve">К так і клітинні мембрани, вивільняються ферменти і нові порції медіаторів, що і підтримує </w:t>
      </w:r>
      <w:proofErr w:type="spellStart"/>
      <w:r w:rsidRPr="0033651C">
        <w:rPr>
          <w:sz w:val="28"/>
          <w:szCs w:val="28"/>
          <w:lang w:val="uk-UA"/>
        </w:rPr>
        <w:t>аутоімунний</w:t>
      </w:r>
      <w:proofErr w:type="spellEnd"/>
      <w:r w:rsidRPr="0033651C">
        <w:rPr>
          <w:sz w:val="28"/>
          <w:szCs w:val="28"/>
          <w:lang w:val="uk-UA"/>
        </w:rPr>
        <w:t xml:space="preserve"> компонент запалення.</w:t>
      </w:r>
      <w:r w:rsidR="00807BCB">
        <w:rPr>
          <w:sz w:val="28"/>
          <w:szCs w:val="28"/>
          <w:lang w:val="uk-UA"/>
        </w:rPr>
        <w:t xml:space="preserve"> </w:t>
      </w:r>
      <w:r w:rsidR="00807BCB" w:rsidRPr="00807BCB">
        <w:rPr>
          <w:sz w:val="28"/>
          <w:szCs w:val="28"/>
          <w:lang w:val="uk-UA"/>
        </w:rPr>
        <w:t xml:space="preserve">Таким </w:t>
      </w:r>
      <w:r w:rsidR="00807BCB">
        <w:rPr>
          <w:sz w:val="28"/>
          <w:szCs w:val="28"/>
          <w:lang w:val="uk-UA"/>
        </w:rPr>
        <w:t>чином</w:t>
      </w:r>
      <w:r w:rsidR="000F1150" w:rsidRPr="00807BCB">
        <w:rPr>
          <w:sz w:val="28"/>
          <w:szCs w:val="28"/>
          <w:lang w:val="uk-UA"/>
        </w:rPr>
        <w:t xml:space="preserve"> </w:t>
      </w:r>
      <w:r w:rsidR="00A84737" w:rsidRPr="00807BCB">
        <w:rPr>
          <w:sz w:val="28"/>
          <w:szCs w:val="28"/>
          <w:lang w:val="uk-UA"/>
        </w:rPr>
        <w:t xml:space="preserve">при прогресуванні </w:t>
      </w:r>
      <w:r w:rsidR="00A84737" w:rsidRPr="00807BCB">
        <w:rPr>
          <w:sz w:val="28"/>
          <w:szCs w:val="28"/>
          <w:lang w:val="uk-UA"/>
        </w:rPr>
        <w:lastRenderedPageBreak/>
        <w:t>хронічної хвороби нирок  у хворих на ІХС</w:t>
      </w:r>
      <w:r w:rsidR="00E90AEF" w:rsidRPr="00807BCB">
        <w:rPr>
          <w:sz w:val="28"/>
          <w:szCs w:val="28"/>
          <w:lang w:val="uk-UA"/>
        </w:rPr>
        <w:t xml:space="preserve"> </w:t>
      </w:r>
      <w:r w:rsidR="00A84737">
        <w:rPr>
          <w:b/>
          <w:sz w:val="28"/>
          <w:szCs w:val="28"/>
          <w:lang w:val="uk-UA"/>
        </w:rPr>
        <w:t xml:space="preserve"> </w:t>
      </w:r>
      <w:r w:rsidR="00807BCB" w:rsidRPr="00807BCB">
        <w:rPr>
          <w:sz w:val="28"/>
          <w:szCs w:val="28"/>
          <w:lang w:val="uk-UA"/>
        </w:rPr>
        <w:t>специфічна гуморальна реактивність підвищується, що</w:t>
      </w:r>
      <w:r w:rsidR="00807BCB">
        <w:rPr>
          <w:sz w:val="28"/>
          <w:szCs w:val="28"/>
          <w:lang w:val="uk-UA"/>
        </w:rPr>
        <w:t xml:space="preserve"> </w:t>
      </w:r>
      <w:r w:rsidR="00807BCB" w:rsidRPr="00807BCB">
        <w:rPr>
          <w:sz w:val="28"/>
          <w:szCs w:val="28"/>
          <w:lang w:val="uk-UA"/>
        </w:rPr>
        <w:t>ймовірно</w:t>
      </w:r>
      <w:r w:rsidR="00807BCB">
        <w:rPr>
          <w:sz w:val="28"/>
          <w:szCs w:val="28"/>
          <w:lang w:val="uk-UA"/>
        </w:rPr>
        <w:t>,</w:t>
      </w:r>
      <w:r w:rsidR="00807BCB" w:rsidRPr="00807BCB">
        <w:rPr>
          <w:sz w:val="28"/>
          <w:szCs w:val="28"/>
          <w:lang w:val="uk-UA"/>
        </w:rPr>
        <w:t xml:space="preserve"> є результатом </w:t>
      </w:r>
      <w:proofErr w:type="spellStart"/>
      <w:r w:rsidR="00807BCB" w:rsidRPr="00807BCB">
        <w:rPr>
          <w:sz w:val="28"/>
          <w:szCs w:val="28"/>
          <w:lang w:val="uk-UA"/>
        </w:rPr>
        <w:t>аутоімунізації</w:t>
      </w:r>
      <w:proofErr w:type="spellEnd"/>
      <w:r w:rsidR="00807BCB" w:rsidRPr="00807BCB">
        <w:rPr>
          <w:sz w:val="28"/>
          <w:szCs w:val="28"/>
          <w:lang w:val="uk-UA"/>
        </w:rPr>
        <w:t xml:space="preserve"> внаслідок перманентного пошкодження тканин. Стандартна терапія не відновлює гуморальну ланку так як не є специфічною стосовно імунн</w:t>
      </w:r>
      <w:r w:rsidR="00807BCB">
        <w:rPr>
          <w:sz w:val="28"/>
          <w:szCs w:val="28"/>
          <w:lang w:val="uk-UA"/>
        </w:rPr>
        <w:t>ої</w:t>
      </w:r>
      <w:r w:rsidR="00807BCB" w:rsidRPr="00807BCB">
        <w:rPr>
          <w:sz w:val="28"/>
          <w:szCs w:val="28"/>
          <w:lang w:val="uk-UA"/>
        </w:rPr>
        <w:t xml:space="preserve"> систем</w:t>
      </w:r>
      <w:r w:rsidR="00807BCB">
        <w:rPr>
          <w:sz w:val="28"/>
          <w:szCs w:val="28"/>
          <w:lang w:val="uk-UA"/>
        </w:rPr>
        <w:t>и</w:t>
      </w:r>
      <w:r w:rsidR="00807BCB" w:rsidRPr="00807BCB">
        <w:rPr>
          <w:sz w:val="28"/>
          <w:szCs w:val="28"/>
          <w:lang w:val="uk-UA"/>
        </w:rPr>
        <w:t xml:space="preserve">, тому доцільність використання </w:t>
      </w:r>
      <w:proofErr w:type="spellStart"/>
      <w:r w:rsidR="00807BCB" w:rsidRPr="00807BCB">
        <w:rPr>
          <w:sz w:val="28"/>
          <w:szCs w:val="28"/>
          <w:lang w:val="uk-UA"/>
        </w:rPr>
        <w:t>імунокорекції</w:t>
      </w:r>
      <w:proofErr w:type="spellEnd"/>
      <w:r w:rsidR="00807BCB" w:rsidRPr="00807BCB">
        <w:rPr>
          <w:sz w:val="28"/>
          <w:szCs w:val="28"/>
          <w:lang w:val="uk-UA"/>
        </w:rPr>
        <w:t xml:space="preserve"> на певних етапах розвитку хвороби не викликає сумнівів.</w:t>
      </w:r>
      <w:r w:rsidR="00807BCB">
        <w:rPr>
          <w:sz w:val="28"/>
          <w:szCs w:val="28"/>
          <w:lang w:val="uk-UA"/>
        </w:rPr>
        <w:t xml:space="preserve"> </w:t>
      </w:r>
      <w:r w:rsidR="00807BCB" w:rsidRPr="00807BCB">
        <w:rPr>
          <w:sz w:val="28"/>
          <w:szCs w:val="28"/>
        </w:rPr>
        <w:t xml:space="preserve">Результатами наших </w:t>
      </w:r>
      <w:proofErr w:type="spellStart"/>
      <w:proofErr w:type="gramStart"/>
      <w:r w:rsidR="00807BCB" w:rsidRPr="00807BCB">
        <w:rPr>
          <w:sz w:val="28"/>
          <w:szCs w:val="28"/>
        </w:rPr>
        <w:t>досл</w:t>
      </w:r>
      <w:proofErr w:type="gramEnd"/>
      <w:r w:rsidR="00807BCB" w:rsidRPr="00807BCB">
        <w:rPr>
          <w:sz w:val="28"/>
          <w:szCs w:val="28"/>
        </w:rPr>
        <w:t>іджень</w:t>
      </w:r>
      <w:proofErr w:type="spellEnd"/>
      <w:r w:rsidR="00807BCB" w:rsidRPr="00807BCB">
        <w:rPr>
          <w:sz w:val="28"/>
          <w:szCs w:val="28"/>
        </w:rPr>
        <w:t xml:space="preserve"> показано </w:t>
      </w:r>
      <w:proofErr w:type="spellStart"/>
      <w:r w:rsidR="00807BCB" w:rsidRPr="00807BCB">
        <w:rPr>
          <w:sz w:val="28"/>
          <w:szCs w:val="28"/>
        </w:rPr>
        <w:t>зниження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стимуляції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Ig-продуцентів</w:t>
      </w:r>
      <w:proofErr w:type="spellEnd"/>
      <w:r w:rsidR="00807BCB" w:rsidRPr="00807BCB">
        <w:rPr>
          <w:sz w:val="28"/>
          <w:szCs w:val="28"/>
        </w:rPr>
        <w:t>,</w:t>
      </w:r>
      <w:r w:rsidR="00807BCB">
        <w:rPr>
          <w:sz w:val="28"/>
          <w:szCs w:val="28"/>
        </w:rPr>
        <w:t xml:space="preserve"> </w:t>
      </w:r>
      <w:proofErr w:type="spellStart"/>
      <w:r w:rsidR="00807BCB">
        <w:rPr>
          <w:sz w:val="28"/>
          <w:szCs w:val="28"/>
        </w:rPr>
        <w:t>після</w:t>
      </w:r>
      <w:proofErr w:type="spellEnd"/>
      <w:r w:rsidR="00807BCB">
        <w:rPr>
          <w:sz w:val="28"/>
          <w:szCs w:val="28"/>
        </w:rPr>
        <w:t xml:space="preserve"> </w:t>
      </w:r>
      <w:proofErr w:type="spellStart"/>
      <w:r w:rsidR="00807BCB">
        <w:rPr>
          <w:sz w:val="28"/>
          <w:szCs w:val="28"/>
        </w:rPr>
        <w:t>лікування</w:t>
      </w:r>
      <w:proofErr w:type="spellEnd"/>
      <w:r w:rsidR="00807BCB">
        <w:rPr>
          <w:sz w:val="28"/>
          <w:szCs w:val="28"/>
        </w:rPr>
        <w:t xml:space="preserve">, </w:t>
      </w:r>
      <w:proofErr w:type="spellStart"/>
      <w:r w:rsidR="00807BCB">
        <w:rPr>
          <w:sz w:val="28"/>
          <w:szCs w:val="28"/>
        </w:rPr>
        <w:t>що</w:t>
      </w:r>
      <w:proofErr w:type="spellEnd"/>
      <w:r w:rsidR="00807BCB">
        <w:rPr>
          <w:sz w:val="28"/>
          <w:szCs w:val="28"/>
        </w:rPr>
        <w:t xml:space="preserve"> </w:t>
      </w:r>
      <w:r w:rsidR="00807BCB">
        <w:rPr>
          <w:sz w:val="28"/>
          <w:szCs w:val="28"/>
          <w:lang w:val="uk-UA"/>
        </w:rPr>
        <w:t>ймовірно</w:t>
      </w:r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пов'язано</w:t>
      </w:r>
      <w:proofErr w:type="spellEnd"/>
      <w:r w:rsidR="00807BCB" w:rsidRPr="00807BCB">
        <w:rPr>
          <w:sz w:val="28"/>
          <w:szCs w:val="28"/>
        </w:rPr>
        <w:t xml:space="preserve"> з </w:t>
      </w:r>
      <w:proofErr w:type="spellStart"/>
      <w:r w:rsidR="00807BCB" w:rsidRPr="00807BCB">
        <w:rPr>
          <w:sz w:val="28"/>
          <w:szCs w:val="28"/>
        </w:rPr>
        <w:t>активаці</w:t>
      </w:r>
      <w:r w:rsidR="00807BCB">
        <w:rPr>
          <w:sz w:val="28"/>
          <w:szCs w:val="28"/>
        </w:rPr>
        <w:t>єю</w:t>
      </w:r>
      <w:proofErr w:type="spellEnd"/>
      <w:r w:rsidR="00807BCB">
        <w:rPr>
          <w:sz w:val="28"/>
          <w:szCs w:val="28"/>
        </w:rPr>
        <w:t xml:space="preserve"> Т-</w:t>
      </w:r>
      <w:proofErr w:type="spellStart"/>
      <w:r w:rsidR="00807BCB">
        <w:rPr>
          <w:sz w:val="28"/>
          <w:szCs w:val="28"/>
        </w:rPr>
        <w:t>клітинної</w:t>
      </w:r>
      <w:proofErr w:type="spellEnd"/>
      <w:r w:rsidR="00807BCB">
        <w:rPr>
          <w:sz w:val="28"/>
          <w:szCs w:val="28"/>
        </w:rPr>
        <w:t xml:space="preserve"> ланки (Th1 і CD8</w:t>
      </w:r>
      <w:r w:rsidR="00807BCB" w:rsidRPr="00807BCB">
        <w:rPr>
          <w:sz w:val="28"/>
          <w:szCs w:val="28"/>
        </w:rPr>
        <w:t xml:space="preserve">+), синтезом γ-ІФН і </w:t>
      </w:r>
      <w:proofErr w:type="spellStart"/>
      <w:r w:rsidR="00807BCB" w:rsidRPr="00807BCB">
        <w:rPr>
          <w:sz w:val="28"/>
          <w:szCs w:val="28"/>
        </w:rPr>
        <w:t>ексклюзивного</w:t>
      </w:r>
      <w:proofErr w:type="spellEnd"/>
      <w:r w:rsidR="00807BCB" w:rsidRPr="00807BCB">
        <w:rPr>
          <w:sz w:val="28"/>
          <w:szCs w:val="28"/>
        </w:rPr>
        <w:t xml:space="preserve"> активатора Th1 - IL-12, </w:t>
      </w:r>
      <w:proofErr w:type="spellStart"/>
      <w:r w:rsidR="00807BCB" w:rsidRPr="00807BCB">
        <w:rPr>
          <w:sz w:val="28"/>
          <w:szCs w:val="28"/>
        </w:rPr>
        <w:t>які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пригнічують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активність</w:t>
      </w:r>
      <w:proofErr w:type="spellEnd"/>
      <w:r w:rsidR="00807BCB" w:rsidRPr="00807BCB">
        <w:rPr>
          <w:sz w:val="28"/>
          <w:szCs w:val="28"/>
        </w:rPr>
        <w:t xml:space="preserve"> Th2 і </w:t>
      </w:r>
      <w:proofErr w:type="spellStart"/>
      <w:r w:rsidR="00807BCB" w:rsidRPr="00807BCB">
        <w:rPr>
          <w:sz w:val="28"/>
          <w:szCs w:val="28"/>
        </w:rPr>
        <w:t>клітин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Ig</w:t>
      </w:r>
      <w:proofErr w:type="spellEnd"/>
      <w:r w:rsidR="00807BCB" w:rsidRPr="00807BCB">
        <w:rPr>
          <w:sz w:val="28"/>
          <w:szCs w:val="28"/>
        </w:rPr>
        <w:t xml:space="preserve">- </w:t>
      </w:r>
      <w:proofErr w:type="spellStart"/>
      <w:r w:rsidR="00807BCB" w:rsidRPr="00807BCB">
        <w:rPr>
          <w:sz w:val="28"/>
          <w:szCs w:val="28"/>
        </w:rPr>
        <w:t>продуцентів</w:t>
      </w:r>
      <w:proofErr w:type="spellEnd"/>
      <w:r w:rsidR="00807BCB" w:rsidRPr="00807BCB">
        <w:rPr>
          <w:sz w:val="28"/>
          <w:szCs w:val="28"/>
        </w:rPr>
        <w:t xml:space="preserve">, </w:t>
      </w:r>
      <w:proofErr w:type="spellStart"/>
      <w:r w:rsidR="00807BCB" w:rsidRPr="00807BCB">
        <w:rPr>
          <w:sz w:val="28"/>
          <w:szCs w:val="28"/>
        </w:rPr>
        <w:t>відновлюючи</w:t>
      </w:r>
      <w:proofErr w:type="spellEnd"/>
      <w:r w:rsidR="00807BCB" w:rsidRPr="00807BCB">
        <w:rPr>
          <w:sz w:val="28"/>
          <w:szCs w:val="28"/>
        </w:rPr>
        <w:t xml:space="preserve"> баланс </w:t>
      </w:r>
      <w:proofErr w:type="spellStart"/>
      <w:r w:rsidR="00807BCB" w:rsidRPr="00807BCB">
        <w:rPr>
          <w:sz w:val="28"/>
          <w:szCs w:val="28"/>
        </w:rPr>
        <w:t>між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клітинним</w:t>
      </w:r>
      <w:proofErr w:type="spellEnd"/>
      <w:r w:rsidR="00807BCB" w:rsidRPr="00807BCB">
        <w:rPr>
          <w:sz w:val="28"/>
          <w:szCs w:val="28"/>
        </w:rPr>
        <w:t xml:space="preserve"> та </w:t>
      </w:r>
      <w:proofErr w:type="spellStart"/>
      <w:r w:rsidR="00807BCB" w:rsidRPr="00807BCB">
        <w:rPr>
          <w:sz w:val="28"/>
          <w:szCs w:val="28"/>
        </w:rPr>
        <w:t>гуморальним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імунітетом</w:t>
      </w:r>
      <w:proofErr w:type="spellEnd"/>
      <w:r w:rsidR="00807BCB" w:rsidRPr="00807BCB">
        <w:rPr>
          <w:sz w:val="28"/>
          <w:szCs w:val="28"/>
        </w:rPr>
        <w:t xml:space="preserve"> і </w:t>
      </w:r>
      <w:proofErr w:type="spellStart"/>
      <w:r w:rsidR="00807BCB" w:rsidRPr="00807BCB">
        <w:rPr>
          <w:sz w:val="28"/>
          <w:szCs w:val="28"/>
        </w:rPr>
        <w:t>зменшуючи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вплив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аутоімунного</w:t>
      </w:r>
      <w:proofErr w:type="spellEnd"/>
      <w:r w:rsidR="00807BCB" w:rsidRPr="00807BCB">
        <w:rPr>
          <w:sz w:val="28"/>
          <w:szCs w:val="28"/>
        </w:rPr>
        <w:t xml:space="preserve"> компонента </w:t>
      </w:r>
      <w:proofErr w:type="spellStart"/>
      <w:r w:rsidR="00807BCB" w:rsidRPr="00807BCB">
        <w:rPr>
          <w:sz w:val="28"/>
          <w:szCs w:val="28"/>
        </w:rPr>
        <w:t>підтримки</w:t>
      </w:r>
      <w:proofErr w:type="spellEnd"/>
      <w:r w:rsidR="00807BCB" w:rsidRPr="00807BCB">
        <w:rPr>
          <w:sz w:val="28"/>
          <w:szCs w:val="28"/>
        </w:rPr>
        <w:t xml:space="preserve"> </w:t>
      </w:r>
      <w:proofErr w:type="spellStart"/>
      <w:r w:rsidR="00807BCB" w:rsidRPr="00807BCB">
        <w:rPr>
          <w:sz w:val="28"/>
          <w:szCs w:val="28"/>
        </w:rPr>
        <w:t>запалення</w:t>
      </w:r>
      <w:proofErr w:type="spellEnd"/>
      <w:r w:rsidR="00807BCB" w:rsidRPr="00807BCB">
        <w:rPr>
          <w:sz w:val="28"/>
          <w:szCs w:val="28"/>
        </w:rPr>
        <w:t>.</w:t>
      </w:r>
    </w:p>
    <w:p w:rsidR="00807BCB" w:rsidRPr="00807BCB" w:rsidRDefault="00807BCB" w:rsidP="00807BCB">
      <w:pPr>
        <w:spacing w:before="120" w:line="360" w:lineRule="auto"/>
        <w:ind w:left="-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807BCB">
        <w:rPr>
          <w:b/>
          <w:sz w:val="28"/>
          <w:szCs w:val="28"/>
          <w:lang w:val="uk-UA"/>
        </w:rPr>
        <w:t>исновки</w:t>
      </w:r>
    </w:p>
    <w:p w:rsidR="00807BCB" w:rsidRPr="00807BCB" w:rsidRDefault="00807BCB" w:rsidP="001B1E1F">
      <w:pPr>
        <w:spacing w:line="360" w:lineRule="auto"/>
        <w:ind w:left="-14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Гуморальна</w:t>
      </w:r>
      <w:r w:rsidRPr="00807B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специфічна</w:t>
      </w:r>
      <w:r w:rsidRPr="00807BCB">
        <w:rPr>
          <w:sz w:val="28"/>
          <w:szCs w:val="28"/>
          <w:lang w:val="uk-UA"/>
        </w:rPr>
        <w:t xml:space="preserve"> ланка імунітету при прогресуванні х</w:t>
      </w:r>
      <w:r w:rsidR="001B1E1F">
        <w:rPr>
          <w:sz w:val="28"/>
          <w:szCs w:val="28"/>
          <w:lang w:val="uk-UA"/>
        </w:rPr>
        <w:t>ронічної хвороби нірок у хворих</w:t>
      </w:r>
      <w:r w:rsidRPr="00807BCB">
        <w:rPr>
          <w:sz w:val="28"/>
          <w:szCs w:val="28"/>
          <w:lang w:val="uk-UA"/>
        </w:rPr>
        <w:t xml:space="preserve"> на ІХС</w:t>
      </w:r>
      <w:r w:rsidR="001B1E1F">
        <w:rPr>
          <w:sz w:val="28"/>
          <w:szCs w:val="28"/>
          <w:lang w:val="uk-UA"/>
        </w:rPr>
        <w:t>, ймовірно, внаслідок перманентного у</w:t>
      </w:r>
      <w:r w:rsidRPr="00807BCB">
        <w:rPr>
          <w:sz w:val="28"/>
          <w:szCs w:val="28"/>
          <w:lang w:val="uk-UA"/>
        </w:rPr>
        <w:t xml:space="preserve">шкодження тканин реагує стимуляцією клітин </w:t>
      </w:r>
      <w:r w:rsidR="001B1E1F">
        <w:rPr>
          <w:sz w:val="28"/>
          <w:szCs w:val="28"/>
          <w:lang w:val="uk-UA"/>
        </w:rPr>
        <w:t xml:space="preserve">- </w:t>
      </w:r>
      <w:proofErr w:type="spellStart"/>
      <w:r w:rsidRPr="00807BCB">
        <w:rPr>
          <w:sz w:val="28"/>
          <w:szCs w:val="28"/>
        </w:rPr>
        <w:t>Ig</w:t>
      </w:r>
      <w:r w:rsidRPr="00807BCB">
        <w:rPr>
          <w:sz w:val="28"/>
          <w:szCs w:val="28"/>
          <w:lang w:val="uk-UA"/>
        </w:rPr>
        <w:t>-продуценті</w:t>
      </w:r>
      <w:r w:rsidR="001B1E1F">
        <w:rPr>
          <w:sz w:val="28"/>
          <w:szCs w:val="28"/>
          <w:lang w:val="uk-UA"/>
        </w:rPr>
        <w:t>в</w:t>
      </w:r>
      <w:proofErr w:type="spellEnd"/>
      <w:r w:rsidR="001B1E1F">
        <w:rPr>
          <w:sz w:val="28"/>
          <w:szCs w:val="28"/>
          <w:lang w:val="uk-UA"/>
        </w:rPr>
        <w:t>, результатом чого є підвищення</w:t>
      </w:r>
      <w:r w:rsidRPr="00807BCB">
        <w:rPr>
          <w:sz w:val="28"/>
          <w:szCs w:val="28"/>
          <w:lang w:val="uk-UA"/>
        </w:rPr>
        <w:t xml:space="preserve"> вміст</w:t>
      </w:r>
      <w:r w:rsidR="001B1E1F">
        <w:rPr>
          <w:sz w:val="28"/>
          <w:szCs w:val="28"/>
          <w:lang w:val="uk-UA"/>
        </w:rPr>
        <w:t>у</w:t>
      </w:r>
      <w:r w:rsidRPr="00807BCB">
        <w:rPr>
          <w:sz w:val="28"/>
          <w:szCs w:val="28"/>
          <w:lang w:val="uk-UA"/>
        </w:rPr>
        <w:t xml:space="preserve"> сироваткових </w:t>
      </w:r>
      <w:proofErr w:type="spellStart"/>
      <w:r w:rsidRPr="00807BCB">
        <w:rPr>
          <w:sz w:val="28"/>
          <w:szCs w:val="28"/>
        </w:rPr>
        <w:t>IgA</w:t>
      </w:r>
      <w:proofErr w:type="spellEnd"/>
      <w:r w:rsidRPr="00807BCB">
        <w:rPr>
          <w:sz w:val="28"/>
          <w:szCs w:val="28"/>
          <w:lang w:val="uk-UA"/>
        </w:rPr>
        <w:t xml:space="preserve">, </w:t>
      </w:r>
      <w:proofErr w:type="spellStart"/>
      <w:r w:rsidRPr="00807BCB">
        <w:rPr>
          <w:sz w:val="28"/>
          <w:szCs w:val="28"/>
        </w:rPr>
        <w:t>IgG</w:t>
      </w:r>
      <w:proofErr w:type="spellEnd"/>
      <w:r w:rsidRPr="00807BCB">
        <w:rPr>
          <w:sz w:val="28"/>
          <w:szCs w:val="28"/>
          <w:lang w:val="uk-UA"/>
        </w:rPr>
        <w:t xml:space="preserve">, </w:t>
      </w:r>
      <w:proofErr w:type="spellStart"/>
      <w:r w:rsidRPr="00807BCB">
        <w:rPr>
          <w:sz w:val="28"/>
          <w:szCs w:val="28"/>
        </w:rPr>
        <w:t>IgM</w:t>
      </w:r>
      <w:proofErr w:type="spellEnd"/>
      <w:r w:rsidR="001B1E1F">
        <w:rPr>
          <w:sz w:val="28"/>
          <w:szCs w:val="28"/>
          <w:lang w:val="uk-UA"/>
        </w:rPr>
        <w:t xml:space="preserve"> і ЦІ</w:t>
      </w:r>
      <w:r>
        <w:rPr>
          <w:sz w:val="28"/>
          <w:szCs w:val="28"/>
          <w:lang w:val="uk-UA"/>
        </w:rPr>
        <w:t>К до лікування</w:t>
      </w:r>
      <w:r w:rsidR="001B1E1F">
        <w:rPr>
          <w:sz w:val="28"/>
          <w:szCs w:val="28"/>
          <w:lang w:val="uk-UA"/>
        </w:rPr>
        <w:t>.</w:t>
      </w:r>
    </w:p>
    <w:p w:rsidR="00807BCB" w:rsidRDefault="00807BCB" w:rsidP="001B1E1F">
      <w:pPr>
        <w:spacing w:line="360" w:lineRule="auto"/>
        <w:ind w:left="-142" w:firstLine="851"/>
        <w:jc w:val="both"/>
        <w:rPr>
          <w:sz w:val="28"/>
          <w:szCs w:val="28"/>
          <w:lang w:val="uk-UA"/>
        </w:rPr>
      </w:pPr>
      <w:r w:rsidRPr="001B1E1F">
        <w:rPr>
          <w:sz w:val="28"/>
          <w:szCs w:val="28"/>
          <w:lang w:val="uk-UA"/>
        </w:rPr>
        <w:t xml:space="preserve">2. Застосування </w:t>
      </w:r>
      <w:proofErr w:type="spellStart"/>
      <w:r w:rsidRPr="001B1E1F">
        <w:rPr>
          <w:sz w:val="28"/>
          <w:szCs w:val="28"/>
          <w:lang w:val="uk-UA"/>
        </w:rPr>
        <w:t>імуномодулятора</w:t>
      </w:r>
      <w:proofErr w:type="spellEnd"/>
      <w:r w:rsidRPr="001B1E1F">
        <w:rPr>
          <w:sz w:val="28"/>
          <w:szCs w:val="28"/>
          <w:lang w:val="uk-UA"/>
        </w:rPr>
        <w:t xml:space="preserve"> </w:t>
      </w:r>
      <w:r w:rsidR="001B1E1F" w:rsidRPr="001B1E1F">
        <w:rPr>
          <w:sz w:val="28"/>
          <w:szCs w:val="28"/>
          <w:lang w:val="uk-UA"/>
        </w:rPr>
        <w:t xml:space="preserve">зменшує стимуляцію </w:t>
      </w:r>
      <w:proofErr w:type="spellStart"/>
      <w:r w:rsidR="001B1E1F">
        <w:rPr>
          <w:sz w:val="28"/>
          <w:szCs w:val="28"/>
        </w:rPr>
        <w:t>Ig</w:t>
      </w:r>
      <w:proofErr w:type="spellEnd"/>
      <w:r w:rsidR="001B1E1F" w:rsidRPr="001B1E1F">
        <w:rPr>
          <w:sz w:val="28"/>
          <w:szCs w:val="28"/>
          <w:lang w:val="uk-UA"/>
        </w:rPr>
        <w:t xml:space="preserve"> - продуку</w:t>
      </w:r>
      <w:r w:rsidR="001B1E1F">
        <w:rPr>
          <w:sz w:val="28"/>
          <w:szCs w:val="28"/>
          <w:lang w:val="uk-UA"/>
        </w:rPr>
        <w:t>ючої</w:t>
      </w:r>
      <w:r w:rsidRPr="001B1E1F">
        <w:rPr>
          <w:sz w:val="28"/>
          <w:szCs w:val="28"/>
          <w:lang w:val="uk-UA"/>
        </w:rPr>
        <w:t xml:space="preserve"> функції В-лімфоцитів, так, що рівні сироваткових </w:t>
      </w:r>
      <w:proofErr w:type="spellStart"/>
      <w:r w:rsidRPr="00807BCB">
        <w:rPr>
          <w:sz w:val="28"/>
          <w:szCs w:val="28"/>
        </w:rPr>
        <w:t>IgA</w:t>
      </w:r>
      <w:proofErr w:type="spellEnd"/>
      <w:r w:rsidRPr="001B1E1F">
        <w:rPr>
          <w:sz w:val="28"/>
          <w:szCs w:val="28"/>
          <w:lang w:val="uk-UA"/>
        </w:rPr>
        <w:t xml:space="preserve"> і </w:t>
      </w:r>
      <w:proofErr w:type="spellStart"/>
      <w:r w:rsidRPr="00807BCB">
        <w:rPr>
          <w:sz w:val="28"/>
          <w:szCs w:val="28"/>
        </w:rPr>
        <w:t>IgM</w:t>
      </w:r>
      <w:proofErr w:type="spellEnd"/>
      <w:r w:rsidRPr="001B1E1F">
        <w:rPr>
          <w:sz w:val="28"/>
          <w:szCs w:val="28"/>
          <w:lang w:val="uk-UA"/>
        </w:rPr>
        <w:t xml:space="preserve"> (антитіла гострої фази) зменшуються щодо вихідного рівня, а рівень </w:t>
      </w:r>
      <w:proofErr w:type="spellStart"/>
      <w:r w:rsidRPr="00807BCB">
        <w:rPr>
          <w:sz w:val="28"/>
          <w:szCs w:val="28"/>
        </w:rPr>
        <w:t>IgG</w:t>
      </w:r>
      <w:proofErr w:type="spellEnd"/>
      <w:r w:rsidRPr="001B1E1F">
        <w:rPr>
          <w:sz w:val="28"/>
          <w:szCs w:val="28"/>
          <w:lang w:val="uk-UA"/>
        </w:rPr>
        <w:t xml:space="preserve"> (антитіл вторинної імун</w:t>
      </w:r>
      <w:r w:rsidR="001B1E1F">
        <w:rPr>
          <w:sz w:val="28"/>
          <w:szCs w:val="28"/>
          <w:lang w:val="uk-UA"/>
        </w:rPr>
        <w:t>ної відповіді) збільшується, засвід</w:t>
      </w:r>
      <w:r w:rsidR="001B1E1F" w:rsidRPr="001B1E1F">
        <w:rPr>
          <w:sz w:val="28"/>
          <w:szCs w:val="28"/>
          <w:lang w:val="uk-UA"/>
        </w:rPr>
        <w:t>чуючи</w:t>
      </w:r>
      <w:r w:rsidRPr="001B1E1F">
        <w:rPr>
          <w:sz w:val="28"/>
          <w:szCs w:val="28"/>
          <w:lang w:val="uk-UA"/>
        </w:rPr>
        <w:t xml:space="preserve"> про відновлення черговості активації клітин - продуцентів </w:t>
      </w:r>
      <w:proofErr w:type="spellStart"/>
      <w:r w:rsidRPr="00807BCB">
        <w:rPr>
          <w:sz w:val="28"/>
          <w:szCs w:val="28"/>
        </w:rPr>
        <w:t>IgM</w:t>
      </w:r>
      <w:proofErr w:type="spellEnd"/>
      <w:r w:rsidRPr="001B1E1F">
        <w:rPr>
          <w:sz w:val="28"/>
          <w:szCs w:val="28"/>
          <w:lang w:val="uk-UA"/>
        </w:rPr>
        <w:t xml:space="preserve"> на </w:t>
      </w:r>
      <w:proofErr w:type="spellStart"/>
      <w:r w:rsidRPr="00807BCB">
        <w:rPr>
          <w:sz w:val="28"/>
          <w:szCs w:val="28"/>
        </w:rPr>
        <w:t>IgG</w:t>
      </w:r>
      <w:r w:rsidRPr="001B1E1F">
        <w:rPr>
          <w:sz w:val="28"/>
          <w:szCs w:val="28"/>
          <w:lang w:val="uk-UA"/>
        </w:rPr>
        <w:t>-продуценти</w:t>
      </w:r>
      <w:proofErr w:type="spellEnd"/>
      <w:r w:rsidRPr="001B1E1F">
        <w:rPr>
          <w:sz w:val="28"/>
          <w:szCs w:val="28"/>
          <w:lang w:val="uk-UA"/>
        </w:rPr>
        <w:t>, що може вказувати на регрес запального ушкодження тканин.</w:t>
      </w:r>
    </w:p>
    <w:p w:rsidR="00105DE9" w:rsidRPr="00105DE9" w:rsidRDefault="00105DE9" w:rsidP="000D5C1C">
      <w:pPr>
        <w:spacing w:before="240" w:line="360" w:lineRule="auto"/>
        <w:ind w:left="-14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ишемическая болезнь сердца, </w:t>
      </w:r>
      <w:proofErr w:type="spellStart"/>
      <w:r>
        <w:rPr>
          <w:sz w:val="28"/>
          <w:szCs w:val="28"/>
          <w:lang w:val="uk-UA"/>
        </w:rPr>
        <w:t>хроническая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болезнь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почек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гуморальный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специфичекий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иммунитет</w:t>
      </w:r>
      <w:proofErr w:type="spellEnd"/>
      <w:r>
        <w:rPr>
          <w:sz w:val="28"/>
          <w:szCs w:val="28"/>
          <w:lang w:val="uk-UA"/>
        </w:rPr>
        <w:t>.</w:t>
      </w:r>
    </w:p>
    <w:p w:rsidR="00105DE9" w:rsidRPr="00105DE9" w:rsidRDefault="00105DE9" w:rsidP="00105DE9">
      <w:pPr>
        <w:spacing w:line="360" w:lineRule="auto"/>
        <w:ind w:left="2127" w:hanging="2127"/>
        <w:rPr>
          <w:sz w:val="28"/>
          <w:szCs w:val="28"/>
          <w:lang w:val="uk-UA"/>
        </w:rPr>
      </w:pPr>
      <w:r w:rsidRPr="00105DE9">
        <w:rPr>
          <w:b/>
          <w:sz w:val="28"/>
          <w:szCs w:val="28"/>
          <w:lang w:val="uk-UA"/>
        </w:rPr>
        <w:t>Ключові слова:</w:t>
      </w:r>
      <w:r w:rsidRPr="00105DE9">
        <w:rPr>
          <w:sz w:val="28"/>
          <w:szCs w:val="28"/>
          <w:lang w:val="uk-UA"/>
        </w:rPr>
        <w:t xml:space="preserve"> ішемічна хвороба серця, </w:t>
      </w:r>
      <w:r>
        <w:rPr>
          <w:sz w:val="28"/>
          <w:szCs w:val="28"/>
          <w:lang w:val="uk-UA"/>
        </w:rPr>
        <w:t>хронічна хвороба нирок, гуморальний специфічний імунітет</w:t>
      </w:r>
    </w:p>
    <w:p w:rsidR="00105DE9" w:rsidRPr="00105DE9" w:rsidRDefault="00105DE9" w:rsidP="00105DE9">
      <w:pPr>
        <w:spacing w:line="360" w:lineRule="auto"/>
        <w:ind w:left="1843" w:hanging="1843"/>
        <w:rPr>
          <w:sz w:val="28"/>
          <w:szCs w:val="28"/>
          <w:lang w:val="en-US"/>
        </w:rPr>
      </w:pPr>
      <w:r w:rsidRPr="008D637F">
        <w:rPr>
          <w:b/>
          <w:sz w:val="28"/>
          <w:szCs w:val="28"/>
          <w:lang w:val="en-US"/>
        </w:rPr>
        <w:t>Key words</w:t>
      </w:r>
      <w:r w:rsidRPr="007E4239">
        <w:rPr>
          <w:sz w:val="28"/>
          <w:szCs w:val="28"/>
          <w:lang w:val="en-US"/>
        </w:rPr>
        <w:t xml:space="preserve">: ischemic heart disease, </w:t>
      </w:r>
      <w:r w:rsidRPr="00105DE9">
        <w:rPr>
          <w:sz w:val="28"/>
          <w:szCs w:val="28"/>
          <w:lang w:val="en-US"/>
        </w:rPr>
        <w:t xml:space="preserve">chronic kidney disease, </w:t>
      </w:r>
      <w:proofErr w:type="spellStart"/>
      <w:r w:rsidRPr="00105DE9">
        <w:rPr>
          <w:sz w:val="28"/>
          <w:szCs w:val="28"/>
          <w:lang w:val="en-US"/>
        </w:rPr>
        <w:t>humoral</w:t>
      </w:r>
      <w:proofErr w:type="spellEnd"/>
      <w:r w:rsidRPr="00105DE9">
        <w:rPr>
          <w:sz w:val="28"/>
          <w:szCs w:val="28"/>
          <w:lang w:val="en-US"/>
        </w:rPr>
        <w:t xml:space="preserve"> specific immunity.</w:t>
      </w:r>
    </w:p>
    <w:p w:rsidR="00105DE9" w:rsidRPr="00105DE9" w:rsidRDefault="00105DE9" w:rsidP="00C55348">
      <w:pPr>
        <w:spacing w:line="360" w:lineRule="auto"/>
        <w:jc w:val="center"/>
        <w:rPr>
          <w:b/>
          <w:sz w:val="28"/>
          <w:szCs w:val="28"/>
        </w:rPr>
      </w:pPr>
      <w:r w:rsidRPr="00105DE9">
        <w:rPr>
          <w:b/>
          <w:sz w:val="28"/>
          <w:szCs w:val="28"/>
        </w:rPr>
        <w:lastRenderedPageBreak/>
        <w:t xml:space="preserve">Список </w:t>
      </w:r>
      <w:proofErr w:type="spellStart"/>
      <w:r w:rsidRPr="00105DE9">
        <w:rPr>
          <w:b/>
          <w:sz w:val="28"/>
          <w:szCs w:val="28"/>
        </w:rPr>
        <w:t>цитованої</w:t>
      </w:r>
      <w:proofErr w:type="spellEnd"/>
      <w:r w:rsidRPr="00105DE9">
        <w:rPr>
          <w:b/>
          <w:sz w:val="28"/>
          <w:szCs w:val="28"/>
        </w:rPr>
        <w:t xml:space="preserve"> </w:t>
      </w:r>
      <w:proofErr w:type="spellStart"/>
      <w:r w:rsidRPr="00105DE9">
        <w:rPr>
          <w:b/>
          <w:sz w:val="28"/>
          <w:szCs w:val="28"/>
        </w:rPr>
        <w:t>літератури</w:t>
      </w:r>
      <w:proofErr w:type="spellEnd"/>
    </w:p>
    <w:p w:rsidR="00105DE9" w:rsidRPr="00105DE9" w:rsidRDefault="00105DE9" w:rsidP="00C55348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105DE9">
        <w:rPr>
          <w:sz w:val="28"/>
          <w:szCs w:val="28"/>
        </w:rPr>
        <w:t xml:space="preserve">Серов В. А. Эпидемиология хронической болезни почек у больных с хронической сердечной недостаточностью / В. А. Серов, А. М. Шутов, М. В. </w:t>
      </w:r>
      <w:proofErr w:type="spellStart"/>
      <w:r w:rsidRPr="00105DE9">
        <w:rPr>
          <w:sz w:val="28"/>
          <w:szCs w:val="28"/>
        </w:rPr>
        <w:t>Мензоров</w:t>
      </w:r>
      <w:proofErr w:type="spellEnd"/>
      <w:r w:rsidRPr="00105DE9">
        <w:rPr>
          <w:sz w:val="28"/>
          <w:szCs w:val="28"/>
        </w:rPr>
        <w:t xml:space="preserve"> [и др.] // Нефрология. – 2010. – Т. 14, №. 1. – С. 50−55.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105DE9">
        <w:rPr>
          <w:sz w:val="28"/>
          <w:szCs w:val="28"/>
        </w:rPr>
        <w:t xml:space="preserve">Сердечно-сосудистый риск и хроническая болезнь почек: стратегии </w:t>
      </w:r>
      <w:proofErr w:type="spellStart"/>
      <w:r w:rsidRPr="00105DE9">
        <w:rPr>
          <w:sz w:val="28"/>
          <w:szCs w:val="28"/>
        </w:rPr>
        <w:t>кардио-нефропротекции</w:t>
      </w:r>
      <w:proofErr w:type="spellEnd"/>
      <w:proofErr w:type="gramStart"/>
      <w:r w:rsidRPr="00105DE9">
        <w:rPr>
          <w:sz w:val="28"/>
          <w:szCs w:val="28"/>
        </w:rPr>
        <w:t xml:space="preserve"> :</w:t>
      </w:r>
      <w:proofErr w:type="gramEnd"/>
      <w:r w:rsidRPr="00105DE9">
        <w:rPr>
          <w:sz w:val="28"/>
          <w:szCs w:val="28"/>
        </w:rPr>
        <w:t xml:space="preserve"> клинические рекомендации / В. С. Моисеев, Н. А. Мухин, А. В. Смирнов [</w:t>
      </w:r>
      <w:r w:rsidRPr="00105DE9">
        <w:rPr>
          <w:sz w:val="28"/>
          <w:szCs w:val="28"/>
          <w:lang w:val="uk-UA"/>
        </w:rPr>
        <w:t>и др.</w:t>
      </w:r>
      <w:r w:rsidRPr="00105DE9">
        <w:rPr>
          <w:sz w:val="28"/>
          <w:szCs w:val="28"/>
        </w:rPr>
        <w:t>] // Российский кардиологический журнал. – 2014. – №. 8 (112). – C. 7−37.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  <w:lang w:val="uk-UA"/>
        </w:rPr>
      </w:pPr>
      <w:r w:rsidRPr="00105DE9">
        <w:rPr>
          <w:sz w:val="28"/>
          <w:szCs w:val="28"/>
          <w:lang w:val="uk-UA"/>
        </w:rPr>
        <w:t xml:space="preserve">Прогресування хронічної хвороби нирок: клінічні та імунологічні аспекти / І. О. Дудар, В. Є. </w:t>
      </w:r>
      <w:proofErr w:type="spellStart"/>
      <w:r w:rsidRPr="00105DE9">
        <w:rPr>
          <w:sz w:val="28"/>
          <w:szCs w:val="28"/>
          <w:lang w:val="uk-UA"/>
        </w:rPr>
        <w:t>Дріянська</w:t>
      </w:r>
      <w:proofErr w:type="spellEnd"/>
      <w:r w:rsidRPr="00105DE9">
        <w:rPr>
          <w:sz w:val="28"/>
          <w:szCs w:val="28"/>
          <w:lang w:val="uk-UA"/>
        </w:rPr>
        <w:t>, О. М. Лобода та [</w:t>
      </w:r>
      <w:proofErr w:type="spellStart"/>
      <w:r w:rsidRPr="00105DE9">
        <w:rPr>
          <w:sz w:val="28"/>
          <w:szCs w:val="28"/>
          <w:lang w:val="uk-UA"/>
        </w:rPr>
        <w:t>та</w:t>
      </w:r>
      <w:proofErr w:type="spellEnd"/>
      <w:r w:rsidRPr="00105DE9">
        <w:rPr>
          <w:sz w:val="28"/>
          <w:szCs w:val="28"/>
          <w:lang w:val="uk-UA"/>
        </w:rPr>
        <w:t xml:space="preserve"> ін.] // Актуальні питання нефрології : збірник наукових праць. – Київ : </w:t>
      </w:r>
      <w:proofErr w:type="spellStart"/>
      <w:r w:rsidRPr="00105DE9">
        <w:rPr>
          <w:sz w:val="28"/>
          <w:szCs w:val="28"/>
          <w:lang w:val="uk-UA"/>
        </w:rPr>
        <w:t>Задруга</w:t>
      </w:r>
      <w:proofErr w:type="spellEnd"/>
      <w:r w:rsidRPr="00105DE9">
        <w:rPr>
          <w:sz w:val="28"/>
          <w:szCs w:val="28"/>
          <w:lang w:val="uk-UA"/>
        </w:rPr>
        <w:t>. – 2012. – Вип. 18– С. 47−60.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105DE9">
        <w:rPr>
          <w:sz w:val="28"/>
          <w:szCs w:val="28"/>
        </w:rPr>
        <w:t xml:space="preserve">Швецов М. Ю. Хроническая болезнь почек как общемедицинская проблема: современные принципы </w:t>
      </w:r>
      <w:proofErr w:type="spellStart"/>
      <w:r w:rsidRPr="00105DE9">
        <w:rPr>
          <w:sz w:val="28"/>
          <w:szCs w:val="28"/>
        </w:rPr>
        <w:t>нефропрофилактики</w:t>
      </w:r>
      <w:proofErr w:type="spellEnd"/>
      <w:r w:rsidRPr="00105DE9">
        <w:rPr>
          <w:sz w:val="28"/>
          <w:szCs w:val="28"/>
        </w:rPr>
        <w:t xml:space="preserve"> и </w:t>
      </w:r>
      <w:proofErr w:type="spellStart"/>
      <w:r w:rsidRPr="00105DE9">
        <w:rPr>
          <w:sz w:val="28"/>
          <w:szCs w:val="28"/>
        </w:rPr>
        <w:t>нефропротективной</w:t>
      </w:r>
      <w:proofErr w:type="spellEnd"/>
      <w:r w:rsidRPr="00105DE9">
        <w:rPr>
          <w:sz w:val="28"/>
          <w:szCs w:val="28"/>
        </w:rPr>
        <w:t xml:space="preserve"> терапии / М. Ю. Швецов // </w:t>
      </w:r>
      <w:proofErr w:type="spellStart"/>
      <w:r w:rsidRPr="00105DE9">
        <w:rPr>
          <w:sz w:val="28"/>
          <w:szCs w:val="28"/>
        </w:rPr>
        <w:t>Consilium</w:t>
      </w:r>
      <w:proofErr w:type="spellEnd"/>
      <w:r w:rsidRPr="00105DE9">
        <w:rPr>
          <w:sz w:val="28"/>
          <w:szCs w:val="28"/>
        </w:rPr>
        <w:t xml:space="preserve"> </w:t>
      </w:r>
      <w:proofErr w:type="spellStart"/>
      <w:r w:rsidRPr="00105DE9">
        <w:rPr>
          <w:sz w:val="28"/>
          <w:szCs w:val="28"/>
        </w:rPr>
        <w:t>medicum</w:t>
      </w:r>
      <w:proofErr w:type="spellEnd"/>
      <w:r w:rsidRPr="00105DE9">
        <w:rPr>
          <w:sz w:val="28"/>
          <w:szCs w:val="28"/>
        </w:rPr>
        <w:t>. – 2014. – Т. 16, №. 7. – С. 51−64.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105DE9">
        <w:rPr>
          <w:sz w:val="28"/>
          <w:szCs w:val="28"/>
        </w:rPr>
        <w:t xml:space="preserve">Патофизиологические аспекты изменения и коррекции врожденного иммунитета при хронической почечной недостаточности/ М. В. </w:t>
      </w:r>
      <w:proofErr w:type="spellStart"/>
      <w:r w:rsidRPr="00105DE9">
        <w:rPr>
          <w:sz w:val="28"/>
          <w:szCs w:val="28"/>
        </w:rPr>
        <w:t>Осиков</w:t>
      </w:r>
      <w:proofErr w:type="spellEnd"/>
      <w:r w:rsidRPr="00105DE9">
        <w:rPr>
          <w:sz w:val="28"/>
          <w:szCs w:val="28"/>
        </w:rPr>
        <w:t>, Л. Ф. Телешева, Ю. И. Агеев [и др.] // Научное обозрение. Медицинские науки. – 2014. – № 1. – С. 87−88.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105DE9">
        <w:rPr>
          <w:sz w:val="28"/>
          <w:szCs w:val="28"/>
        </w:rPr>
        <w:t>Медицинские лабораторные технологии</w:t>
      </w:r>
      <w:proofErr w:type="gramStart"/>
      <w:r w:rsidRPr="00105DE9">
        <w:rPr>
          <w:sz w:val="28"/>
          <w:szCs w:val="28"/>
        </w:rPr>
        <w:t xml:space="preserve"> :</w:t>
      </w:r>
      <w:proofErr w:type="gramEnd"/>
      <w:r w:rsidRPr="00105DE9">
        <w:rPr>
          <w:sz w:val="28"/>
          <w:szCs w:val="28"/>
        </w:rPr>
        <w:t xml:space="preserve"> справочник. В 2 т. Т. 2 / под ред. А. И. </w:t>
      </w:r>
      <w:proofErr w:type="spellStart"/>
      <w:r w:rsidRPr="00105DE9">
        <w:rPr>
          <w:sz w:val="28"/>
          <w:szCs w:val="28"/>
        </w:rPr>
        <w:t>Карпищенко</w:t>
      </w:r>
      <w:proofErr w:type="spellEnd"/>
      <w:r w:rsidRPr="00105DE9">
        <w:rPr>
          <w:sz w:val="28"/>
          <w:szCs w:val="28"/>
        </w:rPr>
        <w:t xml:space="preserve">. − 2-е изд., </w:t>
      </w:r>
      <w:proofErr w:type="spellStart"/>
      <w:r w:rsidRPr="00105DE9">
        <w:rPr>
          <w:sz w:val="28"/>
          <w:szCs w:val="28"/>
        </w:rPr>
        <w:t>перераб</w:t>
      </w:r>
      <w:proofErr w:type="spellEnd"/>
      <w:r w:rsidRPr="00105DE9">
        <w:rPr>
          <w:sz w:val="28"/>
          <w:szCs w:val="28"/>
        </w:rPr>
        <w:t>. и доп. – Санкт-Петербург</w:t>
      </w:r>
      <w:proofErr w:type="gramStart"/>
      <w:r w:rsidRPr="00105DE9">
        <w:rPr>
          <w:sz w:val="28"/>
          <w:szCs w:val="28"/>
        </w:rPr>
        <w:t xml:space="preserve"> :</w:t>
      </w:r>
      <w:proofErr w:type="gramEnd"/>
      <w:r w:rsidRPr="00105DE9">
        <w:rPr>
          <w:sz w:val="28"/>
          <w:szCs w:val="28"/>
        </w:rPr>
        <w:t xml:space="preserve"> </w:t>
      </w:r>
      <w:proofErr w:type="spellStart"/>
      <w:r w:rsidRPr="00105DE9">
        <w:rPr>
          <w:sz w:val="28"/>
          <w:szCs w:val="28"/>
        </w:rPr>
        <w:t>Интермедика</w:t>
      </w:r>
      <w:proofErr w:type="spellEnd"/>
      <w:r w:rsidRPr="00105DE9">
        <w:rPr>
          <w:sz w:val="28"/>
          <w:szCs w:val="28"/>
        </w:rPr>
        <w:t>, 2002. – 406 с.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105DE9">
        <w:rPr>
          <w:sz w:val="28"/>
          <w:szCs w:val="28"/>
        </w:rPr>
        <w:t>Халафян</w:t>
      </w:r>
      <w:proofErr w:type="spellEnd"/>
      <w:r w:rsidRPr="00105DE9">
        <w:rPr>
          <w:sz w:val="28"/>
          <w:szCs w:val="28"/>
        </w:rPr>
        <w:t xml:space="preserve"> А.А. STATISTICA 6. Статистический анализ данных. − 3-е изд. – Москва</w:t>
      </w:r>
      <w:proofErr w:type="gramStart"/>
      <w:r w:rsidRPr="00105DE9">
        <w:rPr>
          <w:sz w:val="28"/>
          <w:szCs w:val="28"/>
        </w:rPr>
        <w:t xml:space="preserve"> :</w:t>
      </w:r>
      <w:proofErr w:type="gramEnd"/>
      <w:r w:rsidRPr="00105DE9">
        <w:rPr>
          <w:sz w:val="28"/>
          <w:szCs w:val="28"/>
        </w:rPr>
        <w:t xml:space="preserve"> ООО «Бином-Пресс», 2007. − 512 с.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r w:rsidRPr="00105DE9">
        <w:rPr>
          <w:sz w:val="28"/>
          <w:szCs w:val="28"/>
        </w:rPr>
        <w:t xml:space="preserve">Маркёры воспаления у пациентов с сердечной недостаточностью в </w:t>
      </w:r>
      <w:proofErr w:type="spellStart"/>
      <w:r w:rsidRPr="00105DE9">
        <w:rPr>
          <w:sz w:val="28"/>
          <w:szCs w:val="28"/>
        </w:rPr>
        <w:t>коморбидности</w:t>
      </w:r>
      <w:proofErr w:type="spellEnd"/>
      <w:r w:rsidRPr="00105DE9">
        <w:rPr>
          <w:sz w:val="28"/>
          <w:szCs w:val="28"/>
        </w:rPr>
        <w:t xml:space="preserve"> с хронической болезнью почек / А. А. </w:t>
      </w:r>
      <w:proofErr w:type="spellStart"/>
      <w:r w:rsidRPr="00105DE9">
        <w:rPr>
          <w:sz w:val="28"/>
          <w:szCs w:val="28"/>
        </w:rPr>
        <w:t>Насыбуллина</w:t>
      </w:r>
      <w:proofErr w:type="spellEnd"/>
      <w:r w:rsidRPr="00105DE9">
        <w:rPr>
          <w:sz w:val="28"/>
          <w:szCs w:val="28"/>
        </w:rPr>
        <w:t xml:space="preserve">, О. В. </w:t>
      </w:r>
      <w:proofErr w:type="spellStart"/>
      <w:r w:rsidRPr="00105DE9">
        <w:rPr>
          <w:sz w:val="28"/>
          <w:szCs w:val="28"/>
        </w:rPr>
        <w:t>Булашова</w:t>
      </w:r>
      <w:proofErr w:type="spellEnd"/>
      <w:r w:rsidRPr="00105DE9">
        <w:rPr>
          <w:sz w:val="28"/>
          <w:szCs w:val="28"/>
        </w:rPr>
        <w:t xml:space="preserve">, В. М. </w:t>
      </w:r>
      <w:proofErr w:type="spellStart"/>
      <w:r w:rsidRPr="00105DE9">
        <w:rPr>
          <w:sz w:val="28"/>
          <w:szCs w:val="28"/>
        </w:rPr>
        <w:t>Газизянова</w:t>
      </w:r>
      <w:proofErr w:type="spellEnd"/>
      <w:r w:rsidRPr="00105DE9">
        <w:rPr>
          <w:sz w:val="28"/>
          <w:szCs w:val="28"/>
        </w:rPr>
        <w:t xml:space="preserve"> [и др.] // Казанский медицинский журнал. − 2016. − № 6. − С. 881−887.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</w:rPr>
      </w:pPr>
      <w:proofErr w:type="spellStart"/>
      <w:r w:rsidRPr="00105DE9">
        <w:rPr>
          <w:sz w:val="28"/>
          <w:szCs w:val="28"/>
        </w:rPr>
        <w:lastRenderedPageBreak/>
        <w:t>Бегляров</w:t>
      </w:r>
      <w:proofErr w:type="spellEnd"/>
      <w:r w:rsidRPr="00105DE9">
        <w:rPr>
          <w:sz w:val="28"/>
          <w:szCs w:val="28"/>
        </w:rPr>
        <w:t xml:space="preserve"> Р. О. Иммунологическая реактивность у детей с </w:t>
      </w:r>
      <w:proofErr w:type="gramStart"/>
      <w:r w:rsidRPr="00105DE9">
        <w:rPr>
          <w:sz w:val="28"/>
          <w:szCs w:val="28"/>
        </w:rPr>
        <w:t>хроническим</w:t>
      </w:r>
      <w:proofErr w:type="gramEnd"/>
      <w:r w:rsidRPr="00105DE9">
        <w:rPr>
          <w:sz w:val="28"/>
          <w:szCs w:val="28"/>
        </w:rPr>
        <w:t xml:space="preserve"> </w:t>
      </w:r>
      <w:proofErr w:type="spellStart"/>
      <w:r w:rsidRPr="00105DE9">
        <w:rPr>
          <w:sz w:val="28"/>
          <w:szCs w:val="28"/>
        </w:rPr>
        <w:t>гломерулонефритом</w:t>
      </w:r>
      <w:proofErr w:type="spellEnd"/>
      <w:r w:rsidRPr="00105DE9">
        <w:rPr>
          <w:sz w:val="28"/>
          <w:szCs w:val="28"/>
        </w:rPr>
        <w:t xml:space="preserve"> / Р. О. </w:t>
      </w:r>
      <w:proofErr w:type="spellStart"/>
      <w:r w:rsidRPr="00105DE9">
        <w:rPr>
          <w:sz w:val="28"/>
          <w:szCs w:val="28"/>
        </w:rPr>
        <w:t>Бегляров</w:t>
      </w:r>
      <w:proofErr w:type="spellEnd"/>
      <w:r w:rsidRPr="00105DE9">
        <w:rPr>
          <w:sz w:val="28"/>
          <w:szCs w:val="28"/>
        </w:rPr>
        <w:t xml:space="preserve"> // Исследования и практика в медицине. − 2018. − Т. 5, № 1. − С. 38−44.</w:t>
      </w:r>
    </w:p>
    <w:p w:rsidR="00105DE9" w:rsidRPr="00105DE9" w:rsidRDefault="00105DE9" w:rsidP="00105DE9">
      <w:pPr>
        <w:pStyle w:val="a9"/>
        <w:numPr>
          <w:ilvl w:val="0"/>
          <w:numId w:val="2"/>
        </w:numPr>
        <w:suppressAutoHyphens w:val="0"/>
        <w:spacing w:line="360" w:lineRule="auto"/>
        <w:ind w:left="0" w:firstLine="360"/>
        <w:jc w:val="both"/>
        <w:rPr>
          <w:sz w:val="28"/>
          <w:szCs w:val="28"/>
          <w:lang w:val="en-US"/>
        </w:rPr>
      </w:pPr>
      <w:proofErr w:type="spellStart"/>
      <w:r w:rsidRPr="00105DE9">
        <w:rPr>
          <w:sz w:val="28"/>
          <w:szCs w:val="28"/>
          <w:lang w:val="en-US"/>
        </w:rPr>
        <w:t>Tuegel</w:t>
      </w:r>
      <w:proofErr w:type="spellEnd"/>
      <w:r w:rsidRPr="00105DE9">
        <w:rPr>
          <w:sz w:val="28"/>
          <w:szCs w:val="28"/>
          <w:lang w:val="en-US"/>
        </w:rPr>
        <w:t xml:space="preserve"> C. Heart failure in patients with kidney disease / C. </w:t>
      </w:r>
      <w:proofErr w:type="spellStart"/>
      <w:r w:rsidRPr="00105DE9">
        <w:rPr>
          <w:sz w:val="28"/>
          <w:szCs w:val="28"/>
          <w:lang w:val="en-US"/>
        </w:rPr>
        <w:t>Tuegel</w:t>
      </w:r>
      <w:proofErr w:type="spellEnd"/>
      <w:r w:rsidRPr="00105DE9">
        <w:rPr>
          <w:sz w:val="28"/>
          <w:szCs w:val="28"/>
          <w:lang w:val="en-US"/>
        </w:rPr>
        <w:t xml:space="preserve">, N. </w:t>
      </w:r>
      <w:proofErr w:type="spellStart"/>
      <w:r w:rsidRPr="00105DE9">
        <w:rPr>
          <w:sz w:val="28"/>
          <w:szCs w:val="28"/>
          <w:lang w:val="en-US"/>
        </w:rPr>
        <w:t>Bansal</w:t>
      </w:r>
      <w:proofErr w:type="spellEnd"/>
      <w:r w:rsidRPr="00105DE9">
        <w:rPr>
          <w:sz w:val="28"/>
          <w:szCs w:val="28"/>
          <w:lang w:val="en-US"/>
        </w:rPr>
        <w:t xml:space="preserve"> // Heart. – 2017. – Vol. 103, N 23. – P. 1848-1853. − DOI: 10.1136/heartjnl-2016-310794.</w:t>
      </w:r>
    </w:p>
    <w:p w:rsidR="00105DE9" w:rsidRPr="00105DE9" w:rsidRDefault="00105DE9" w:rsidP="00105DE9">
      <w:pPr>
        <w:spacing w:line="360" w:lineRule="auto"/>
        <w:ind w:firstLine="360"/>
        <w:jc w:val="center"/>
        <w:rPr>
          <w:rFonts w:eastAsia="Calibri"/>
          <w:b/>
          <w:sz w:val="28"/>
          <w:szCs w:val="28"/>
        </w:rPr>
      </w:pPr>
      <w:proofErr w:type="spellStart"/>
      <w:r w:rsidRPr="00105DE9">
        <w:rPr>
          <w:rFonts w:eastAsia="Calibri"/>
          <w:b/>
          <w:sz w:val="28"/>
          <w:szCs w:val="28"/>
        </w:rPr>
        <w:t>References</w:t>
      </w:r>
      <w:proofErr w:type="spellEnd"/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t>Serov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V.A., </w:t>
      </w:r>
      <w:proofErr w:type="spellStart"/>
      <w:r w:rsidRPr="00105DE9">
        <w:rPr>
          <w:rFonts w:eastAsia="Calibri"/>
          <w:sz w:val="28"/>
          <w:szCs w:val="28"/>
          <w:lang w:val="en-US"/>
        </w:rPr>
        <w:t>Shutov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A.M., </w:t>
      </w:r>
      <w:proofErr w:type="spellStart"/>
      <w:r w:rsidRPr="00105DE9">
        <w:rPr>
          <w:rFonts w:eastAsia="Calibri"/>
          <w:sz w:val="28"/>
          <w:szCs w:val="28"/>
          <w:lang w:val="en-US"/>
        </w:rPr>
        <w:t>Menzorov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M.V., </w:t>
      </w:r>
      <w:proofErr w:type="spellStart"/>
      <w:r w:rsidRPr="00105DE9">
        <w:rPr>
          <w:rFonts w:eastAsia="Calibri"/>
          <w:sz w:val="28"/>
          <w:szCs w:val="28"/>
          <w:lang w:val="en-US"/>
        </w:rPr>
        <w:t>Makeeva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E.R., </w:t>
      </w:r>
      <w:proofErr w:type="spellStart"/>
      <w:r w:rsidRPr="00105DE9">
        <w:rPr>
          <w:rFonts w:eastAsia="Calibri"/>
          <w:sz w:val="28"/>
          <w:szCs w:val="28"/>
          <w:lang w:val="en-US"/>
        </w:rPr>
        <w:t>Serova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D.V. 2010, Epidemiology of chronic kidney disease patients with chronic heart failure, Nephrology, Vol. 14, No 1, pp. 50-55. (in Russian)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t>Moiseev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V. S., </w:t>
      </w:r>
      <w:proofErr w:type="spellStart"/>
      <w:r w:rsidRPr="00105DE9">
        <w:rPr>
          <w:rFonts w:eastAsia="Calibri"/>
          <w:sz w:val="28"/>
          <w:szCs w:val="28"/>
          <w:lang w:val="en-US"/>
        </w:rPr>
        <w:t>Muhin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N. A., Smirnov A. V., </w:t>
      </w:r>
      <w:proofErr w:type="spellStart"/>
      <w:r w:rsidRPr="00105DE9">
        <w:rPr>
          <w:rFonts w:eastAsia="Calibri"/>
          <w:sz w:val="28"/>
          <w:szCs w:val="28"/>
          <w:lang w:val="en-US"/>
        </w:rPr>
        <w:t>Kobalava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5DE9">
        <w:rPr>
          <w:rFonts w:eastAsia="Calibri"/>
          <w:sz w:val="28"/>
          <w:szCs w:val="28"/>
          <w:lang w:val="en-US"/>
        </w:rPr>
        <w:t>Zh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. D., </w:t>
      </w:r>
      <w:proofErr w:type="spellStart"/>
      <w:r w:rsidRPr="00105DE9">
        <w:rPr>
          <w:rFonts w:eastAsia="Calibri"/>
          <w:sz w:val="28"/>
          <w:szCs w:val="28"/>
          <w:lang w:val="en-US"/>
        </w:rPr>
        <w:t>Bobkova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I. N., </w:t>
      </w:r>
      <w:proofErr w:type="spellStart"/>
      <w:r w:rsidRPr="00105DE9">
        <w:rPr>
          <w:rFonts w:eastAsia="Calibri"/>
          <w:sz w:val="28"/>
          <w:szCs w:val="28"/>
          <w:lang w:val="en-US"/>
        </w:rPr>
        <w:t>Villevalde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S.V. … </w:t>
      </w:r>
      <w:proofErr w:type="spellStart"/>
      <w:r w:rsidRPr="00105DE9">
        <w:rPr>
          <w:rFonts w:eastAsia="Calibri"/>
          <w:sz w:val="28"/>
          <w:szCs w:val="28"/>
          <w:lang w:val="en-US"/>
        </w:rPr>
        <w:t>Shutov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A. M., 2014, </w:t>
      </w:r>
      <w:proofErr w:type="gramStart"/>
      <w:r w:rsidRPr="00105DE9">
        <w:rPr>
          <w:rFonts w:eastAsia="Calibri"/>
          <w:sz w:val="28"/>
          <w:szCs w:val="28"/>
          <w:lang w:val="en-US"/>
        </w:rPr>
        <w:t>Cardiovascular</w:t>
      </w:r>
      <w:proofErr w:type="gramEnd"/>
      <w:r w:rsidRPr="00105DE9">
        <w:rPr>
          <w:rFonts w:eastAsia="Calibri"/>
          <w:sz w:val="28"/>
          <w:szCs w:val="28"/>
          <w:lang w:val="en-US"/>
        </w:rPr>
        <w:t xml:space="preserve"> risk and chronic kidney disease: cardio-</w:t>
      </w:r>
      <w:proofErr w:type="spellStart"/>
      <w:r w:rsidRPr="00105DE9">
        <w:rPr>
          <w:rFonts w:eastAsia="Calibri"/>
          <w:sz w:val="28"/>
          <w:szCs w:val="28"/>
          <w:lang w:val="en-US"/>
        </w:rPr>
        <w:t>nephroprotection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strategies: clinical guidelines,</w:t>
      </w:r>
      <w:r w:rsidRPr="00105DE9">
        <w:rPr>
          <w:sz w:val="28"/>
          <w:szCs w:val="28"/>
          <w:lang w:val="en-US"/>
        </w:rPr>
        <w:t xml:space="preserve"> </w:t>
      </w:r>
      <w:r w:rsidRPr="00105DE9">
        <w:rPr>
          <w:rFonts w:eastAsia="Calibri"/>
          <w:sz w:val="28"/>
          <w:szCs w:val="28"/>
          <w:lang w:val="en-US"/>
        </w:rPr>
        <w:t xml:space="preserve">Russian Journal of Cardiology, No 8, pp. 7-37. </w:t>
      </w:r>
      <w:r w:rsidRPr="00105DE9">
        <w:rPr>
          <w:rFonts w:eastAsia="Calibri"/>
          <w:sz w:val="28"/>
          <w:szCs w:val="28"/>
        </w:rPr>
        <w:t>(</w:t>
      </w:r>
      <w:proofErr w:type="spellStart"/>
      <w:r w:rsidRPr="00105DE9">
        <w:rPr>
          <w:rFonts w:eastAsia="Calibri"/>
          <w:sz w:val="28"/>
          <w:szCs w:val="28"/>
        </w:rPr>
        <w:t>in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Russian</w:t>
      </w:r>
      <w:proofErr w:type="spellEnd"/>
      <w:r w:rsidRPr="00105DE9">
        <w:rPr>
          <w:rFonts w:eastAsia="Calibri"/>
          <w:sz w:val="28"/>
          <w:szCs w:val="28"/>
        </w:rPr>
        <w:t>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105DE9">
        <w:rPr>
          <w:rFonts w:eastAsia="Calibri"/>
          <w:sz w:val="28"/>
          <w:szCs w:val="28"/>
        </w:rPr>
        <w:t>Dudar</w:t>
      </w:r>
      <w:proofErr w:type="spellEnd"/>
      <w:r w:rsidRPr="00105DE9">
        <w:rPr>
          <w:rFonts w:eastAsia="Calibri"/>
          <w:sz w:val="28"/>
          <w:szCs w:val="28"/>
        </w:rPr>
        <w:t xml:space="preserve"> I.O., </w:t>
      </w:r>
      <w:proofErr w:type="spellStart"/>
      <w:r w:rsidRPr="00105DE9">
        <w:rPr>
          <w:rFonts w:eastAsia="Calibri"/>
          <w:sz w:val="28"/>
          <w:szCs w:val="28"/>
        </w:rPr>
        <w:t>Driianska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V.Ie</w:t>
      </w:r>
      <w:proofErr w:type="spellEnd"/>
      <w:r w:rsidRPr="00105DE9">
        <w:rPr>
          <w:rFonts w:eastAsia="Calibri"/>
          <w:sz w:val="28"/>
          <w:szCs w:val="28"/>
        </w:rPr>
        <w:t xml:space="preserve">., </w:t>
      </w:r>
      <w:proofErr w:type="spellStart"/>
      <w:r w:rsidRPr="00105DE9">
        <w:rPr>
          <w:rFonts w:eastAsia="Calibri"/>
          <w:sz w:val="28"/>
          <w:szCs w:val="28"/>
        </w:rPr>
        <w:t>Loboda</w:t>
      </w:r>
      <w:proofErr w:type="spellEnd"/>
      <w:r w:rsidRPr="00105DE9">
        <w:rPr>
          <w:rFonts w:eastAsia="Calibri"/>
          <w:sz w:val="28"/>
          <w:szCs w:val="28"/>
        </w:rPr>
        <w:t xml:space="preserve"> O.M., </w:t>
      </w:r>
      <w:proofErr w:type="spellStart"/>
      <w:r w:rsidRPr="00105DE9">
        <w:rPr>
          <w:rFonts w:eastAsia="Calibri"/>
          <w:sz w:val="28"/>
          <w:szCs w:val="28"/>
        </w:rPr>
        <w:t>Aleksieieva</w:t>
      </w:r>
      <w:proofErr w:type="spellEnd"/>
      <w:r w:rsidRPr="00105DE9">
        <w:rPr>
          <w:rFonts w:eastAsia="Calibri"/>
          <w:sz w:val="28"/>
          <w:szCs w:val="28"/>
        </w:rPr>
        <w:t xml:space="preserve"> V.V., </w:t>
      </w:r>
      <w:proofErr w:type="spellStart"/>
      <w:r w:rsidRPr="00105DE9">
        <w:rPr>
          <w:rFonts w:eastAsia="Calibri"/>
          <w:sz w:val="28"/>
          <w:szCs w:val="28"/>
        </w:rPr>
        <w:t>Savchuk</w:t>
      </w:r>
      <w:proofErr w:type="spellEnd"/>
      <w:r w:rsidRPr="00105DE9">
        <w:rPr>
          <w:rFonts w:eastAsia="Calibri"/>
          <w:sz w:val="28"/>
          <w:szCs w:val="28"/>
        </w:rPr>
        <w:t xml:space="preserve"> V.M., </w:t>
      </w:r>
      <w:proofErr w:type="spellStart"/>
      <w:r w:rsidRPr="00105DE9">
        <w:rPr>
          <w:rFonts w:eastAsia="Calibri"/>
          <w:sz w:val="28"/>
          <w:szCs w:val="28"/>
        </w:rPr>
        <w:t>Artemenko</w:t>
      </w:r>
      <w:proofErr w:type="spellEnd"/>
      <w:r w:rsidRPr="00105DE9">
        <w:rPr>
          <w:rFonts w:eastAsia="Calibri"/>
          <w:sz w:val="28"/>
          <w:szCs w:val="28"/>
        </w:rPr>
        <w:t xml:space="preserve"> A.A. 2012. </w:t>
      </w:r>
      <w:r w:rsidRPr="00105DE9">
        <w:rPr>
          <w:rFonts w:eastAsia="Calibri"/>
          <w:b/>
          <w:sz w:val="28"/>
          <w:szCs w:val="28"/>
          <w:lang w:val="en-US"/>
        </w:rPr>
        <w:t xml:space="preserve">Progression of chronic kidney disease: clinical and immunological aspects. </w:t>
      </w:r>
      <w:r w:rsidRPr="00105DE9">
        <w:rPr>
          <w:rFonts w:eastAsia="Calibri"/>
          <w:sz w:val="28"/>
          <w:szCs w:val="28"/>
          <w:lang w:val="en-US"/>
        </w:rPr>
        <w:t>In</w:t>
      </w:r>
      <w:r w:rsidRPr="00105DE9">
        <w:rPr>
          <w:rFonts w:eastAsia="Calibri"/>
          <w:b/>
          <w:sz w:val="28"/>
          <w:szCs w:val="28"/>
          <w:lang w:val="en-US"/>
        </w:rPr>
        <w:t xml:space="preserve"> Topical issues of nephrology: a collection of scientific works</w:t>
      </w:r>
      <w:r w:rsidRPr="00105DE9">
        <w:rPr>
          <w:rFonts w:eastAsia="Calibri"/>
          <w:sz w:val="28"/>
          <w:szCs w:val="28"/>
          <w:lang w:val="en-US"/>
        </w:rPr>
        <w:t xml:space="preserve">. </w:t>
      </w:r>
      <w:proofErr w:type="spellStart"/>
      <w:r w:rsidRPr="00105DE9">
        <w:rPr>
          <w:rFonts w:eastAsia="Calibri"/>
          <w:sz w:val="28"/>
          <w:szCs w:val="28"/>
        </w:rPr>
        <w:t>Kiev</w:t>
      </w:r>
      <w:proofErr w:type="spellEnd"/>
      <w:r w:rsidRPr="00105DE9">
        <w:rPr>
          <w:rFonts w:eastAsia="Calibri"/>
          <w:sz w:val="28"/>
          <w:szCs w:val="28"/>
        </w:rPr>
        <w:t xml:space="preserve">: </w:t>
      </w:r>
      <w:proofErr w:type="spellStart"/>
      <w:r w:rsidRPr="00105DE9">
        <w:rPr>
          <w:rFonts w:eastAsia="Calibri"/>
          <w:sz w:val="28"/>
          <w:szCs w:val="28"/>
        </w:rPr>
        <w:t>Zadruga</w:t>
      </w:r>
      <w:proofErr w:type="spellEnd"/>
      <w:r w:rsidRPr="00105DE9">
        <w:rPr>
          <w:rFonts w:eastAsia="Calibri"/>
          <w:sz w:val="28"/>
          <w:szCs w:val="28"/>
        </w:rPr>
        <w:t xml:space="preserve">, </w:t>
      </w:r>
      <w:proofErr w:type="spellStart"/>
      <w:r w:rsidRPr="00105DE9">
        <w:rPr>
          <w:rFonts w:eastAsia="Calibri"/>
          <w:sz w:val="28"/>
          <w:szCs w:val="28"/>
        </w:rPr>
        <w:t>No</w:t>
      </w:r>
      <w:proofErr w:type="spellEnd"/>
      <w:r w:rsidRPr="00105DE9">
        <w:rPr>
          <w:rFonts w:eastAsia="Calibri"/>
          <w:sz w:val="28"/>
          <w:szCs w:val="28"/>
        </w:rPr>
        <w:t xml:space="preserve"> 48, </w:t>
      </w:r>
      <w:proofErr w:type="spellStart"/>
      <w:r w:rsidRPr="00105DE9">
        <w:rPr>
          <w:rFonts w:eastAsia="Calibri"/>
          <w:sz w:val="28"/>
          <w:szCs w:val="28"/>
        </w:rPr>
        <w:t>pp</w:t>
      </w:r>
      <w:proofErr w:type="spellEnd"/>
      <w:r w:rsidRPr="00105DE9">
        <w:rPr>
          <w:rFonts w:eastAsia="Calibri"/>
          <w:sz w:val="28"/>
          <w:szCs w:val="28"/>
        </w:rPr>
        <w:t>. 47-60. (</w:t>
      </w:r>
      <w:proofErr w:type="spellStart"/>
      <w:r w:rsidRPr="00105DE9">
        <w:rPr>
          <w:rFonts w:eastAsia="Calibri"/>
          <w:sz w:val="28"/>
          <w:szCs w:val="28"/>
        </w:rPr>
        <w:t>in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Ukrainian</w:t>
      </w:r>
      <w:proofErr w:type="spellEnd"/>
      <w:r w:rsidRPr="00105DE9">
        <w:rPr>
          <w:rFonts w:eastAsia="Calibri"/>
          <w:sz w:val="28"/>
          <w:szCs w:val="28"/>
        </w:rPr>
        <w:t>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t>Shvecov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M. </w:t>
      </w:r>
      <w:proofErr w:type="spellStart"/>
      <w:r w:rsidRPr="00105DE9">
        <w:rPr>
          <w:rFonts w:eastAsia="Calibri"/>
          <w:sz w:val="28"/>
          <w:szCs w:val="28"/>
          <w:lang w:val="en-US"/>
        </w:rPr>
        <w:t>Ju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. 2014, </w:t>
      </w:r>
      <w:proofErr w:type="gramStart"/>
      <w:r w:rsidRPr="00105DE9">
        <w:rPr>
          <w:rFonts w:eastAsia="Calibri"/>
          <w:b/>
          <w:sz w:val="28"/>
          <w:szCs w:val="28"/>
          <w:lang w:val="en-US"/>
        </w:rPr>
        <w:t>Chronic</w:t>
      </w:r>
      <w:proofErr w:type="gramEnd"/>
      <w:r w:rsidRPr="00105DE9">
        <w:rPr>
          <w:rFonts w:eastAsia="Calibri"/>
          <w:b/>
          <w:sz w:val="28"/>
          <w:szCs w:val="28"/>
          <w:lang w:val="en-US"/>
        </w:rPr>
        <w:t xml:space="preserve"> kidney disease as a general medical problem: modern principles of </w:t>
      </w:r>
      <w:proofErr w:type="spellStart"/>
      <w:r w:rsidRPr="00105DE9">
        <w:rPr>
          <w:rFonts w:eastAsia="Calibri"/>
          <w:b/>
          <w:sz w:val="28"/>
          <w:szCs w:val="28"/>
          <w:lang w:val="en-US"/>
        </w:rPr>
        <w:t>nephroprophylaxis</w:t>
      </w:r>
      <w:proofErr w:type="spellEnd"/>
      <w:r w:rsidRPr="00105DE9">
        <w:rPr>
          <w:rFonts w:eastAsia="Calibri"/>
          <w:b/>
          <w:sz w:val="28"/>
          <w:szCs w:val="28"/>
          <w:lang w:val="en-US"/>
        </w:rPr>
        <w:t xml:space="preserve"> and </w:t>
      </w:r>
      <w:proofErr w:type="spellStart"/>
      <w:r w:rsidRPr="00105DE9">
        <w:rPr>
          <w:rFonts w:eastAsia="Calibri"/>
          <w:b/>
          <w:sz w:val="28"/>
          <w:szCs w:val="28"/>
          <w:lang w:val="en-US"/>
        </w:rPr>
        <w:t>nephroprotective</w:t>
      </w:r>
      <w:proofErr w:type="spellEnd"/>
      <w:r w:rsidRPr="00105DE9">
        <w:rPr>
          <w:rFonts w:eastAsia="Calibri"/>
          <w:b/>
          <w:sz w:val="28"/>
          <w:szCs w:val="28"/>
          <w:lang w:val="en-US"/>
        </w:rPr>
        <w:t xml:space="preserve"> therapy</w:t>
      </w:r>
      <w:r w:rsidRPr="00105DE9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105DE9">
        <w:rPr>
          <w:rFonts w:eastAsia="Calibri"/>
          <w:sz w:val="28"/>
          <w:szCs w:val="28"/>
          <w:lang w:val="en-US"/>
        </w:rPr>
        <w:t>Consilium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5DE9">
        <w:rPr>
          <w:rFonts w:eastAsia="Calibri"/>
          <w:sz w:val="28"/>
          <w:szCs w:val="28"/>
          <w:lang w:val="en-US"/>
        </w:rPr>
        <w:t>medicum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, Vol. 16, No 6, pp. 51-64. </w:t>
      </w:r>
      <w:r w:rsidRPr="00105DE9">
        <w:rPr>
          <w:rFonts w:eastAsia="Calibri"/>
          <w:sz w:val="28"/>
          <w:szCs w:val="28"/>
        </w:rPr>
        <w:t>(</w:t>
      </w:r>
      <w:proofErr w:type="spellStart"/>
      <w:r w:rsidRPr="00105DE9">
        <w:rPr>
          <w:rFonts w:eastAsia="Calibri"/>
          <w:sz w:val="28"/>
          <w:szCs w:val="28"/>
        </w:rPr>
        <w:t>in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Russian</w:t>
      </w:r>
      <w:proofErr w:type="spellEnd"/>
      <w:r w:rsidRPr="00105DE9">
        <w:rPr>
          <w:rFonts w:eastAsia="Calibri"/>
          <w:sz w:val="28"/>
          <w:szCs w:val="28"/>
        </w:rPr>
        <w:t>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t>Osikov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M.V., </w:t>
      </w:r>
      <w:proofErr w:type="spellStart"/>
      <w:r w:rsidRPr="00105DE9">
        <w:rPr>
          <w:rFonts w:eastAsia="Calibri"/>
          <w:sz w:val="28"/>
          <w:szCs w:val="28"/>
          <w:lang w:val="en-US"/>
        </w:rPr>
        <w:t>Telesheva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L.F., </w:t>
      </w:r>
      <w:proofErr w:type="spellStart"/>
      <w:r w:rsidRPr="00105DE9">
        <w:rPr>
          <w:rFonts w:eastAsia="Calibri"/>
          <w:sz w:val="28"/>
          <w:szCs w:val="28"/>
          <w:lang w:val="en-US"/>
        </w:rPr>
        <w:t>Ageev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105DE9">
        <w:rPr>
          <w:rFonts w:eastAsia="Calibri"/>
          <w:sz w:val="28"/>
          <w:szCs w:val="28"/>
          <w:lang w:val="en-US"/>
        </w:rPr>
        <w:t>Yu.I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., </w:t>
      </w:r>
      <w:proofErr w:type="spellStart"/>
      <w:r w:rsidRPr="00105DE9">
        <w:rPr>
          <w:rFonts w:eastAsia="Calibri"/>
          <w:sz w:val="28"/>
          <w:szCs w:val="28"/>
          <w:lang w:val="en-US"/>
        </w:rPr>
        <w:t>Cherepanov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D.A., </w:t>
      </w:r>
      <w:proofErr w:type="spellStart"/>
      <w:r w:rsidRPr="00105DE9">
        <w:rPr>
          <w:rFonts w:eastAsia="Calibri"/>
          <w:sz w:val="28"/>
          <w:szCs w:val="28"/>
          <w:lang w:val="en-US"/>
        </w:rPr>
        <w:t>Fedosov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A.A. 2013, Pathophysiological aspects of innate immunity changes and correction in chronic renal failure, Modern problems of science and education, No 5, pp. 87-88. </w:t>
      </w:r>
      <w:r w:rsidRPr="00105DE9">
        <w:rPr>
          <w:rFonts w:eastAsia="Calibri"/>
          <w:sz w:val="28"/>
          <w:szCs w:val="28"/>
        </w:rPr>
        <w:t>(</w:t>
      </w:r>
      <w:proofErr w:type="spellStart"/>
      <w:r w:rsidRPr="00105DE9">
        <w:rPr>
          <w:rFonts w:eastAsia="Calibri"/>
          <w:sz w:val="28"/>
          <w:szCs w:val="28"/>
        </w:rPr>
        <w:t>in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Russian</w:t>
      </w:r>
      <w:proofErr w:type="spellEnd"/>
      <w:r w:rsidRPr="00105DE9">
        <w:rPr>
          <w:rFonts w:eastAsia="Calibri"/>
          <w:sz w:val="28"/>
          <w:szCs w:val="28"/>
        </w:rPr>
        <w:t>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t>Karpishhenko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A. I. Ed. 2002. </w:t>
      </w:r>
      <w:r w:rsidRPr="00105DE9">
        <w:rPr>
          <w:rFonts w:eastAsia="Calibri"/>
          <w:b/>
          <w:sz w:val="28"/>
          <w:szCs w:val="28"/>
          <w:lang w:val="en-US"/>
        </w:rPr>
        <w:t>Medical laboratory technologies: a handbook</w:t>
      </w:r>
      <w:r w:rsidRPr="00105DE9">
        <w:rPr>
          <w:rFonts w:eastAsia="Calibri"/>
          <w:sz w:val="28"/>
          <w:szCs w:val="28"/>
          <w:lang w:val="en-US"/>
        </w:rPr>
        <w:t xml:space="preserve">. </w:t>
      </w:r>
      <w:proofErr w:type="spellStart"/>
      <w:r w:rsidRPr="00105DE9">
        <w:rPr>
          <w:rFonts w:eastAsia="Calibri"/>
          <w:sz w:val="28"/>
          <w:szCs w:val="28"/>
        </w:rPr>
        <w:t>Vols</w:t>
      </w:r>
      <w:proofErr w:type="spellEnd"/>
      <w:r w:rsidRPr="00105DE9">
        <w:rPr>
          <w:rFonts w:eastAsia="Calibri"/>
          <w:sz w:val="28"/>
          <w:szCs w:val="28"/>
        </w:rPr>
        <w:t xml:space="preserve"> 2. 2nd </w:t>
      </w:r>
      <w:proofErr w:type="spellStart"/>
      <w:r w:rsidRPr="00105DE9">
        <w:rPr>
          <w:rFonts w:eastAsia="Calibri"/>
          <w:sz w:val="28"/>
          <w:szCs w:val="28"/>
        </w:rPr>
        <w:t>ed</w:t>
      </w:r>
      <w:proofErr w:type="spellEnd"/>
      <w:r w:rsidRPr="00105DE9">
        <w:rPr>
          <w:rFonts w:eastAsia="Calibri"/>
          <w:sz w:val="28"/>
          <w:szCs w:val="28"/>
        </w:rPr>
        <w:t xml:space="preserve">. </w:t>
      </w:r>
      <w:proofErr w:type="spellStart"/>
      <w:r w:rsidRPr="00105DE9">
        <w:rPr>
          <w:rFonts w:eastAsia="Calibri"/>
          <w:sz w:val="28"/>
          <w:szCs w:val="28"/>
        </w:rPr>
        <w:t>St</w:t>
      </w:r>
      <w:proofErr w:type="spellEnd"/>
      <w:r w:rsidRPr="00105DE9">
        <w:rPr>
          <w:rFonts w:eastAsia="Calibri"/>
          <w:sz w:val="28"/>
          <w:szCs w:val="28"/>
        </w:rPr>
        <w:t xml:space="preserve">. </w:t>
      </w:r>
      <w:proofErr w:type="spellStart"/>
      <w:r w:rsidRPr="00105DE9">
        <w:rPr>
          <w:rFonts w:eastAsia="Calibri"/>
          <w:sz w:val="28"/>
          <w:szCs w:val="28"/>
        </w:rPr>
        <w:t>Petersburg</w:t>
      </w:r>
      <w:proofErr w:type="spellEnd"/>
      <w:r w:rsidRPr="00105DE9">
        <w:rPr>
          <w:rFonts w:eastAsia="Calibri"/>
          <w:sz w:val="28"/>
          <w:szCs w:val="28"/>
        </w:rPr>
        <w:t>:</w:t>
      </w:r>
      <w:r w:rsidRPr="00105DE9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105DE9">
        <w:rPr>
          <w:rFonts w:eastAsia="Calibri"/>
          <w:sz w:val="28"/>
          <w:szCs w:val="28"/>
          <w:lang w:val="uk-UA"/>
        </w:rPr>
        <w:t>Intermedika</w:t>
      </w:r>
      <w:proofErr w:type="spellEnd"/>
      <w:r w:rsidRPr="00105DE9">
        <w:rPr>
          <w:rFonts w:eastAsia="Calibri"/>
          <w:sz w:val="28"/>
          <w:szCs w:val="28"/>
        </w:rPr>
        <w:t>. (</w:t>
      </w:r>
      <w:proofErr w:type="spellStart"/>
      <w:r w:rsidRPr="00105DE9">
        <w:rPr>
          <w:rFonts w:eastAsia="Calibri"/>
          <w:sz w:val="28"/>
          <w:szCs w:val="28"/>
        </w:rPr>
        <w:t>in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Russian</w:t>
      </w:r>
      <w:proofErr w:type="spellEnd"/>
      <w:r w:rsidRPr="00105DE9">
        <w:rPr>
          <w:rFonts w:eastAsia="Calibri"/>
          <w:sz w:val="28"/>
          <w:szCs w:val="28"/>
        </w:rPr>
        <w:t>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t>Halafjan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A.A. 2007. STATISTICA 6. </w:t>
      </w:r>
      <w:r w:rsidRPr="00105DE9">
        <w:rPr>
          <w:rFonts w:eastAsia="Calibri"/>
          <w:b/>
          <w:sz w:val="28"/>
          <w:szCs w:val="28"/>
          <w:lang w:val="en-US"/>
        </w:rPr>
        <w:t>Statistical data analysis.</w:t>
      </w:r>
      <w:r w:rsidRPr="00105DE9">
        <w:rPr>
          <w:rFonts w:eastAsia="Calibri"/>
          <w:sz w:val="28"/>
          <w:szCs w:val="28"/>
          <w:lang w:val="en-US"/>
        </w:rPr>
        <w:t xml:space="preserve"> 3rd ed. Moscow: </w:t>
      </w:r>
      <w:proofErr w:type="spellStart"/>
      <w:r w:rsidRPr="00105DE9">
        <w:rPr>
          <w:rFonts w:eastAsia="Calibri"/>
          <w:sz w:val="28"/>
          <w:szCs w:val="28"/>
          <w:lang w:val="en-US"/>
        </w:rPr>
        <w:t>Binom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-Press. </w:t>
      </w:r>
      <w:r w:rsidRPr="00105DE9">
        <w:rPr>
          <w:rFonts w:eastAsia="Calibri"/>
          <w:sz w:val="28"/>
          <w:szCs w:val="28"/>
        </w:rPr>
        <w:t>512 p. (</w:t>
      </w:r>
      <w:proofErr w:type="spellStart"/>
      <w:r w:rsidRPr="00105DE9">
        <w:rPr>
          <w:rFonts w:eastAsia="Calibri"/>
          <w:sz w:val="28"/>
          <w:szCs w:val="28"/>
        </w:rPr>
        <w:t>in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Russian</w:t>
      </w:r>
      <w:proofErr w:type="spellEnd"/>
      <w:r w:rsidRPr="00105DE9">
        <w:rPr>
          <w:rFonts w:eastAsia="Calibri"/>
          <w:sz w:val="28"/>
          <w:szCs w:val="28"/>
        </w:rPr>
        <w:t>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lastRenderedPageBreak/>
        <w:t>Nasybullina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A.A., </w:t>
      </w:r>
      <w:proofErr w:type="spellStart"/>
      <w:r w:rsidRPr="00105DE9">
        <w:rPr>
          <w:rFonts w:eastAsia="Calibri"/>
          <w:sz w:val="28"/>
          <w:szCs w:val="28"/>
          <w:lang w:val="en-US"/>
        </w:rPr>
        <w:t>Bulashova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O.V., </w:t>
      </w:r>
      <w:proofErr w:type="spellStart"/>
      <w:r w:rsidRPr="00105DE9">
        <w:rPr>
          <w:rFonts w:eastAsia="Calibri"/>
          <w:sz w:val="28"/>
          <w:szCs w:val="28"/>
          <w:lang w:val="en-US"/>
        </w:rPr>
        <w:t>Gazizyanova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V.M., </w:t>
      </w:r>
      <w:proofErr w:type="spellStart"/>
      <w:r w:rsidRPr="00105DE9">
        <w:rPr>
          <w:rFonts w:eastAsia="Calibri"/>
          <w:sz w:val="28"/>
          <w:szCs w:val="28"/>
          <w:lang w:val="en-US"/>
        </w:rPr>
        <w:t>Igorevna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M.M., </w:t>
      </w:r>
      <w:proofErr w:type="spellStart"/>
      <w:r w:rsidRPr="00105DE9">
        <w:rPr>
          <w:rFonts w:eastAsia="Calibri"/>
          <w:sz w:val="28"/>
          <w:szCs w:val="28"/>
          <w:lang w:val="en-US"/>
        </w:rPr>
        <w:t>Mustafin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E.E., 2016, Features of drug therapy for patients with myocardial infarction and different glomerular filtration rates, Kazan medical journal, No 6, pp. 881-887. </w:t>
      </w:r>
      <w:r w:rsidRPr="00105DE9">
        <w:rPr>
          <w:rFonts w:eastAsia="Calibri"/>
          <w:sz w:val="28"/>
          <w:szCs w:val="28"/>
        </w:rPr>
        <w:t>(</w:t>
      </w:r>
      <w:proofErr w:type="spellStart"/>
      <w:r w:rsidRPr="00105DE9">
        <w:rPr>
          <w:rFonts w:eastAsia="Calibri"/>
          <w:sz w:val="28"/>
          <w:szCs w:val="28"/>
        </w:rPr>
        <w:t>in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Russian</w:t>
      </w:r>
      <w:proofErr w:type="spellEnd"/>
      <w:r w:rsidRPr="00105DE9">
        <w:rPr>
          <w:rFonts w:eastAsia="Calibri"/>
          <w:sz w:val="28"/>
          <w:szCs w:val="28"/>
        </w:rPr>
        <w:t>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t>Beglarov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R.O. 2018, Immunological reactivity in children with chronic glomerulonephritis, </w:t>
      </w:r>
      <w:proofErr w:type="spellStart"/>
      <w:r w:rsidRPr="00105DE9">
        <w:rPr>
          <w:rFonts w:eastAsia="Calibri"/>
          <w:sz w:val="28"/>
          <w:szCs w:val="28"/>
          <w:lang w:val="en-US"/>
        </w:rPr>
        <w:t>Research'n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Practical Medicine Journal, Vol. 5, No 1, pp. 38-44. https://doi.org/10.17709/2409-2231-2018-5-1-4. </w:t>
      </w:r>
      <w:r w:rsidRPr="00105DE9">
        <w:rPr>
          <w:rFonts w:eastAsia="Calibri"/>
          <w:sz w:val="28"/>
          <w:szCs w:val="28"/>
        </w:rPr>
        <w:t>(</w:t>
      </w:r>
      <w:proofErr w:type="spellStart"/>
      <w:r w:rsidRPr="00105DE9">
        <w:rPr>
          <w:rFonts w:eastAsia="Calibri"/>
          <w:sz w:val="28"/>
          <w:szCs w:val="28"/>
        </w:rPr>
        <w:t>in</w:t>
      </w:r>
      <w:proofErr w:type="spellEnd"/>
      <w:r w:rsidRPr="00105DE9">
        <w:rPr>
          <w:rFonts w:eastAsia="Calibri"/>
          <w:sz w:val="28"/>
          <w:szCs w:val="28"/>
        </w:rPr>
        <w:t xml:space="preserve"> </w:t>
      </w:r>
      <w:proofErr w:type="spellStart"/>
      <w:r w:rsidRPr="00105DE9">
        <w:rPr>
          <w:rFonts w:eastAsia="Calibri"/>
          <w:sz w:val="28"/>
          <w:szCs w:val="28"/>
        </w:rPr>
        <w:t>Russian</w:t>
      </w:r>
      <w:proofErr w:type="spellEnd"/>
      <w:r w:rsidRPr="00105DE9">
        <w:rPr>
          <w:rFonts w:eastAsia="Calibri"/>
          <w:sz w:val="28"/>
          <w:szCs w:val="28"/>
        </w:rPr>
        <w:t>)</w:t>
      </w:r>
    </w:p>
    <w:p w:rsidR="00105DE9" w:rsidRPr="00105DE9" w:rsidRDefault="00105DE9" w:rsidP="00105DE9">
      <w:pPr>
        <w:numPr>
          <w:ilvl w:val="0"/>
          <w:numId w:val="3"/>
        </w:numPr>
        <w:suppressAutoHyphens w:val="0"/>
        <w:spacing w:line="360" w:lineRule="auto"/>
        <w:ind w:left="0" w:firstLine="360"/>
        <w:contextualSpacing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105DE9">
        <w:rPr>
          <w:rFonts w:eastAsia="Calibri"/>
          <w:sz w:val="28"/>
          <w:szCs w:val="28"/>
          <w:lang w:val="en-US"/>
        </w:rPr>
        <w:t>Tuegel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C., </w:t>
      </w:r>
      <w:proofErr w:type="spellStart"/>
      <w:r w:rsidRPr="00105DE9">
        <w:rPr>
          <w:rFonts w:eastAsia="Calibri"/>
          <w:sz w:val="28"/>
          <w:szCs w:val="28"/>
          <w:lang w:val="en-US"/>
        </w:rPr>
        <w:t>Bansal</w:t>
      </w:r>
      <w:proofErr w:type="spellEnd"/>
      <w:r w:rsidRPr="00105DE9">
        <w:rPr>
          <w:rFonts w:eastAsia="Calibri"/>
          <w:sz w:val="28"/>
          <w:szCs w:val="28"/>
          <w:lang w:val="en-US"/>
        </w:rPr>
        <w:t xml:space="preserve"> N. 2017, Heart failure in patients with kidney disease, Heart, Vol. 103, No 23, pp. 1848-1853. </w:t>
      </w:r>
      <w:proofErr w:type="spellStart"/>
      <w:proofErr w:type="gramStart"/>
      <w:r w:rsidRPr="00105DE9">
        <w:rPr>
          <w:rFonts w:eastAsia="Calibri"/>
          <w:sz w:val="28"/>
          <w:szCs w:val="28"/>
          <w:lang w:val="en-US"/>
        </w:rPr>
        <w:t>doi</w:t>
      </w:r>
      <w:proofErr w:type="spellEnd"/>
      <w:proofErr w:type="gramEnd"/>
      <w:r w:rsidRPr="00105DE9">
        <w:rPr>
          <w:rFonts w:eastAsia="Calibri"/>
          <w:sz w:val="28"/>
          <w:szCs w:val="28"/>
          <w:lang w:val="en-US"/>
        </w:rPr>
        <w:t>: 10.1136/heartjnl-2016-310794.</w:t>
      </w:r>
    </w:p>
    <w:p w:rsidR="00105DE9" w:rsidRDefault="00105DE9" w:rsidP="00105DE9">
      <w:pPr>
        <w:spacing w:line="360" w:lineRule="auto"/>
        <w:jc w:val="both"/>
        <w:rPr>
          <w:b/>
          <w:sz w:val="26"/>
          <w:szCs w:val="26"/>
          <w:lang w:val="uk-UA"/>
        </w:rPr>
      </w:pPr>
    </w:p>
    <w:p w:rsidR="00105DE9" w:rsidRDefault="00105DE9" w:rsidP="00105DE9">
      <w:pPr>
        <w:spacing w:line="360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</w:rPr>
        <w:t>В</w:t>
      </w:r>
      <w:r>
        <w:rPr>
          <w:b/>
          <w:sz w:val="26"/>
          <w:szCs w:val="26"/>
          <w:lang w:val="uk-UA"/>
        </w:rPr>
        <w:t>ЛИЯНИЕ</w:t>
      </w:r>
      <w:r w:rsidRPr="00105DE9">
        <w:rPr>
          <w:b/>
          <w:sz w:val="26"/>
          <w:szCs w:val="26"/>
        </w:rPr>
        <w:t xml:space="preserve">  </w:t>
      </w:r>
      <w:r w:rsidRPr="00105DE9">
        <w:rPr>
          <w:b/>
          <w:sz w:val="26"/>
          <w:szCs w:val="26"/>
          <w:lang w:val="uk-UA"/>
        </w:rPr>
        <w:t>ИМ</w:t>
      </w:r>
      <w:r>
        <w:rPr>
          <w:b/>
          <w:sz w:val="26"/>
          <w:szCs w:val="26"/>
          <w:lang w:val="uk-UA"/>
        </w:rPr>
        <w:t>МУНОМОДУЛИРУЮЩЕЙ</w:t>
      </w:r>
      <w:r w:rsidRPr="00105DE9">
        <w:rPr>
          <w:b/>
          <w:sz w:val="26"/>
          <w:szCs w:val="26"/>
          <w:lang w:val="uk-UA"/>
        </w:rPr>
        <w:t xml:space="preserve"> ТЕРАПИИ НА СОСТОЯНИЕ СПЕЦИФИЧЕСКОГО ГУМОРАЛЬНОГО ИММУНИТЕТА ПРИ </w:t>
      </w:r>
      <w:r>
        <w:rPr>
          <w:b/>
          <w:sz w:val="26"/>
          <w:szCs w:val="26"/>
          <w:lang w:val="uk-UA"/>
        </w:rPr>
        <w:t>ПРОГРЕССИРОВАНИИ</w:t>
      </w:r>
      <w:r w:rsidRPr="00105DE9">
        <w:rPr>
          <w:b/>
          <w:sz w:val="26"/>
          <w:szCs w:val="26"/>
          <w:lang w:val="uk-UA"/>
        </w:rPr>
        <w:t xml:space="preserve"> ХРОНИЧЕСКОЙ БОЛЕЗНИ ПОЧЕК У БОЛЬНЫХ ИБС</w:t>
      </w:r>
    </w:p>
    <w:p w:rsidR="000F1150" w:rsidRPr="00105DE9" w:rsidRDefault="000F1150" w:rsidP="00105DE9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Павлова</w:t>
      </w:r>
      <w:r w:rsidR="00105DE9">
        <w:rPr>
          <w:sz w:val="28"/>
          <w:szCs w:val="28"/>
          <w:lang w:val="uk-UA"/>
        </w:rPr>
        <w:t xml:space="preserve">  </w:t>
      </w:r>
      <w:r w:rsidR="00105DE9">
        <w:rPr>
          <w:sz w:val="28"/>
          <w:szCs w:val="28"/>
        </w:rPr>
        <w:t>Е.А.</w:t>
      </w:r>
    </w:p>
    <w:p w:rsidR="000F1150" w:rsidRPr="00105DE9" w:rsidRDefault="000F1150" w:rsidP="000F115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Харьковский национальный медицинский университет</w:t>
      </w:r>
      <w:r w:rsidR="00105DE9">
        <w:rPr>
          <w:sz w:val="28"/>
          <w:szCs w:val="28"/>
          <w:lang w:val="uk-UA"/>
        </w:rPr>
        <w:t xml:space="preserve">, </w:t>
      </w:r>
      <w:proofErr w:type="spellStart"/>
      <w:r w:rsidR="00105DE9">
        <w:rPr>
          <w:sz w:val="28"/>
          <w:szCs w:val="28"/>
          <w:lang w:val="uk-UA"/>
        </w:rPr>
        <w:t>Харьков</w:t>
      </w:r>
      <w:proofErr w:type="spellEnd"/>
      <w:r w:rsidR="00105DE9">
        <w:rPr>
          <w:sz w:val="28"/>
          <w:szCs w:val="28"/>
          <w:lang w:val="uk-UA"/>
        </w:rPr>
        <w:t xml:space="preserve">, </w:t>
      </w:r>
      <w:proofErr w:type="spellStart"/>
      <w:r w:rsidR="00105DE9">
        <w:rPr>
          <w:sz w:val="28"/>
          <w:szCs w:val="28"/>
          <w:lang w:val="uk-UA"/>
        </w:rPr>
        <w:t>Украина</w:t>
      </w:r>
      <w:proofErr w:type="spellEnd"/>
    </w:p>
    <w:p w:rsidR="00105DE9" w:rsidRDefault="00105DE9" w:rsidP="00105DE9">
      <w:pPr>
        <w:spacing w:line="360" w:lineRule="auto"/>
        <w:ind w:firstLine="708"/>
        <w:jc w:val="both"/>
        <w:rPr>
          <w:w w:val="105"/>
          <w:sz w:val="28"/>
          <w:szCs w:val="28"/>
          <w:lang w:val="uk-UA"/>
        </w:rPr>
      </w:pPr>
      <w:r>
        <w:rPr>
          <w:w w:val="105"/>
          <w:sz w:val="28"/>
          <w:szCs w:val="28"/>
          <w:lang w:val="uk-UA"/>
        </w:rPr>
        <w:t xml:space="preserve">Установлено, </w:t>
      </w:r>
      <w:proofErr w:type="spellStart"/>
      <w:r>
        <w:rPr>
          <w:w w:val="105"/>
          <w:sz w:val="28"/>
          <w:szCs w:val="28"/>
          <w:lang w:val="uk-UA"/>
        </w:rPr>
        <w:t>что</w:t>
      </w:r>
      <w:proofErr w:type="spellEnd"/>
      <w:r>
        <w:rPr>
          <w:w w:val="105"/>
          <w:sz w:val="28"/>
          <w:szCs w:val="28"/>
          <w:lang w:val="uk-UA"/>
        </w:rPr>
        <w:t xml:space="preserve"> </w:t>
      </w:r>
      <w:proofErr w:type="spellStart"/>
      <w:r>
        <w:rPr>
          <w:w w:val="105"/>
          <w:sz w:val="28"/>
          <w:szCs w:val="28"/>
          <w:lang w:val="uk-UA"/>
        </w:rPr>
        <w:t>гуморальное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звено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специфического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иммунитета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при </w:t>
      </w:r>
      <w:proofErr w:type="spellStart"/>
      <w:r w:rsidRPr="00105DE9">
        <w:rPr>
          <w:w w:val="105"/>
          <w:sz w:val="28"/>
          <w:szCs w:val="28"/>
          <w:lang w:val="uk-UA"/>
        </w:rPr>
        <w:t>прогрессировании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хронической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болезни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почек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у </w:t>
      </w:r>
      <w:proofErr w:type="spellStart"/>
      <w:r w:rsidRPr="00105DE9">
        <w:rPr>
          <w:w w:val="105"/>
          <w:sz w:val="28"/>
          <w:szCs w:val="28"/>
          <w:lang w:val="uk-UA"/>
        </w:rPr>
        <w:t>больных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ИБС, </w:t>
      </w:r>
      <w:proofErr w:type="spellStart"/>
      <w:r w:rsidRPr="00105DE9">
        <w:rPr>
          <w:w w:val="105"/>
          <w:sz w:val="28"/>
          <w:szCs w:val="28"/>
          <w:lang w:val="uk-UA"/>
        </w:rPr>
        <w:t>реагирует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стимуляцией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клеток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Ig-</w:t>
      </w:r>
      <w:proofErr w:type="spellStart"/>
      <w:r w:rsidRPr="00105DE9">
        <w:rPr>
          <w:w w:val="105"/>
          <w:sz w:val="28"/>
          <w:szCs w:val="28"/>
          <w:lang w:val="uk-UA"/>
        </w:rPr>
        <w:t>продуц</w:t>
      </w:r>
      <w:r>
        <w:rPr>
          <w:w w:val="105"/>
          <w:sz w:val="28"/>
          <w:szCs w:val="28"/>
          <w:lang w:val="uk-UA"/>
        </w:rPr>
        <w:t>ентов</w:t>
      </w:r>
      <w:proofErr w:type="spellEnd"/>
      <w:r>
        <w:rPr>
          <w:w w:val="105"/>
          <w:sz w:val="28"/>
          <w:szCs w:val="28"/>
          <w:lang w:val="uk-UA"/>
        </w:rPr>
        <w:t xml:space="preserve">, </w:t>
      </w:r>
      <w:proofErr w:type="spellStart"/>
      <w:r>
        <w:rPr>
          <w:w w:val="105"/>
          <w:sz w:val="28"/>
          <w:szCs w:val="28"/>
          <w:lang w:val="uk-UA"/>
        </w:rPr>
        <w:t>что</w:t>
      </w:r>
      <w:proofErr w:type="spellEnd"/>
      <w:r>
        <w:rPr>
          <w:w w:val="105"/>
          <w:sz w:val="28"/>
          <w:szCs w:val="28"/>
          <w:lang w:val="uk-UA"/>
        </w:rPr>
        <w:t xml:space="preserve"> </w:t>
      </w:r>
      <w:proofErr w:type="spellStart"/>
      <w:r>
        <w:rPr>
          <w:w w:val="105"/>
          <w:sz w:val="28"/>
          <w:szCs w:val="28"/>
          <w:lang w:val="uk-UA"/>
        </w:rPr>
        <w:t>сопровождается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повышение</w:t>
      </w:r>
      <w:r>
        <w:rPr>
          <w:w w:val="105"/>
          <w:sz w:val="28"/>
          <w:szCs w:val="28"/>
          <w:lang w:val="uk-UA"/>
        </w:rPr>
        <w:t>м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содержания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сы</w:t>
      </w:r>
      <w:r>
        <w:rPr>
          <w:w w:val="105"/>
          <w:sz w:val="28"/>
          <w:szCs w:val="28"/>
          <w:lang w:val="uk-UA"/>
        </w:rPr>
        <w:t>вороточных</w:t>
      </w:r>
      <w:proofErr w:type="spellEnd"/>
      <w:r>
        <w:rPr>
          <w:w w:val="105"/>
          <w:sz w:val="28"/>
          <w:szCs w:val="28"/>
          <w:lang w:val="uk-UA"/>
        </w:rPr>
        <w:t xml:space="preserve"> </w:t>
      </w:r>
      <w:proofErr w:type="spellStart"/>
      <w:r>
        <w:rPr>
          <w:w w:val="105"/>
          <w:sz w:val="28"/>
          <w:szCs w:val="28"/>
          <w:lang w:val="uk-UA"/>
        </w:rPr>
        <w:t>IgA</w:t>
      </w:r>
      <w:proofErr w:type="spellEnd"/>
      <w:r>
        <w:rPr>
          <w:w w:val="105"/>
          <w:sz w:val="28"/>
          <w:szCs w:val="28"/>
          <w:lang w:val="uk-UA"/>
        </w:rPr>
        <w:t xml:space="preserve">, </w:t>
      </w:r>
      <w:proofErr w:type="spellStart"/>
      <w:r>
        <w:rPr>
          <w:w w:val="105"/>
          <w:sz w:val="28"/>
          <w:szCs w:val="28"/>
          <w:lang w:val="uk-UA"/>
        </w:rPr>
        <w:t>IgG</w:t>
      </w:r>
      <w:proofErr w:type="spellEnd"/>
      <w:r>
        <w:rPr>
          <w:w w:val="105"/>
          <w:sz w:val="28"/>
          <w:szCs w:val="28"/>
          <w:lang w:val="uk-UA"/>
        </w:rPr>
        <w:t xml:space="preserve">, </w:t>
      </w:r>
      <w:proofErr w:type="spellStart"/>
      <w:r>
        <w:rPr>
          <w:w w:val="105"/>
          <w:sz w:val="28"/>
          <w:szCs w:val="28"/>
          <w:lang w:val="uk-UA"/>
        </w:rPr>
        <w:t>IgM</w:t>
      </w:r>
      <w:proofErr w:type="spellEnd"/>
      <w:r>
        <w:rPr>
          <w:w w:val="105"/>
          <w:sz w:val="28"/>
          <w:szCs w:val="28"/>
          <w:lang w:val="uk-UA"/>
        </w:rPr>
        <w:t xml:space="preserve"> и ЦИК до  </w:t>
      </w:r>
      <w:proofErr w:type="spellStart"/>
      <w:r>
        <w:rPr>
          <w:w w:val="105"/>
          <w:sz w:val="28"/>
          <w:szCs w:val="28"/>
          <w:lang w:val="uk-UA"/>
        </w:rPr>
        <w:t>лечения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, </w:t>
      </w:r>
      <w:proofErr w:type="spellStart"/>
      <w:r w:rsidRPr="00105DE9">
        <w:rPr>
          <w:w w:val="105"/>
          <w:sz w:val="28"/>
          <w:szCs w:val="28"/>
          <w:lang w:val="uk-UA"/>
        </w:rPr>
        <w:t>последнее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, </w:t>
      </w:r>
      <w:proofErr w:type="spellStart"/>
      <w:r w:rsidRPr="00105DE9">
        <w:rPr>
          <w:w w:val="105"/>
          <w:sz w:val="28"/>
          <w:szCs w:val="28"/>
          <w:lang w:val="uk-UA"/>
        </w:rPr>
        <w:t>вероятно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, </w:t>
      </w:r>
      <w:proofErr w:type="spellStart"/>
      <w:r w:rsidRPr="00105DE9">
        <w:rPr>
          <w:w w:val="105"/>
          <w:sz w:val="28"/>
          <w:szCs w:val="28"/>
          <w:lang w:val="uk-UA"/>
        </w:rPr>
        <w:t>связано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с </w:t>
      </w:r>
      <w:proofErr w:type="spellStart"/>
      <w:r w:rsidRPr="00105DE9">
        <w:rPr>
          <w:w w:val="105"/>
          <w:sz w:val="28"/>
          <w:szCs w:val="28"/>
          <w:lang w:val="uk-UA"/>
        </w:rPr>
        <w:t>перманентным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повреждением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тканей. </w:t>
      </w:r>
      <w:proofErr w:type="spellStart"/>
      <w:r w:rsidRPr="00105DE9">
        <w:rPr>
          <w:w w:val="105"/>
          <w:sz w:val="28"/>
          <w:szCs w:val="28"/>
          <w:lang w:val="uk-UA"/>
        </w:rPr>
        <w:t>После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проведения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иммунокорригирующей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терапии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отмечается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уменьшение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стимуляции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Ig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- </w:t>
      </w:r>
      <w:proofErr w:type="spellStart"/>
      <w:r w:rsidRPr="00105DE9">
        <w:rPr>
          <w:w w:val="105"/>
          <w:sz w:val="28"/>
          <w:szCs w:val="28"/>
          <w:lang w:val="uk-UA"/>
        </w:rPr>
        <w:t>продуцируемого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функции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В-лимфоцитов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, так, </w:t>
      </w:r>
      <w:proofErr w:type="spellStart"/>
      <w:r w:rsidRPr="00105DE9">
        <w:rPr>
          <w:w w:val="105"/>
          <w:sz w:val="28"/>
          <w:szCs w:val="28"/>
          <w:lang w:val="uk-UA"/>
        </w:rPr>
        <w:t>что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уровни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>
        <w:rPr>
          <w:w w:val="105"/>
          <w:sz w:val="28"/>
          <w:szCs w:val="28"/>
          <w:lang w:val="uk-UA"/>
        </w:rPr>
        <w:t>сывороточных</w:t>
      </w:r>
      <w:proofErr w:type="spellEnd"/>
      <w:r>
        <w:rPr>
          <w:w w:val="105"/>
          <w:sz w:val="28"/>
          <w:szCs w:val="28"/>
          <w:lang w:val="uk-UA"/>
        </w:rPr>
        <w:t xml:space="preserve"> </w:t>
      </w:r>
      <w:proofErr w:type="spellStart"/>
      <w:r>
        <w:rPr>
          <w:w w:val="105"/>
          <w:sz w:val="28"/>
          <w:szCs w:val="28"/>
          <w:lang w:val="uk-UA"/>
        </w:rPr>
        <w:t>IgA</w:t>
      </w:r>
      <w:proofErr w:type="spellEnd"/>
      <w:r>
        <w:rPr>
          <w:w w:val="105"/>
          <w:sz w:val="28"/>
          <w:szCs w:val="28"/>
          <w:lang w:val="uk-UA"/>
        </w:rPr>
        <w:t xml:space="preserve"> и </w:t>
      </w:r>
      <w:proofErr w:type="spellStart"/>
      <w:r>
        <w:rPr>
          <w:w w:val="105"/>
          <w:sz w:val="28"/>
          <w:szCs w:val="28"/>
          <w:lang w:val="uk-UA"/>
        </w:rPr>
        <w:t>IgM</w:t>
      </w:r>
      <w:proofErr w:type="spellEnd"/>
      <w:r>
        <w:rPr>
          <w:w w:val="105"/>
          <w:sz w:val="28"/>
          <w:szCs w:val="28"/>
          <w:lang w:val="uk-UA"/>
        </w:rPr>
        <w:t xml:space="preserve"> (</w:t>
      </w:r>
      <w:proofErr w:type="spellStart"/>
      <w:r>
        <w:rPr>
          <w:w w:val="105"/>
          <w:sz w:val="28"/>
          <w:szCs w:val="28"/>
          <w:lang w:val="uk-UA"/>
        </w:rPr>
        <w:t>антител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острой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фазы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) </w:t>
      </w:r>
      <w:proofErr w:type="spellStart"/>
      <w:r w:rsidRPr="00105DE9">
        <w:rPr>
          <w:w w:val="105"/>
          <w:sz w:val="28"/>
          <w:szCs w:val="28"/>
          <w:lang w:val="uk-UA"/>
        </w:rPr>
        <w:t>уменьшаются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относительно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исходного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уровня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, а </w:t>
      </w:r>
      <w:proofErr w:type="spellStart"/>
      <w:r w:rsidRPr="00105DE9">
        <w:rPr>
          <w:w w:val="105"/>
          <w:sz w:val="28"/>
          <w:szCs w:val="28"/>
          <w:lang w:val="uk-UA"/>
        </w:rPr>
        <w:t>уровень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IgG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(</w:t>
      </w:r>
      <w:proofErr w:type="spellStart"/>
      <w:r w:rsidRPr="00105DE9">
        <w:rPr>
          <w:w w:val="105"/>
          <w:sz w:val="28"/>
          <w:szCs w:val="28"/>
          <w:lang w:val="uk-UA"/>
        </w:rPr>
        <w:t>антител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вторичного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иммунного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ответа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) </w:t>
      </w:r>
      <w:proofErr w:type="spellStart"/>
      <w:r w:rsidRPr="00105DE9">
        <w:rPr>
          <w:w w:val="105"/>
          <w:sz w:val="28"/>
          <w:szCs w:val="28"/>
          <w:lang w:val="uk-UA"/>
        </w:rPr>
        <w:t>увеличивается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, </w:t>
      </w:r>
      <w:proofErr w:type="spellStart"/>
      <w:r w:rsidRPr="00105DE9">
        <w:rPr>
          <w:w w:val="105"/>
          <w:sz w:val="28"/>
          <w:szCs w:val="28"/>
          <w:lang w:val="uk-UA"/>
        </w:rPr>
        <w:t>что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свидетельствует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о </w:t>
      </w:r>
      <w:proofErr w:type="spellStart"/>
      <w:r w:rsidRPr="00105DE9">
        <w:rPr>
          <w:w w:val="105"/>
          <w:sz w:val="28"/>
          <w:szCs w:val="28"/>
          <w:lang w:val="uk-UA"/>
        </w:rPr>
        <w:t>восстановлении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очередности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активации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клеток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- </w:t>
      </w:r>
      <w:proofErr w:type="spellStart"/>
      <w:r w:rsidRPr="00105DE9">
        <w:rPr>
          <w:w w:val="105"/>
          <w:sz w:val="28"/>
          <w:szCs w:val="28"/>
          <w:lang w:val="uk-UA"/>
        </w:rPr>
        <w:t>продуцентов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IgM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на IgG-</w:t>
      </w:r>
      <w:proofErr w:type="spellStart"/>
      <w:r w:rsidRPr="00105DE9">
        <w:rPr>
          <w:w w:val="105"/>
          <w:sz w:val="28"/>
          <w:szCs w:val="28"/>
          <w:lang w:val="uk-UA"/>
        </w:rPr>
        <w:t>продуценты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, и </w:t>
      </w:r>
      <w:proofErr w:type="spellStart"/>
      <w:r w:rsidRPr="00105DE9">
        <w:rPr>
          <w:w w:val="105"/>
          <w:sz w:val="28"/>
          <w:szCs w:val="28"/>
          <w:lang w:val="uk-UA"/>
        </w:rPr>
        <w:t>может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указывать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на </w:t>
      </w:r>
      <w:proofErr w:type="spellStart"/>
      <w:r w:rsidRPr="00105DE9">
        <w:rPr>
          <w:w w:val="105"/>
          <w:sz w:val="28"/>
          <w:szCs w:val="28"/>
          <w:lang w:val="uk-UA"/>
        </w:rPr>
        <w:t>регресс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воспалительного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</w:t>
      </w:r>
      <w:proofErr w:type="spellStart"/>
      <w:r w:rsidRPr="00105DE9">
        <w:rPr>
          <w:w w:val="105"/>
          <w:sz w:val="28"/>
          <w:szCs w:val="28"/>
          <w:lang w:val="uk-UA"/>
        </w:rPr>
        <w:t>повреждения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тканей. </w:t>
      </w:r>
    </w:p>
    <w:p w:rsidR="00105DE9" w:rsidRPr="00105DE9" w:rsidRDefault="00105DE9" w:rsidP="00105DE9">
      <w:pPr>
        <w:spacing w:before="240" w:line="360" w:lineRule="auto"/>
        <w:jc w:val="center"/>
        <w:rPr>
          <w:b/>
          <w:sz w:val="26"/>
          <w:szCs w:val="26"/>
          <w:lang w:val="uk-UA"/>
        </w:rPr>
      </w:pPr>
      <w:r w:rsidRPr="00105DE9">
        <w:rPr>
          <w:b/>
          <w:sz w:val="26"/>
          <w:szCs w:val="26"/>
        </w:rPr>
        <w:lastRenderedPageBreak/>
        <w:t xml:space="preserve">ВПЛИВ  </w:t>
      </w:r>
      <w:r w:rsidRPr="00105DE9">
        <w:rPr>
          <w:b/>
          <w:sz w:val="26"/>
          <w:szCs w:val="26"/>
          <w:lang w:val="uk-UA"/>
        </w:rPr>
        <w:t xml:space="preserve">ІМУНОМОДЕЛЮЮЧОЇ ТЕРАПІЇ </w:t>
      </w:r>
      <w:r w:rsidRPr="00105DE9">
        <w:rPr>
          <w:b/>
          <w:sz w:val="26"/>
          <w:szCs w:val="26"/>
        </w:rPr>
        <w:t xml:space="preserve">НА </w:t>
      </w:r>
      <w:r w:rsidRPr="00105DE9">
        <w:rPr>
          <w:b/>
          <w:sz w:val="26"/>
          <w:szCs w:val="26"/>
          <w:lang w:val="uk-UA"/>
        </w:rPr>
        <w:t xml:space="preserve">СТАН СПЕЦИФІЧНОГО </w:t>
      </w:r>
      <w:proofErr w:type="gramStart"/>
      <w:r w:rsidRPr="00105DE9">
        <w:rPr>
          <w:b/>
          <w:sz w:val="26"/>
          <w:szCs w:val="26"/>
          <w:lang w:val="uk-UA"/>
        </w:rPr>
        <w:t>ГУМОРАЛЬНОГО</w:t>
      </w:r>
      <w:proofErr w:type="gramEnd"/>
      <w:r w:rsidRPr="00105DE9">
        <w:rPr>
          <w:b/>
          <w:sz w:val="26"/>
          <w:szCs w:val="26"/>
          <w:lang w:val="uk-UA"/>
        </w:rPr>
        <w:t xml:space="preserve"> ІМУНІТЕТУ ПРИ ПРОГРЕСУВАННІ ХРОНІЧНОЇ ХВОРОБИ НИРОК  У ХВОРИХ НА ІХС</w:t>
      </w:r>
    </w:p>
    <w:p w:rsidR="00105DE9" w:rsidRPr="00105DE9" w:rsidRDefault="00105DE9" w:rsidP="00105DE9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Павлова О.О.</w:t>
      </w:r>
    </w:p>
    <w:p w:rsidR="000F1150" w:rsidRDefault="000F1150" w:rsidP="00105DE9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Харк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вс</w:t>
      </w:r>
      <w:proofErr w:type="spellEnd"/>
      <w:r>
        <w:rPr>
          <w:sz w:val="28"/>
          <w:szCs w:val="28"/>
          <w:lang w:val="uk-UA"/>
        </w:rPr>
        <w:t>ь</w:t>
      </w:r>
      <w:r>
        <w:rPr>
          <w:sz w:val="28"/>
          <w:szCs w:val="28"/>
        </w:rPr>
        <w:t xml:space="preserve">кий </w:t>
      </w:r>
      <w:proofErr w:type="spellStart"/>
      <w:r>
        <w:rPr>
          <w:sz w:val="28"/>
          <w:szCs w:val="28"/>
        </w:rPr>
        <w:t>нац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ональн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й меди</w:t>
      </w:r>
      <w:proofErr w:type="spellStart"/>
      <w:r>
        <w:rPr>
          <w:sz w:val="28"/>
          <w:szCs w:val="28"/>
          <w:lang w:val="uk-UA"/>
        </w:rPr>
        <w:t>чни</w:t>
      </w:r>
      <w:proofErr w:type="spellEnd"/>
      <w:r>
        <w:rPr>
          <w:sz w:val="28"/>
          <w:szCs w:val="28"/>
        </w:rPr>
        <w:t xml:space="preserve">й </w:t>
      </w:r>
      <w:proofErr w:type="spellStart"/>
      <w:r>
        <w:rPr>
          <w:sz w:val="28"/>
          <w:szCs w:val="28"/>
        </w:rPr>
        <w:t>ун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верситет</w:t>
      </w:r>
      <w:proofErr w:type="spellEnd"/>
      <w:r w:rsidR="00105DE9" w:rsidRPr="00105DE9">
        <w:rPr>
          <w:sz w:val="28"/>
          <w:szCs w:val="28"/>
        </w:rPr>
        <w:t>,</w:t>
      </w:r>
      <w:r w:rsidR="00105DE9">
        <w:rPr>
          <w:sz w:val="28"/>
          <w:szCs w:val="28"/>
          <w:lang w:val="uk-UA"/>
        </w:rPr>
        <w:t xml:space="preserve"> Харків, Україна</w:t>
      </w:r>
    </w:p>
    <w:p w:rsidR="00105DE9" w:rsidRPr="00105DE9" w:rsidRDefault="00105DE9" w:rsidP="00105DE9">
      <w:pPr>
        <w:spacing w:line="360" w:lineRule="auto"/>
        <w:ind w:firstLine="567"/>
        <w:jc w:val="both"/>
        <w:rPr>
          <w:w w:val="10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Встановлено, що </w:t>
      </w:r>
      <w:r>
        <w:rPr>
          <w:w w:val="105"/>
          <w:sz w:val="28"/>
          <w:szCs w:val="28"/>
          <w:lang w:val="uk-UA"/>
        </w:rPr>
        <w:t>гуморальна</w:t>
      </w:r>
      <w:r w:rsidRPr="00105DE9">
        <w:rPr>
          <w:w w:val="105"/>
          <w:sz w:val="28"/>
          <w:szCs w:val="28"/>
          <w:lang w:val="uk-UA"/>
        </w:rPr>
        <w:t xml:space="preserve"> ланка специфічного імунітету при прогресуванні хронічної хвор</w:t>
      </w:r>
      <w:r>
        <w:rPr>
          <w:w w:val="105"/>
          <w:sz w:val="28"/>
          <w:szCs w:val="28"/>
          <w:lang w:val="uk-UA"/>
        </w:rPr>
        <w:t>оби нирок у хворих</w:t>
      </w:r>
      <w:r w:rsidRPr="00105DE9">
        <w:rPr>
          <w:w w:val="105"/>
          <w:sz w:val="28"/>
          <w:szCs w:val="28"/>
          <w:lang w:val="uk-UA"/>
        </w:rPr>
        <w:t xml:space="preserve"> на ІХС</w:t>
      </w:r>
      <w:r>
        <w:rPr>
          <w:w w:val="105"/>
          <w:sz w:val="28"/>
          <w:szCs w:val="28"/>
          <w:lang w:val="uk-UA"/>
        </w:rPr>
        <w:t>,</w:t>
      </w:r>
      <w:r w:rsidRPr="00105DE9">
        <w:rPr>
          <w:w w:val="105"/>
          <w:sz w:val="28"/>
          <w:szCs w:val="28"/>
          <w:lang w:val="uk-UA"/>
        </w:rPr>
        <w:t xml:space="preserve"> реагує стимуляцією клітин Ig-продуценті</w:t>
      </w:r>
      <w:r>
        <w:rPr>
          <w:w w:val="105"/>
          <w:sz w:val="28"/>
          <w:szCs w:val="28"/>
          <w:lang w:val="uk-UA"/>
        </w:rPr>
        <w:t>в, що супроводжується підвищенням</w:t>
      </w:r>
      <w:r w:rsidRPr="00105DE9">
        <w:rPr>
          <w:w w:val="105"/>
          <w:sz w:val="28"/>
          <w:szCs w:val="28"/>
          <w:lang w:val="uk-UA"/>
        </w:rPr>
        <w:t xml:space="preserve"> вміст</w:t>
      </w:r>
      <w:r>
        <w:rPr>
          <w:w w:val="105"/>
          <w:sz w:val="28"/>
          <w:szCs w:val="28"/>
          <w:lang w:val="uk-UA"/>
        </w:rPr>
        <w:t xml:space="preserve">у сироваткових </w:t>
      </w:r>
      <w:proofErr w:type="spellStart"/>
      <w:r>
        <w:rPr>
          <w:w w:val="105"/>
          <w:sz w:val="28"/>
          <w:szCs w:val="28"/>
          <w:lang w:val="uk-UA"/>
        </w:rPr>
        <w:t>IgA</w:t>
      </w:r>
      <w:proofErr w:type="spellEnd"/>
      <w:r>
        <w:rPr>
          <w:w w:val="105"/>
          <w:sz w:val="28"/>
          <w:szCs w:val="28"/>
          <w:lang w:val="uk-UA"/>
        </w:rPr>
        <w:t xml:space="preserve">, </w:t>
      </w:r>
      <w:proofErr w:type="spellStart"/>
      <w:r>
        <w:rPr>
          <w:w w:val="105"/>
          <w:sz w:val="28"/>
          <w:szCs w:val="28"/>
          <w:lang w:val="uk-UA"/>
        </w:rPr>
        <w:t>IgG</w:t>
      </w:r>
      <w:proofErr w:type="spellEnd"/>
      <w:r>
        <w:rPr>
          <w:w w:val="105"/>
          <w:sz w:val="28"/>
          <w:szCs w:val="28"/>
          <w:lang w:val="uk-UA"/>
        </w:rPr>
        <w:t xml:space="preserve">, </w:t>
      </w:r>
      <w:proofErr w:type="spellStart"/>
      <w:r>
        <w:rPr>
          <w:w w:val="105"/>
          <w:sz w:val="28"/>
          <w:szCs w:val="28"/>
          <w:lang w:val="uk-UA"/>
        </w:rPr>
        <w:t>IgM</w:t>
      </w:r>
      <w:proofErr w:type="spellEnd"/>
      <w:r>
        <w:rPr>
          <w:w w:val="105"/>
          <w:sz w:val="28"/>
          <w:szCs w:val="28"/>
          <w:lang w:val="uk-UA"/>
        </w:rPr>
        <w:t xml:space="preserve"> і ЦІК до лікування,</w:t>
      </w:r>
      <w:r w:rsidRPr="00105DE9">
        <w:rPr>
          <w:w w:val="105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останнє</w:t>
      </w:r>
      <w:r w:rsidRPr="00105DE9">
        <w:rPr>
          <w:sz w:val="28"/>
          <w:szCs w:val="28"/>
          <w:lang w:val="uk-UA"/>
        </w:rPr>
        <w:t xml:space="preserve">, ймовірно, пов'язано </w:t>
      </w:r>
      <w:r>
        <w:rPr>
          <w:sz w:val="28"/>
          <w:szCs w:val="28"/>
          <w:lang w:val="uk-UA"/>
        </w:rPr>
        <w:t xml:space="preserve">з </w:t>
      </w:r>
      <w:r>
        <w:rPr>
          <w:w w:val="105"/>
          <w:sz w:val="28"/>
          <w:szCs w:val="28"/>
          <w:lang w:val="uk-UA"/>
        </w:rPr>
        <w:t>перманентним у</w:t>
      </w:r>
      <w:r w:rsidRPr="00105DE9">
        <w:rPr>
          <w:w w:val="105"/>
          <w:sz w:val="28"/>
          <w:szCs w:val="28"/>
          <w:lang w:val="uk-UA"/>
        </w:rPr>
        <w:t>шкодження</w:t>
      </w:r>
      <w:r>
        <w:rPr>
          <w:w w:val="105"/>
          <w:sz w:val="28"/>
          <w:szCs w:val="28"/>
          <w:lang w:val="uk-UA"/>
        </w:rPr>
        <w:t>м</w:t>
      </w:r>
      <w:r w:rsidRPr="00105DE9">
        <w:rPr>
          <w:w w:val="105"/>
          <w:sz w:val="28"/>
          <w:szCs w:val="28"/>
          <w:lang w:val="uk-UA"/>
        </w:rPr>
        <w:t xml:space="preserve"> тканин</w:t>
      </w:r>
      <w:r>
        <w:rPr>
          <w:w w:val="105"/>
          <w:sz w:val="28"/>
          <w:szCs w:val="28"/>
          <w:lang w:val="uk-UA"/>
        </w:rPr>
        <w:t>.</w:t>
      </w:r>
      <w:r w:rsidRPr="00105DE9">
        <w:rPr>
          <w:w w:val="105"/>
          <w:sz w:val="28"/>
          <w:szCs w:val="28"/>
          <w:lang w:val="uk-UA"/>
        </w:rPr>
        <w:t xml:space="preserve"> </w:t>
      </w:r>
      <w:r>
        <w:rPr>
          <w:w w:val="105"/>
          <w:sz w:val="28"/>
          <w:szCs w:val="28"/>
          <w:lang w:val="uk-UA"/>
        </w:rPr>
        <w:t xml:space="preserve">Після проведення </w:t>
      </w:r>
      <w:proofErr w:type="spellStart"/>
      <w:r>
        <w:rPr>
          <w:w w:val="105"/>
          <w:sz w:val="28"/>
          <w:szCs w:val="28"/>
          <w:lang w:val="uk-UA"/>
        </w:rPr>
        <w:t>імунокоригуючої</w:t>
      </w:r>
      <w:proofErr w:type="spellEnd"/>
      <w:r>
        <w:rPr>
          <w:w w:val="105"/>
          <w:sz w:val="28"/>
          <w:szCs w:val="28"/>
          <w:lang w:val="uk-UA"/>
        </w:rPr>
        <w:t xml:space="preserve"> терапії </w:t>
      </w:r>
      <w:r w:rsidRPr="00105DE9">
        <w:rPr>
          <w:w w:val="105"/>
          <w:sz w:val="28"/>
          <w:szCs w:val="28"/>
          <w:lang w:val="uk-UA"/>
        </w:rPr>
        <w:t>відзначається</w:t>
      </w:r>
      <w:r>
        <w:rPr>
          <w:w w:val="105"/>
          <w:sz w:val="28"/>
          <w:szCs w:val="28"/>
          <w:lang w:val="uk-UA"/>
        </w:rPr>
        <w:t xml:space="preserve"> зменшення</w:t>
      </w:r>
      <w:r w:rsidRPr="00105DE9">
        <w:rPr>
          <w:w w:val="105"/>
          <w:sz w:val="28"/>
          <w:szCs w:val="28"/>
          <w:lang w:val="uk-UA"/>
        </w:rPr>
        <w:t xml:space="preserve"> стимуляц</w:t>
      </w:r>
      <w:r>
        <w:rPr>
          <w:w w:val="105"/>
          <w:sz w:val="28"/>
          <w:szCs w:val="28"/>
          <w:lang w:val="uk-UA"/>
        </w:rPr>
        <w:t xml:space="preserve">ії </w:t>
      </w:r>
      <w:proofErr w:type="spellStart"/>
      <w:r>
        <w:rPr>
          <w:w w:val="105"/>
          <w:sz w:val="28"/>
          <w:szCs w:val="28"/>
          <w:lang w:val="uk-UA"/>
        </w:rPr>
        <w:t>Ig</w:t>
      </w:r>
      <w:proofErr w:type="spellEnd"/>
      <w:r>
        <w:rPr>
          <w:w w:val="105"/>
          <w:sz w:val="28"/>
          <w:szCs w:val="28"/>
          <w:lang w:val="uk-UA"/>
        </w:rPr>
        <w:t xml:space="preserve"> - продукуючої</w:t>
      </w:r>
      <w:r w:rsidRPr="00105DE9">
        <w:rPr>
          <w:w w:val="105"/>
          <w:sz w:val="28"/>
          <w:szCs w:val="28"/>
          <w:lang w:val="uk-UA"/>
        </w:rPr>
        <w:t xml:space="preserve"> функції В-лімфоцитів, так, що рівні сироваткових </w:t>
      </w:r>
      <w:proofErr w:type="spellStart"/>
      <w:r w:rsidRPr="00105DE9">
        <w:rPr>
          <w:w w:val="105"/>
          <w:sz w:val="28"/>
          <w:szCs w:val="28"/>
          <w:lang w:val="uk-UA"/>
        </w:rPr>
        <w:t>IgA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і </w:t>
      </w:r>
      <w:proofErr w:type="spellStart"/>
      <w:r w:rsidRPr="00105DE9">
        <w:rPr>
          <w:w w:val="105"/>
          <w:sz w:val="28"/>
          <w:szCs w:val="28"/>
          <w:lang w:val="uk-UA"/>
        </w:rPr>
        <w:t>IgM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(антитіла гострої фази) зменшуються щодо вихідного рівня, а рівень </w:t>
      </w:r>
      <w:proofErr w:type="spellStart"/>
      <w:r w:rsidRPr="00105DE9">
        <w:rPr>
          <w:w w:val="105"/>
          <w:sz w:val="28"/>
          <w:szCs w:val="28"/>
          <w:lang w:val="uk-UA"/>
        </w:rPr>
        <w:t>IgG</w:t>
      </w:r>
      <w:proofErr w:type="spellEnd"/>
      <w:r w:rsidRPr="00105DE9">
        <w:rPr>
          <w:w w:val="105"/>
          <w:sz w:val="28"/>
          <w:szCs w:val="28"/>
          <w:lang w:val="uk-UA"/>
        </w:rPr>
        <w:t xml:space="preserve"> (антитіл вторинної іму</w:t>
      </w:r>
      <w:r>
        <w:rPr>
          <w:w w:val="105"/>
          <w:sz w:val="28"/>
          <w:szCs w:val="28"/>
          <w:lang w:val="uk-UA"/>
        </w:rPr>
        <w:t>нної відповіді) збільшується, що</w:t>
      </w:r>
      <w:r w:rsidRPr="00105DE9">
        <w:rPr>
          <w:w w:val="105"/>
          <w:sz w:val="28"/>
          <w:szCs w:val="28"/>
          <w:lang w:val="uk-UA"/>
        </w:rPr>
        <w:t xml:space="preserve"> свідчить про відновлення черговості активації клітин - проду</w:t>
      </w:r>
      <w:r>
        <w:rPr>
          <w:w w:val="105"/>
          <w:sz w:val="28"/>
          <w:szCs w:val="28"/>
          <w:lang w:val="uk-UA"/>
        </w:rPr>
        <w:t xml:space="preserve">центів </w:t>
      </w:r>
      <w:proofErr w:type="spellStart"/>
      <w:r>
        <w:rPr>
          <w:w w:val="105"/>
          <w:sz w:val="28"/>
          <w:szCs w:val="28"/>
          <w:lang w:val="uk-UA"/>
        </w:rPr>
        <w:t>IgM</w:t>
      </w:r>
      <w:proofErr w:type="spellEnd"/>
      <w:r>
        <w:rPr>
          <w:w w:val="105"/>
          <w:sz w:val="28"/>
          <w:szCs w:val="28"/>
          <w:lang w:val="uk-UA"/>
        </w:rPr>
        <w:t xml:space="preserve"> на IgG-продуценти, та</w:t>
      </w:r>
      <w:r w:rsidRPr="00105DE9">
        <w:rPr>
          <w:w w:val="105"/>
          <w:sz w:val="28"/>
          <w:szCs w:val="28"/>
          <w:lang w:val="uk-UA"/>
        </w:rPr>
        <w:t xml:space="preserve"> може вказувати на регрес запального ушкодження тканин.</w:t>
      </w:r>
    </w:p>
    <w:p w:rsidR="000F1150" w:rsidRDefault="000F1150" w:rsidP="000F1150">
      <w:pPr>
        <w:ind w:left="2700" w:hanging="2700"/>
        <w:jc w:val="both"/>
        <w:rPr>
          <w:sz w:val="28"/>
          <w:szCs w:val="28"/>
          <w:lang w:val="uk-UA"/>
        </w:rPr>
      </w:pPr>
    </w:p>
    <w:p w:rsidR="00105DE9" w:rsidRPr="00105DE9" w:rsidRDefault="00105DE9" w:rsidP="00105DE9">
      <w:pPr>
        <w:spacing w:line="360" w:lineRule="auto"/>
        <w:jc w:val="center"/>
        <w:rPr>
          <w:b/>
          <w:sz w:val="26"/>
          <w:szCs w:val="26"/>
          <w:lang w:val="en-US"/>
        </w:rPr>
      </w:pPr>
      <w:r w:rsidRPr="00105DE9">
        <w:rPr>
          <w:b/>
          <w:sz w:val="26"/>
          <w:szCs w:val="26"/>
          <w:lang w:val="uk-UA"/>
        </w:rPr>
        <w:t>EFFECT OF IMMUNOMODULATING</w:t>
      </w:r>
      <w:r w:rsidRPr="00105DE9">
        <w:rPr>
          <w:b/>
          <w:sz w:val="26"/>
          <w:szCs w:val="26"/>
          <w:lang w:val="en-US"/>
        </w:rPr>
        <w:t xml:space="preserve"> </w:t>
      </w:r>
      <w:r w:rsidRPr="00105DE9">
        <w:rPr>
          <w:b/>
          <w:sz w:val="26"/>
          <w:szCs w:val="26"/>
          <w:lang w:val="uk-UA"/>
        </w:rPr>
        <w:t>THERAPY ON THE CONDITION OF SPECIFIC HUMORAL IMMUNITY</w:t>
      </w:r>
      <w:r w:rsidRPr="00105DE9">
        <w:rPr>
          <w:b/>
          <w:sz w:val="26"/>
          <w:szCs w:val="26"/>
          <w:lang w:val="en-US"/>
        </w:rPr>
        <w:t xml:space="preserve"> </w:t>
      </w:r>
      <w:r w:rsidRPr="00105DE9">
        <w:rPr>
          <w:b/>
          <w:sz w:val="26"/>
          <w:szCs w:val="26"/>
          <w:lang w:val="uk-UA"/>
        </w:rPr>
        <w:t>IN THE PROGRESSION OF CHRONIC KIDNEY DISEASE</w:t>
      </w:r>
      <w:r w:rsidRPr="00105DE9">
        <w:rPr>
          <w:b/>
          <w:sz w:val="26"/>
          <w:szCs w:val="26"/>
          <w:lang w:val="en-US"/>
        </w:rPr>
        <w:t xml:space="preserve"> </w:t>
      </w:r>
      <w:r w:rsidRPr="00105DE9">
        <w:rPr>
          <w:b/>
          <w:sz w:val="26"/>
          <w:szCs w:val="26"/>
          <w:lang w:val="uk-UA"/>
        </w:rPr>
        <w:t xml:space="preserve">IN PATIENTS WITH </w:t>
      </w:r>
      <w:r w:rsidRPr="00105DE9">
        <w:rPr>
          <w:b/>
          <w:sz w:val="26"/>
          <w:szCs w:val="26"/>
          <w:lang w:val="en-US"/>
        </w:rPr>
        <w:t>I</w:t>
      </w:r>
      <w:r w:rsidRPr="00105DE9">
        <w:rPr>
          <w:b/>
          <w:sz w:val="26"/>
          <w:szCs w:val="26"/>
          <w:lang w:val="uk-UA"/>
        </w:rPr>
        <w:t>HD</w:t>
      </w:r>
    </w:p>
    <w:p w:rsidR="000F1150" w:rsidRDefault="000F1150" w:rsidP="00105DE9">
      <w:pPr>
        <w:spacing w:line="360" w:lineRule="auto"/>
        <w:jc w:val="center"/>
        <w:rPr>
          <w:w w:val="105"/>
          <w:sz w:val="28"/>
          <w:szCs w:val="28"/>
          <w:lang w:val="en-US"/>
        </w:rPr>
      </w:pPr>
      <w:proofErr w:type="spellStart"/>
      <w:proofErr w:type="gramStart"/>
      <w:r>
        <w:rPr>
          <w:w w:val="105"/>
          <w:sz w:val="28"/>
          <w:szCs w:val="28"/>
          <w:lang w:val="en-US"/>
        </w:rPr>
        <w:t>Pavlova</w:t>
      </w:r>
      <w:proofErr w:type="spellEnd"/>
      <w:r>
        <w:rPr>
          <w:w w:val="105"/>
          <w:sz w:val="28"/>
          <w:szCs w:val="28"/>
          <w:lang w:val="en-US"/>
        </w:rPr>
        <w:t xml:space="preserve"> </w:t>
      </w:r>
      <w:proofErr w:type="spellStart"/>
      <w:r>
        <w:rPr>
          <w:w w:val="105"/>
          <w:sz w:val="28"/>
          <w:szCs w:val="28"/>
          <w:lang w:val="en-US"/>
        </w:rPr>
        <w:t>Ye.A</w:t>
      </w:r>
      <w:proofErr w:type="spellEnd"/>
      <w:r>
        <w:rPr>
          <w:w w:val="105"/>
          <w:sz w:val="28"/>
          <w:szCs w:val="28"/>
          <w:lang w:val="en-US"/>
        </w:rPr>
        <w:t>.</w:t>
      </w:r>
      <w:proofErr w:type="gramEnd"/>
    </w:p>
    <w:p w:rsidR="000F1150" w:rsidRDefault="000F1150" w:rsidP="00105DE9">
      <w:pPr>
        <w:spacing w:line="360" w:lineRule="auto"/>
        <w:jc w:val="center"/>
        <w:rPr>
          <w:w w:val="105"/>
          <w:sz w:val="28"/>
          <w:szCs w:val="28"/>
          <w:lang w:val="en-US"/>
        </w:rPr>
      </w:pPr>
      <w:r>
        <w:rPr>
          <w:w w:val="105"/>
          <w:sz w:val="28"/>
          <w:szCs w:val="28"/>
          <w:lang w:val="en-US"/>
        </w:rPr>
        <w:t>Kharkov National Medical University</w:t>
      </w:r>
      <w:r w:rsidR="00105DE9">
        <w:rPr>
          <w:w w:val="105"/>
          <w:sz w:val="28"/>
          <w:szCs w:val="28"/>
          <w:lang w:val="en-US"/>
        </w:rPr>
        <w:t>,</w:t>
      </w:r>
      <w:r w:rsidR="00105DE9" w:rsidRPr="00105DE9">
        <w:rPr>
          <w:lang w:val="en-US"/>
        </w:rPr>
        <w:t xml:space="preserve"> </w:t>
      </w:r>
      <w:r w:rsidR="00105DE9" w:rsidRPr="00105DE9">
        <w:rPr>
          <w:w w:val="105"/>
          <w:sz w:val="28"/>
          <w:szCs w:val="28"/>
          <w:lang w:val="en-US"/>
        </w:rPr>
        <w:t>Kharkov, Ukraine</w:t>
      </w:r>
    </w:p>
    <w:p w:rsidR="00105DE9" w:rsidRPr="009D4DF0" w:rsidRDefault="00105DE9" w:rsidP="00105DE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05DE9">
        <w:rPr>
          <w:sz w:val="28"/>
          <w:szCs w:val="28"/>
          <w:lang w:val="en-US"/>
        </w:rPr>
        <w:t xml:space="preserve">Reduction </w:t>
      </w:r>
      <w:r>
        <w:rPr>
          <w:sz w:val="28"/>
          <w:szCs w:val="28"/>
          <w:lang w:val="en-US"/>
        </w:rPr>
        <w:t>of</w:t>
      </w:r>
      <w:r w:rsidRPr="00105DE9">
        <w:rPr>
          <w:sz w:val="28"/>
          <w:szCs w:val="28"/>
          <w:lang w:val="en-US"/>
        </w:rPr>
        <w:t xml:space="preserve"> renal function is an important cause of the development of pathological changes in the cardiovascular system,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that </w:t>
      </w:r>
      <w:r w:rsidRPr="00105DE9">
        <w:rPr>
          <w:sz w:val="28"/>
          <w:szCs w:val="28"/>
          <w:lang w:val="en-US"/>
        </w:rPr>
        <w:t> due</w:t>
      </w:r>
      <w:proofErr w:type="gramEnd"/>
      <w:r w:rsidRPr="00105DE9">
        <w:rPr>
          <w:sz w:val="28"/>
          <w:szCs w:val="28"/>
          <w:lang w:val="en-US"/>
        </w:rPr>
        <w:t xml:space="preserve"> to a number of metabolic and hemodynamic disorders,</w:t>
      </w:r>
      <w:r>
        <w:rPr>
          <w:sz w:val="28"/>
          <w:szCs w:val="28"/>
          <w:lang w:val="en-US"/>
        </w:rPr>
        <w:t xml:space="preserve"> </w:t>
      </w:r>
      <w:r w:rsidRPr="00105DE9">
        <w:rPr>
          <w:sz w:val="28"/>
          <w:szCs w:val="28"/>
          <w:lang w:val="en-US"/>
        </w:rPr>
        <w:t xml:space="preserve">that develop in patients with reduced glomerular filtration rate, when to the fore </w:t>
      </w:r>
      <w:r>
        <w:rPr>
          <w:sz w:val="28"/>
          <w:szCs w:val="28"/>
          <w:lang w:val="en-US"/>
        </w:rPr>
        <w:t>stand out</w:t>
      </w:r>
      <w:r w:rsidRPr="00105DE9">
        <w:rPr>
          <w:sz w:val="28"/>
          <w:szCs w:val="28"/>
          <w:lang w:val="en-US"/>
        </w:rPr>
        <w:t xml:space="preserve"> “Renal” factors of cardiovascular risk: albuminuria / proteinuria, systemic inflammation, oxidative stress, etc. The latter is accompanied by a violation of the effector functions of cells, inter-cell interactions in the dynamics of the immune response, which usually determines the rate of disease progression.</w:t>
      </w:r>
    </w:p>
    <w:p w:rsidR="00105DE9" w:rsidRPr="009D4DF0" w:rsidRDefault="00105DE9" w:rsidP="00105DE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05DE9">
        <w:rPr>
          <w:sz w:val="28"/>
          <w:szCs w:val="28"/>
          <w:lang w:val="en-US"/>
        </w:rPr>
        <w:lastRenderedPageBreak/>
        <w:t xml:space="preserve">The aim of this work was to study of the effect of </w:t>
      </w:r>
      <w:proofErr w:type="spellStart"/>
      <w:r w:rsidRPr="00105DE9">
        <w:rPr>
          <w:sz w:val="28"/>
          <w:szCs w:val="28"/>
          <w:lang w:val="en-US"/>
        </w:rPr>
        <w:t>immunomodulatory</w:t>
      </w:r>
      <w:proofErr w:type="spellEnd"/>
      <w:r w:rsidRPr="00105DE9">
        <w:rPr>
          <w:sz w:val="28"/>
          <w:szCs w:val="28"/>
          <w:lang w:val="en-US"/>
        </w:rPr>
        <w:t xml:space="preserve"> therapy on the state of a specific </w:t>
      </w:r>
      <w:proofErr w:type="spellStart"/>
      <w:r w:rsidRPr="00105DE9">
        <w:rPr>
          <w:sz w:val="28"/>
          <w:szCs w:val="28"/>
          <w:lang w:val="en-US"/>
        </w:rPr>
        <w:t>humoral</w:t>
      </w:r>
      <w:proofErr w:type="spellEnd"/>
      <w:r w:rsidRPr="00105DE9">
        <w:rPr>
          <w:sz w:val="28"/>
          <w:szCs w:val="28"/>
          <w:lang w:val="en-US"/>
        </w:rPr>
        <w:t xml:space="preserve"> immunity with the progression of chronic kidney disease in patients with coronary artery disease before and after treatment.</w:t>
      </w:r>
    </w:p>
    <w:p w:rsidR="00105DE9" w:rsidRPr="00105DE9" w:rsidRDefault="00105DE9" w:rsidP="00105DE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proofErr w:type="gramStart"/>
      <w:r w:rsidRPr="00105DE9">
        <w:rPr>
          <w:sz w:val="28"/>
          <w:szCs w:val="28"/>
          <w:lang w:val="en-US"/>
        </w:rPr>
        <w:t>Observed 20 people (35 - 65 years).</w:t>
      </w:r>
      <w:proofErr w:type="gramEnd"/>
      <w:r>
        <w:rPr>
          <w:sz w:val="28"/>
          <w:szCs w:val="28"/>
          <w:lang w:val="en-US"/>
        </w:rPr>
        <w:t xml:space="preserve"> 10 people (</w:t>
      </w:r>
      <w:r w:rsidRPr="00105DE9">
        <w:rPr>
          <w:sz w:val="28"/>
          <w:szCs w:val="28"/>
          <w:lang w:val="en-US"/>
        </w:rPr>
        <w:t>control) - patients with coronary artery disease</w:t>
      </w:r>
      <w:r>
        <w:rPr>
          <w:sz w:val="28"/>
          <w:szCs w:val="28"/>
          <w:lang w:val="en-US"/>
        </w:rPr>
        <w:t xml:space="preserve"> (CAD)</w:t>
      </w:r>
      <w:r w:rsidRPr="00105DE9">
        <w:rPr>
          <w:sz w:val="28"/>
          <w:szCs w:val="28"/>
          <w:lang w:val="en-US"/>
        </w:rPr>
        <w:t xml:space="preserve"> a</w:t>
      </w:r>
      <w:r>
        <w:rPr>
          <w:sz w:val="28"/>
          <w:szCs w:val="28"/>
          <w:lang w:val="en-US"/>
        </w:rPr>
        <w:t>ssociated with hypertension</w:t>
      </w:r>
      <w:r w:rsidRPr="00105DE9">
        <w:rPr>
          <w:sz w:val="28"/>
          <w:szCs w:val="28"/>
          <w:lang w:val="en-US"/>
        </w:rPr>
        <w:t>,</w:t>
      </w:r>
      <w:r w:rsidRPr="00105DE9">
        <w:rPr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105DE9">
        <w:rPr>
          <w:sz w:val="28"/>
          <w:szCs w:val="28"/>
          <w:lang w:val="en-US"/>
        </w:rPr>
        <w:t>tage II, (stable angina - 2 FC (according to the criteria of the New York Heart Association (NYHA)).</w:t>
      </w:r>
      <w:r>
        <w:rPr>
          <w:sz w:val="28"/>
          <w:szCs w:val="28"/>
          <w:lang w:val="en-US"/>
        </w:rPr>
        <w:t xml:space="preserve"> </w:t>
      </w:r>
      <w:r w:rsidRPr="00105DE9">
        <w:rPr>
          <w:sz w:val="28"/>
          <w:szCs w:val="28"/>
          <w:lang w:val="en-US"/>
        </w:rPr>
        <w:t>(</w:t>
      </w:r>
      <w:proofErr w:type="gramStart"/>
      <w:r w:rsidRPr="00105DE9">
        <w:rPr>
          <w:sz w:val="28"/>
          <w:szCs w:val="28"/>
          <w:lang w:val="en-US"/>
        </w:rPr>
        <w:t>group</w:t>
      </w:r>
      <w:proofErr w:type="gramEnd"/>
      <w:r w:rsidRPr="00105DE9">
        <w:rPr>
          <w:sz w:val="28"/>
          <w:szCs w:val="28"/>
          <w:lang w:val="en-US"/>
        </w:rPr>
        <w:t xml:space="preserve"> B) - 10 patients (</w:t>
      </w:r>
      <w:r>
        <w:rPr>
          <w:sz w:val="28"/>
          <w:szCs w:val="28"/>
          <w:lang w:val="en-US"/>
        </w:rPr>
        <w:t>CAD, associated with hypertension</w:t>
      </w:r>
      <w:r w:rsidRPr="00105DE9">
        <w:rPr>
          <w:sz w:val="28"/>
          <w:szCs w:val="28"/>
          <w:lang w:val="en-US"/>
        </w:rPr>
        <w:t xml:space="preserve"> and CKD in lightly reduced glomerular filtration rate (60-89ml / </w:t>
      </w:r>
      <w:proofErr w:type="spellStart"/>
      <w:r w:rsidRPr="00105DE9">
        <w:rPr>
          <w:sz w:val="28"/>
          <w:szCs w:val="28"/>
          <w:lang w:val="en-US"/>
        </w:rPr>
        <w:t>hv</w:t>
      </w:r>
      <w:proofErr w:type="spellEnd"/>
      <w:r w:rsidRPr="00105DE9">
        <w:rPr>
          <w:sz w:val="28"/>
          <w:szCs w:val="28"/>
          <w:lang w:val="en-US"/>
        </w:rPr>
        <w:t xml:space="preserve"> / </w:t>
      </w:r>
      <w:proofErr w:type="gramStart"/>
      <w:r w:rsidRPr="00105DE9">
        <w:rPr>
          <w:sz w:val="28"/>
          <w:szCs w:val="28"/>
          <w:lang w:val="en-US"/>
        </w:rPr>
        <w:t>1,73m2 )</w:t>
      </w:r>
      <w:proofErr w:type="gramEnd"/>
      <w:r w:rsidRPr="00105DE9">
        <w:rPr>
          <w:sz w:val="28"/>
          <w:szCs w:val="28"/>
          <w:lang w:val="en-US"/>
        </w:rPr>
        <w:t>).</w:t>
      </w:r>
      <w:r>
        <w:rPr>
          <w:sz w:val="28"/>
          <w:szCs w:val="28"/>
          <w:lang w:val="en-US"/>
        </w:rPr>
        <w:t xml:space="preserve"> </w:t>
      </w:r>
      <w:r w:rsidRPr="00105DE9">
        <w:rPr>
          <w:sz w:val="28"/>
          <w:szCs w:val="28"/>
          <w:lang w:val="en-US"/>
        </w:rPr>
        <w:t xml:space="preserve">The calculation of glomerular filtration rate was performed using the formula D. W. </w:t>
      </w:r>
      <w:proofErr w:type="spellStart"/>
      <w:r w:rsidRPr="00105DE9">
        <w:rPr>
          <w:sz w:val="28"/>
          <w:szCs w:val="28"/>
          <w:lang w:val="en-US"/>
        </w:rPr>
        <w:t>Coccroft</w:t>
      </w:r>
      <w:proofErr w:type="spellEnd"/>
      <w:r w:rsidRPr="00105DE9">
        <w:rPr>
          <w:sz w:val="28"/>
          <w:szCs w:val="28"/>
          <w:lang w:val="en-US"/>
        </w:rPr>
        <w:t xml:space="preserve"> і M. N. </w:t>
      </w:r>
      <w:proofErr w:type="spellStart"/>
      <w:r w:rsidRPr="00105DE9">
        <w:rPr>
          <w:sz w:val="28"/>
          <w:szCs w:val="28"/>
          <w:lang w:val="en-US"/>
        </w:rPr>
        <w:t>Gault</w:t>
      </w:r>
      <w:proofErr w:type="spellEnd"/>
      <w:r w:rsidRPr="00105DE9">
        <w:rPr>
          <w:sz w:val="28"/>
          <w:szCs w:val="28"/>
          <w:lang w:val="en-US"/>
        </w:rPr>
        <w:t xml:space="preserve">. (The level of serum </w:t>
      </w:r>
      <w:proofErr w:type="spellStart"/>
      <w:r w:rsidRPr="00105DE9">
        <w:rPr>
          <w:sz w:val="28"/>
          <w:szCs w:val="28"/>
          <w:lang w:val="en-US"/>
        </w:rPr>
        <w:t>creatinine</w:t>
      </w:r>
      <w:proofErr w:type="spellEnd"/>
      <w:r w:rsidRPr="00105DE9">
        <w:rPr>
          <w:sz w:val="28"/>
          <w:szCs w:val="28"/>
          <w:lang w:val="en-US"/>
        </w:rPr>
        <w:t>, age, gender, and body weight were taken into account). The level of circulating immune complexes (CIC) in serum was determined on a spectrophotometer at a wavelength of 450 nm after precipitation of 3.5% and 7% solution of poly</w:t>
      </w:r>
      <w:r>
        <w:rPr>
          <w:sz w:val="28"/>
          <w:szCs w:val="28"/>
          <w:lang w:val="en-US"/>
        </w:rPr>
        <w:t>ethylene glycol 6000 (</w:t>
      </w:r>
      <w:r w:rsidRPr="00105DE9">
        <w:rPr>
          <w:sz w:val="28"/>
          <w:szCs w:val="28"/>
          <w:lang w:val="en-US"/>
        </w:rPr>
        <w:t xml:space="preserve">method of </w:t>
      </w:r>
      <w:proofErr w:type="spellStart"/>
      <w:r w:rsidRPr="00105DE9">
        <w:rPr>
          <w:sz w:val="28"/>
          <w:szCs w:val="28"/>
          <w:lang w:val="en-US"/>
        </w:rPr>
        <w:t>Grinevich</w:t>
      </w:r>
      <w:proofErr w:type="spellEnd"/>
      <w:r w:rsidRPr="00105DE9">
        <w:rPr>
          <w:sz w:val="28"/>
          <w:szCs w:val="28"/>
          <w:lang w:val="en-US"/>
        </w:rPr>
        <w:t xml:space="preserve"> </w:t>
      </w:r>
      <w:proofErr w:type="spellStart"/>
      <w:r w:rsidRPr="00105DE9">
        <w:rPr>
          <w:sz w:val="28"/>
          <w:szCs w:val="28"/>
          <w:lang w:val="en-US"/>
        </w:rPr>
        <w:t>Yu.A</w:t>
      </w:r>
      <w:proofErr w:type="spellEnd"/>
      <w:r w:rsidRPr="00105DE9">
        <w:rPr>
          <w:sz w:val="28"/>
          <w:szCs w:val="28"/>
          <w:lang w:val="en-US"/>
        </w:rPr>
        <w:t>.)</w:t>
      </w:r>
    </w:p>
    <w:p w:rsidR="00105DE9" w:rsidRPr="00105DE9" w:rsidRDefault="00105DE9" w:rsidP="00105DE9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105DE9">
        <w:rPr>
          <w:sz w:val="28"/>
          <w:szCs w:val="28"/>
          <w:lang w:val="en-US"/>
        </w:rPr>
        <w:t xml:space="preserve">The content of serum IgA, </w:t>
      </w:r>
      <w:proofErr w:type="spellStart"/>
      <w:r w:rsidRPr="00105DE9">
        <w:rPr>
          <w:sz w:val="28"/>
          <w:szCs w:val="28"/>
          <w:lang w:val="en-US"/>
        </w:rPr>
        <w:t>IgM</w:t>
      </w:r>
      <w:proofErr w:type="spellEnd"/>
      <w:r w:rsidRPr="00105DE9">
        <w:rPr>
          <w:sz w:val="28"/>
          <w:szCs w:val="28"/>
          <w:lang w:val="en-US"/>
        </w:rPr>
        <w:t xml:space="preserve">, </w:t>
      </w:r>
      <w:proofErr w:type="spellStart"/>
      <w:r w:rsidRPr="00105DE9">
        <w:rPr>
          <w:sz w:val="28"/>
          <w:szCs w:val="28"/>
          <w:lang w:val="en-US"/>
        </w:rPr>
        <w:t>Ig</w:t>
      </w:r>
      <w:r>
        <w:rPr>
          <w:sz w:val="28"/>
          <w:szCs w:val="28"/>
          <w:lang w:val="en-US"/>
        </w:rPr>
        <w:t>G</w:t>
      </w:r>
      <w:proofErr w:type="spellEnd"/>
      <w:r w:rsidRPr="00105DE9">
        <w:rPr>
          <w:sz w:val="28"/>
          <w:szCs w:val="28"/>
          <w:lang w:val="en-US"/>
        </w:rPr>
        <w:t xml:space="preserve"> was determined by the method of radial </w:t>
      </w:r>
      <w:proofErr w:type="spellStart"/>
      <w:r w:rsidRPr="00105DE9">
        <w:rPr>
          <w:sz w:val="28"/>
          <w:szCs w:val="28"/>
          <w:lang w:val="en-US"/>
        </w:rPr>
        <w:t>immunodiffusion</w:t>
      </w:r>
      <w:proofErr w:type="spellEnd"/>
      <w:r w:rsidRPr="00105DE9">
        <w:rPr>
          <w:sz w:val="28"/>
          <w:szCs w:val="28"/>
          <w:lang w:val="en-US"/>
        </w:rPr>
        <w:t xml:space="preserve"> in a gel </w:t>
      </w:r>
      <w:r>
        <w:rPr>
          <w:sz w:val="28"/>
          <w:szCs w:val="28"/>
          <w:lang w:val="en-US"/>
        </w:rPr>
        <w:t>(</w:t>
      </w:r>
      <w:r w:rsidRPr="00105DE9">
        <w:rPr>
          <w:sz w:val="28"/>
          <w:szCs w:val="28"/>
          <w:lang w:val="en-US"/>
        </w:rPr>
        <w:t xml:space="preserve">G. </w:t>
      </w:r>
      <w:proofErr w:type="spellStart"/>
      <w:r w:rsidRPr="00105DE9">
        <w:rPr>
          <w:sz w:val="28"/>
          <w:szCs w:val="28"/>
          <w:lang w:val="en-US"/>
        </w:rPr>
        <w:t>Manchini</w:t>
      </w:r>
      <w:proofErr w:type="spellEnd"/>
      <w:r>
        <w:rPr>
          <w:sz w:val="28"/>
          <w:szCs w:val="28"/>
          <w:lang w:val="en-US"/>
        </w:rPr>
        <w:t>)</w:t>
      </w:r>
      <w:r w:rsidRPr="00105DE9">
        <w:rPr>
          <w:sz w:val="28"/>
          <w:szCs w:val="28"/>
          <w:lang w:val="en-US"/>
        </w:rPr>
        <w:t xml:space="preserve"> using sets of </w:t>
      </w:r>
      <w:proofErr w:type="spellStart"/>
      <w:r w:rsidRPr="00105DE9">
        <w:rPr>
          <w:sz w:val="28"/>
          <w:szCs w:val="28"/>
          <w:lang w:val="en-US"/>
        </w:rPr>
        <w:t>monospecific</w:t>
      </w:r>
      <w:proofErr w:type="spellEnd"/>
      <w:r w:rsidRPr="00105DE9">
        <w:rPr>
          <w:sz w:val="28"/>
          <w:szCs w:val="28"/>
          <w:lang w:val="en-US"/>
        </w:rPr>
        <w:t xml:space="preserve"> anti-serum kits to </w:t>
      </w:r>
      <w:proofErr w:type="spellStart"/>
      <w:r w:rsidRPr="00105DE9">
        <w:rPr>
          <w:sz w:val="28"/>
          <w:szCs w:val="28"/>
          <w:lang w:val="en-US"/>
        </w:rPr>
        <w:t>immunoglobulins</w:t>
      </w:r>
      <w:proofErr w:type="spellEnd"/>
      <w:r w:rsidRPr="00105DE9">
        <w:rPr>
          <w:sz w:val="28"/>
          <w:szCs w:val="28"/>
          <w:lang w:val="en-US"/>
        </w:rPr>
        <w:t xml:space="preserve">. As an </w:t>
      </w:r>
      <w:proofErr w:type="spellStart"/>
      <w:r w:rsidRPr="00105DE9">
        <w:rPr>
          <w:sz w:val="28"/>
          <w:szCs w:val="28"/>
          <w:lang w:val="en-US"/>
        </w:rPr>
        <w:t>immunomodulator</w:t>
      </w:r>
      <w:proofErr w:type="spellEnd"/>
      <w:r w:rsidRPr="00105DE9">
        <w:rPr>
          <w:sz w:val="28"/>
          <w:szCs w:val="28"/>
          <w:lang w:val="en-US"/>
        </w:rPr>
        <w:t>, 2 ml twice a day for 10 days intramuscularly used the drug (</w:t>
      </w:r>
      <w:proofErr w:type="spellStart"/>
      <w:r w:rsidRPr="00105DE9">
        <w:rPr>
          <w:sz w:val="28"/>
          <w:szCs w:val="28"/>
          <w:lang w:val="en-US"/>
        </w:rPr>
        <w:t>Erbisol</w:t>
      </w:r>
      <w:proofErr w:type="spellEnd"/>
      <w:r w:rsidRPr="00105DE9">
        <w:rPr>
          <w:sz w:val="28"/>
          <w:szCs w:val="28"/>
          <w:lang w:val="en-US"/>
        </w:rPr>
        <w:t>). Mathematical calculations were performed using the STATISTICA v.6.0 package (</w:t>
      </w:r>
      <w:proofErr w:type="spellStart"/>
      <w:r w:rsidRPr="00105DE9">
        <w:rPr>
          <w:sz w:val="28"/>
          <w:szCs w:val="28"/>
          <w:lang w:val="en-US"/>
        </w:rPr>
        <w:t>StatSoft</w:t>
      </w:r>
      <w:proofErr w:type="spellEnd"/>
      <w:r w:rsidRPr="00105DE9">
        <w:rPr>
          <w:sz w:val="28"/>
          <w:szCs w:val="28"/>
          <w:lang w:val="en-US"/>
        </w:rPr>
        <w:t xml:space="preserve">, </w:t>
      </w:r>
      <w:proofErr w:type="spellStart"/>
      <w:r w:rsidRPr="00105DE9">
        <w:rPr>
          <w:sz w:val="28"/>
          <w:szCs w:val="28"/>
          <w:lang w:val="en-US"/>
        </w:rPr>
        <w:t>Inc</w:t>
      </w:r>
      <w:proofErr w:type="spellEnd"/>
      <w:r w:rsidRPr="00105DE9">
        <w:rPr>
          <w:sz w:val="28"/>
          <w:szCs w:val="28"/>
          <w:lang w:val="en-US"/>
        </w:rPr>
        <w:t xml:space="preserve"> ®).</w:t>
      </w:r>
    </w:p>
    <w:p w:rsidR="00105DE9" w:rsidRPr="00105DE9" w:rsidRDefault="00105DE9" w:rsidP="00105DE9">
      <w:pPr>
        <w:spacing w:line="360" w:lineRule="auto"/>
        <w:jc w:val="both"/>
        <w:rPr>
          <w:sz w:val="28"/>
          <w:szCs w:val="28"/>
          <w:lang w:val="en-US"/>
        </w:rPr>
      </w:pPr>
      <w:r w:rsidRPr="00105DE9">
        <w:rPr>
          <w:sz w:val="28"/>
          <w:szCs w:val="28"/>
          <w:lang w:val="en-US"/>
        </w:rPr>
        <w:t>Established</w:t>
      </w:r>
      <w:r>
        <w:rPr>
          <w:sz w:val="28"/>
          <w:szCs w:val="28"/>
          <w:lang w:val="en-US"/>
        </w:rPr>
        <w:t xml:space="preserve">, </w:t>
      </w:r>
      <w:r w:rsidRPr="00105DE9">
        <w:rPr>
          <w:sz w:val="28"/>
          <w:szCs w:val="28"/>
          <w:lang w:val="en-US"/>
        </w:rPr>
        <w:t xml:space="preserve">that </w:t>
      </w:r>
      <w:proofErr w:type="spellStart"/>
      <w:r w:rsidRPr="00105DE9">
        <w:rPr>
          <w:sz w:val="28"/>
          <w:szCs w:val="28"/>
          <w:lang w:val="en-US"/>
        </w:rPr>
        <w:t>humoral</w:t>
      </w:r>
      <w:proofErr w:type="spellEnd"/>
      <w:r w:rsidRPr="00105DE9">
        <w:rPr>
          <w:sz w:val="28"/>
          <w:szCs w:val="28"/>
          <w:lang w:val="en-US"/>
        </w:rPr>
        <w:t xml:space="preserve"> specific </w:t>
      </w:r>
      <w:proofErr w:type="gramStart"/>
      <w:r w:rsidRPr="00105DE9">
        <w:rPr>
          <w:sz w:val="28"/>
          <w:szCs w:val="28"/>
          <w:lang w:val="en-US"/>
        </w:rPr>
        <w:t>immunity</w:t>
      </w:r>
      <w:r>
        <w:rPr>
          <w:sz w:val="28"/>
          <w:szCs w:val="28"/>
          <w:lang w:val="en-US"/>
        </w:rPr>
        <w:t xml:space="preserve"> </w:t>
      </w:r>
      <w:r w:rsidRPr="00105DE9">
        <w:rPr>
          <w:sz w:val="28"/>
          <w:szCs w:val="28"/>
          <w:lang w:val="en-US"/>
        </w:rPr>
        <w:t> with</w:t>
      </w:r>
      <w:proofErr w:type="gramEnd"/>
      <w:r w:rsidRPr="00105DE9">
        <w:rPr>
          <w:sz w:val="28"/>
          <w:szCs w:val="28"/>
          <w:lang w:val="en-US"/>
        </w:rPr>
        <w:t xml:space="preserve"> the progression of chronic kidney disease in patients with IHD,</w:t>
      </w:r>
      <w:r>
        <w:rPr>
          <w:sz w:val="28"/>
          <w:szCs w:val="28"/>
          <w:lang w:val="en-US"/>
        </w:rPr>
        <w:t xml:space="preserve"> </w:t>
      </w:r>
      <w:r w:rsidRPr="00105DE9">
        <w:rPr>
          <w:sz w:val="28"/>
          <w:szCs w:val="28"/>
          <w:lang w:val="en-US"/>
        </w:rPr>
        <w:t xml:space="preserve">reacts by stimulating </w:t>
      </w:r>
      <w:proofErr w:type="spellStart"/>
      <w:r w:rsidRPr="00105DE9">
        <w:rPr>
          <w:sz w:val="28"/>
          <w:szCs w:val="28"/>
          <w:lang w:val="en-US"/>
        </w:rPr>
        <w:t>Ig</w:t>
      </w:r>
      <w:proofErr w:type="spellEnd"/>
      <w:r w:rsidRPr="00105DE9">
        <w:rPr>
          <w:sz w:val="28"/>
          <w:szCs w:val="28"/>
          <w:lang w:val="en-US"/>
        </w:rPr>
        <w:t>-producing cells,</w:t>
      </w:r>
      <w:r>
        <w:rPr>
          <w:sz w:val="28"/>
          <w:szCs w:val="28"/>
          <w:lang w:val="en-US"/>
        </w:rPr>
        <w:t xml:space="preserve"> </w:t>
      </w:r>
      <w:r w:rsidRPr="00105DE9">
        <w:rPr>
          <w:sz w:val="28"/>
          <w:szCs w:val="28"/>
          <w:lang w:val="en-US"/>
        </w:rPr>
        <w:t xml:space="preserve">which is accompanied by an increase in serum IgA, </w:t>
      </w:r>
      <w:proofErr w:type="spellStart"/>
      <w:r w:rsidRPr="00105DE9">
        <w:rPr>
          <w:sz w:val="28"/>
          <w:szCs w:val="28"/>
          <w:lang w:val="en-US"/>
        </w:rPr>
        <w:t>IgG</w:t>
      </w:r>
      <w:proofErr w:type="spellEnd"/>
      <w:r w:rsidRPr="00105DE9">
        <w:rPr>
          <w:sz w:val="28"/>
          <w:szCs w:val="28"/>
          <w:lang w:val="en-US"/>
        </w:rPr>
        <w:t xml:space="preserve">, </w:t>
      </w:r>
      <w:proofErr w:type="spellStart"/>
      <w:r w:rsidRPr="00105DE9">
        <w:rPr>
          <w:sz w:val="28"/>
          <w:szCs w:val="28"/>
          <w:lang w:val="en-US"/>
        </w:rPr>
        <w:t>IgM</w:t>
      </w:r>
      <w:proofErr w:type="spellEnd"/>
      <w:r w:rsidRPr="00105DE9">
        <w:rPr>
          <w:sz w:val="28"/>
          <w:szCs w:val="28"/>
          <w:lang w:val="en-US"/>
        </w:rPr>
        <w:t xml:space="preserve"> and CIC before treatment,</w:t>
      </w:r>
      <w:r>
        <w:rPr>
          <w:sz w:val="28"/>
          <w:szCs w:val="28"/>
          <w:lang w:val="en-US"/>
        </w:rPr>
        <w:t xml:space="preserve"> </w:t>
      </w:r>
      <w:r w:rsidRPr="00105DE9">
        <w:rPr>
          <w:sz w:val="28"/>
          <w:szCs w:val="28"/>
          <w:lang w:val="en-US"/>
        </w:rPr>
        <w:t> the latter is probably associated with permanent tissue damage.</w:t>
      </w:r>
    </w:p>
    <w:p w:rsidR="000C46E9" w:rsidRPr="00105DE9" w:rsidRDefault="00105DE9" w:rsidP="00105DE9">
      <w:pPr>
        <w:spacing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</w:pPr>
      <w:r w:rsidRPr="00105DE9">
        <w:rPr>
          <w:sz w:val="28"/>
          <w:szCs w:val="28"/>
          <w:lang w:val="en-US"/>
        </w:rPr>
        <w:t xml:space="preserve">After immunotherapy, there is a decrease in the stimulation of </w:t>
      </w:r>
      <w:proofErr w:type="spellStart"/>
      <w:r w:rsidRPr="00105DE9">
        <w:rPr>
          <w:sz w:val="28"/>
          <w:szCs w:val="28"/>
          <w:lang w:val="en-US"/>
        </w:rPr>
        <w:t>Ig</w:t>
      </w:r>
      <w:proofErr w:type="spellEnd"/>
      <w:r w:rsidRPr="00105DE9">
        <w:rPr>
          <w:sz w:val="28"/>
          <w:szCs w:val="28"/>
          <w:lang w:val="en-US"/>
        </w:rPr>
        <w:t xml:space="preserve">-produced B-lymphocyte function, so that serum IgA and </w:t>
      </w:r>
      <w:proofErr w:type="spellStart"/>
      <w:r w:rsidRPr="00105DE9">
        <w:rPr>
          <w:sz w:val="28"/>
          <w:szCs w:val="28"/>
          <w:lang w:val="en-US"/>
        </w:rPr>
        <w:t>IgM</w:t>
      </w:r>
      <w:proofErr w:type="spellEnd"/>
      <w:r w:rsidRPr="00105DE9">
        <w:rPr>
          <w:sz w:val="28"/>
          <w:szCs w:val="28"/>
          <w:lang w:val="en-US"/>
        </w:rPr>
        <w:t xml:space="preserve"> levels (antibodies of the acute phase) decrease relative to the initial level, and </w:t>
      </w:r>
      <w:proofErr w:type="spellStart"/>
      <w:r w:rsidRPr="00105DE9">
        <w:rPr>
          <w:sz w:val="28"/>
          <w:szCs w:val="28"/>
          <w:lang w:val="en-US"/>
        </w:rPr>
        <w:t>IgG</w:t>
      </w:r>
      <w:proofErr w:type="spellEnd"/>
      <w:r w:rsidRPr="00105DE9">
        <w:rPr>
          <w:sz w:val="28"/>
          <w:szCs w:val="28"/>
          <w:lang w:val="en-US"/>
        </w:rPr>
        <w:t xml:space="preserve"> (antibodies of the secondary immune response) increases, indicating that the activation sequence is restored cells - </w:t>
      </w:r>
      <w:proofErr w:type="spellStart"/>
      <w:r w:rsidRPr="00105DE9">
        <w:rPr>
          <w:sz w:val="28"/>
          <w:szCs w:val="28"/>
          <w:lang w:val="en-US"/>
        </w:rPr>
        <w:t>IgM</w:t>
      </w:r>
      <w:proofErr w:type="spellEnd"/>
      <w:r w:rsidRPr="00105DE9">
        <w:rPr>
          <w:sz w:val="28"/>
          <w:szCs w:val="28"/>
          <w:lang w:val="en-US"/>
        </w:rPr>
        <w:t xml:space="preserve"> producers for </w:t>
      </w:r>
      <w:proofErr w:type="spellStart"/>
      <w:r w:rsidRPr="00105DE9">
        <w:rPr>
          <w:sz w:val="28"/>
          <w:szCs w:val="28"/>
          <w:lang w:val="en-US"/>
        </w:rPr>
        <w:t>IgG</w:t>
      </w:r>
      <w:proofErr w:type="spellEnd"/>
      <w:r w:rsidRPr="00105DE9">
        <w:rPr>
          <w:sz w:val="28"/>
          <w:szCs w:val="28"/>
          <w:lang w:val="en-US"/>
        </w:rPr>
        <w:t>-producers, and may indicate</w:t>
      </w:r>
      <w:r>
        <w:rPr>
          <w:sz w:val="28"/>
          <w:szCs w:val="28"/>
          <w:lang w:val="en-US"/>
        </w:rPr>
        <w:t xml:space="preserve"> </w:t>
      </w:r>
      <w:r w:rsidRPr="00105DE9">
        <w:rPr>
          <w:sz w:val="28"/>
          <w:szCs w:val="28"/>
          <w:lang w:val="en-US"/>
        </w:rPr>
        <w:t>on the regression of inflammatory tissue damage.</w:t>
      </w:r>
    </w:p>
    <w:p w:rsidR="000C46E9" w:rsidRPr="00105DE9" w:rsidRDefault="000C46E9" w:rsidP="000F1150">
      <w:pPr>
        <w:spacing w:line="360" w:lineRule="auto"/>
        <w:jc w:val="both"/>
        <w:rPr>
          <w:color w:val="222222"/>
          <w:shd w:val="clear" w:color="auto" w:fill="FFFFFF"/>
          <w:lang w:val="en-US"/>
        </w:rPr>
      </w:pPr>
    </w:p>
    <w:p w:rsidR="009B209A" w:rsidRPr="009B209A" w:rsidRDefault="009B209A" w:rsidP="009B209A">
      <w:pPr>
        <w:spacing w:line="360" w:lineRule="auto"/>
        <w:jc w:val="both"/>
        <w:rPr>
          <w:color w:val="222222"/>
          <w:shd w:val="clear" w:color="auto" w:fill="FFFFFF"/>
          <w:lang w:val="en-US"/>
        </w:rPr>
      </w:pPr>
    </w:p>
    <w:sectPr w:rsidR="009B209A" w:rsidRPr="009B209A" w:rsidSect="001B1E1F">
      <w:headerReference w:type="default" r:id="rId9"/>
      <w:footnotePr>
        <w:pos w:val="beneathText"/>
      </w:footnotePr>
      <w:pgSz w:w="11905" w:h="16837"/>
      <w:pgMar w:top="1134" w:right="794" w:bottom="1134" w:left="158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49" w:rsidRDefault="000B6949">
      <w:r>
        <w:separator/>
      </w:r>
    </w:p>
  </w:endnote>
  <w:endnote w:type="continuationSeparator" w:id="0">
    <w:p w:rsidR="000B6949" w:rsidRDefault="000B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49" w:rsidRDefault="000B6949">
      <w:r>
        <w:separator/>
      </w:r>
    </w:p>
  </w:footnote>
  <w:footnote w:type="continuationSeparator" w:id="0">
    <w:p w:rsidR="000B6949" w:rsidRDefault="000B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EF" w:rsidRDefault="000F1150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DA2F6A" wp14:editId="1159B952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75565" cy="173990"/>
              <wp:effectExtent l="8890" t="635" r="1270" b="635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AEF" w:rsidRDefault="00E90AEF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AF380E">
                            <w:rPr>
                              <w:rStyle w:val="a3"/>
                              <w:noProof/>
                            </w:rPr>
                            <w:t>9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40.7pt;margin-top:.05pt;width:5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" stroked="f">
              <v:fill opacity="0"/>
              <v:textbox inset="0,0,0,0">
                <w:txbxContent>
                  <w:p w:rsidR="00E90AEF" w:rsidRDefault="00E90AEF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AF380E">
                      <w:rPr>
                        <w:rStyle w:val="a3"/>
                        <w:noProof/>
                      </w:rPr>
                      <w:t>9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9D8B9C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>
    <w:nsid w:val="173D29B5"/>
    <w:multiLevelType w:val="hybridMultilevel"/>
    <w:tmpl w:val="B1EA02E4"/>
    <w:lvl w:ilvl="0" w:tplc="358EDD6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60648"/>
    <w:multiLevelType w:val="hybridMultilevel"/>
    <w:tmpl w:val="B96E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FC"/>
    <w:rsid w:val="00066BA9"/>
    <w:rsid w:val="00086FCF"/>
    <w:rsid w:val="000915CD"/>
    <w:rsid w:val="00095BDC"/>
    <w:rsid w:val="000B6949"/>
    <w:rsid w:val="000C46E9"/>
    <w:rsid w:val="000D359C"/>
    <w:rsid w:val="000D5C1C"/>
    <w:rsid w:val="000F1150"/>
    <w:rsid w:val="00105DE9"/>
    <w:rsid w:val="001624F7"/>
    <w:rsid w:val="001834FC"/>
    <w:rsid w:val="001B1E1F"/>
    <w:rsid w:val="00223820"/>
    <w:rsid w:val="00253F8B"/>
    <w:rsid w:val="00264F29"/>
    <w:rsid w:val="00270739"/>
    <w:rsid w:val="003150EC"/>
    <w:rsid w:val="00325165"/>
    <w:rsid w:val="0033651C"/>
    <w:rsid w:val="00373D56"/>
    <w:rsid w:val="00374AC6"/>
    <w:rsid w:val="003A4166"/>
    <w:rsid w:val="003B0B01"/>
    <w:rsid w:val="003B6C66"/>
    <w:rsid w:val="003B7129"/>
    <w:rsid w:val="004839D1"/>
    <w:rsid w:val="00487A95"/>
    <w:rsid w:val="004D78C8"/>
    <w:rsid w:val="0050386A"/>
    <w:rsid w:val="00535C3E"/>
    <w:rsid w:val="0054472F"/>
    <w:rsid w:val="005A74E1"/>
    <w:rsid w:val="005D2B84"/>
    <w:rsid w:val="0064629D"/>
    <w:rsid w:val="00665536"/>
    <w:rsid w:val="006A7632"/>
    <w:rsid w:val="007113F0"/>
    <w:rsid w:val="00730EE1"/>
    <w:rsid w:val="00782129"/>
    <w:rsid w:val="007A256E"/>
    <w:rsid w:val="00807BCB"/>
    <w:rsid w:val="008D6214"/>
    <w:rsid w:val="00987A17"/>
    <w:rsid w:val="009B209A"/>
    <w:rsid w:val="009D4DF0"/>
    <w:rsid w:val="00A03B50"/>
    <w:rsid w:val="00A84737"/>
    <w:rsid w:val="00AF380E"/>
    <w:rsid w:val="00B11C23"/>
    <w:rsid w:val="00B30F65"/>
    <w:rsid w:val="00BA2BC3"/>
    <w:rsid w:val="00BE6A5B"/>
    <w:rsid w:val="00C1377C"/>
    <w:rsid w:val="00C1510A"/>
    <w:rsid w:val="00C1573D"/>
    <w:rsid w:val="00C55032"/>
    <w:rsid w:val="00C55348"/>
    <w:rsid w:val="00C62C7F"/>
    <w:rsid w:val="00C86E8A"/>
    <w:rsid w:val="00CA21EE"/>
    <w:rsid w:val="00CD6341"/>
    <w:rsid w:val="00DA4812"/>
    <w:rsid w:val="00DD618A"/>
    <w:rsid w:val="00E80E50"/>
    <w:rsid w:val="00E83EF5"/>
    <w:rsid w:val="00E90AEF"/>
    <w:rsid w:val="00EE0F60"/>
    <w:rsid w:val="00F06F9F"/>
    <w:rsid w:val="00FC5CD8"/>
    <w:rsid w:val="00FE1544"/>
    <w:rsid w:val="00FE4402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F1150"/>
  </w:style>
  <w:style w:type="paragraph" w:customStyle="1" w:styleId="a4">
    <w:name w:val="Гост"/>
    <w:basedOn w:val="a"/>
    <w:rsid w:val="000F1150"/>
    <w:pPr>
      <w:widowControl w:val="0"/>
      <w:spacing w:line="474" w:lineRule="atLeast"/>
      <w:ind w:firstLine="680"/>
      <w:jc w:val="both"/>
    </w:pPr>
    <w:rPr>
      <w:spacing w:val="6"/>
      <w:kern w:val="1"/>
      <w:sz w:val="28"/>
      <w:szCs w:val="20"/>
    </w:rPr>
  </w:style>
  <w:style w:type="paragraph" w:styleId="a5">
    <w:name w:val="Normal (Web)"/>
    <w:basedOn w:val="a"/>
    <w:rsid w:val="000F1150"/>
    <w:pPr>
      <w:spacing w:before="280" w:after="280"/>
    </w:pPr>
  </w:style>
  <w:style w:type="paragraph" w:styleId="a6">
    <w:name w:val="header"/>
    <w:basedOn w:val="a"/>
    <w:link w:val="a7"/>
    <w:semiHidden/>
    <w:rsid w:val="000F1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F11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64629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2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F1150"/>
  </w:style>
  <w:style w:type="paragraph" w:customStyle="1" w:styleId="a4">
    <w:name w:val="Гост"/>
    <w:basedOn w:val="a"/>
    <w:rsid w:val="000F1150"/>
    <w:pPr>
      <w:widowControl w:val="0"/>
      <w:spacing w:line="474" w:lineRule="atLeast"/>
      <w:ind w:firstLine="680"/>
      <w:jc w:val="both"/>
    </w:pPr>
    <w:rPr>
      <w:spacing w:val="6"/>
      <w:kern w:val="1"/>
      <w:sz w:val="28"/>
      <w:szCs w:val="20"/>
    </w:rPr>
  </w:style>
  <w:style w:type="paragraph" w:styleId="a5">
    <w:name w:val="Normal (Web)"/>
    <w:basedOn w:val="a"/>
    <w:rsid w:val="000F1150"/>
    <w:pPr>
      <w:spacing w:before="280" w:after="280"/>
    </w:pPr>
  </w:style>
  <w:style w:type="paragraph" w:styleId="a6">
    <w:name w:val="header"/>
    <w:basedOn w:val="a"/>
    <w:link w:val="a7"/>
    <w:semiHidden/>
    <w:rsid w:val="000F11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0F115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unhideWhenUsed/>
    <w:rsid w:val="0064629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B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lpavlov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Павлова</dc:creator>
  <cp:lastModifiedBy>admin</cp:lastModifiedBy>
  <cp:revision>5</cp:revision>
  <dcterms:created xsi:type="dcterms:W3CDTF">2019-04-15T09:20:00Z</dcterms:created>
  <dcterms:modified xsi:type="dcterms:W3CDTF">2019-11-02T09:24:00Z</dcterms:modified>
</cp:coreProperties>
</file>