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F4" w:rsidRDefault="000721A8" w:rsidP="008432F4">
      <w:pPr>
        <w:autoSpaceDE w:val="0"/>
        <w:autoSpaceDN w:val="0"/>
        <w:adjustRightInd w:val="0"/>
        <w:spacing w:line="360" w:lineRule="auto"/>
        <w:ind w:left="57" w:right="57" w:firstLine="708"/>
        <w:jc w:val="both"/>
        <w:rPr>
          <w:sz w:val="28"/>
          <w:szCs w:val="28"/>
          <w:lang w:val="uk-UA" w:eastAsia="ru-RU"/>
        </w:rPr>
      </w:pPr>
      <w:r w:rsidRPr="00347273">
        <w:rPr>
          <w:sz w:val="28"/>
          <w:szCs w:val="28"/>
          <w:lang w:val="uk-UA" w:eastAsia="ru-RU"/>
        </w:rPr>
        <w:t>УДК</w:t>
      </w:r>
      <w:r w:rsidR="008432F4">
        <w:rPr>
          <w:sz w:val="28"/>
          <w:szCs w:val="28"/>
          <w:lang w:val="uk-UA" w:eastAsia="ru-RU"/>
        </w:rPr>
        <w:t xml:space="preserve"> 616.12 – 008.331.1 – 036 – 07 – 037</w:t>
      </w:r>
    </w:p>
    <w:p w:rsidR="000721A8" w:rsidRPr="000721A8" w:rsidRDefault="000721A8" w:rsidP="008432F4">
      <w:pPr>
        <w:autoSpaceDE w:val="0"/>
        <w:autoSpaceDN w:val="0"/>
        <w:adjustRightInd w:val="0"/>
        <w:spacing w:line="360" w:lineRule="auto"/>
        <w:ind w:left="57" w:right="57" w:firstLine="708"/>
        <w:jc w:val="both"/>
        <w:rPr>
          <w:b/>
          <w:sz w:val="28"/>
          <w:szCs w:val="28"/>
          <w:lang w:val="uk-UA" w:eastAsia="ru-RU"/>
        </w:rPr>
      </w:pPr>
      <w:r w:rsidRPr="000721A8">
        <w:rPr>
          <w:b/>
          <w:sz w:val="28"/>
          <w:szCs w:val="28"/>
          <w:lang w:val="uk-UA" w:eastAsia="ru-RU"/>
        </w:rPr>
        <w:t>БЕЗСИМПТОМН</w:t>
      </w:r>
      <w:r w:rsidR="002F5A7C">
        <w:rPr>
          <w:b/>
          <w:sz w:val="28"/>
          <w:szCs w:val="28"/>
          <w:lang w:val="uk-UA" w:eastAsia="ru-RU"/>
        </w:rPr>
        <w:t xml:space="preserve">Е </w:t>
      </w:r>
      <w:r w:rsidRPr="000721A8">
        <w:rPr>
          <w:b/>
          <w:sz w:val="28"/>
          <w:szCs w:val="28"/>
          <w:lang w:val="uk-UA" w:eastAsia="ru-RU"/>
        </w:rPr>
        <w:t xml:space="preserve">УРАЖЕННЯ ОРГАНІВ МІШЕНЕЙ ЯК </w:t>
      </w:r>
      <w:r w:rsidR="008E21BC">
        <w:rPr>
          <w:b/>
          <w:sz w:val="28"/>
          <w:szCs w:val="28"/>
          <w:lang w:val="uk-UA" w:eastAsia="ru-RU"/>
        </w:rPr>
        <w:t>ДОДАТКОВ</w:t>
      </w:r>
      <w:r w:rsidR="008432F4">
        <w:rPr>
          <w:b/>
          <w:sz w:val="28"/>
          <w:szCs w:val="28"/>
          <w:lang w:val="uk-UA" w:eastAsia="ru-RU"/>
        </w:rPr>
        <w:t>ИЙ ДЕТЕРМІНАНТ</w:t>
      </w:r>
      <w:r w:rsidRPr="000721A8">
        <w:rPr>
          <w:b/>
          <w:sz w:val="28"/>
          <w:szCs w:val="28"/>
          <w:lang w:val="uk-UA" w:eastAsia="ru-RU"/>
        </w:rPr>
        <w:t xml:space="preserve"> ЗАГАЛЬНОГО СЕРЦЕВО-СУДИННОГО РИЗИКУ ПРИ АРТЕРІАЛЬНІЙ ГІПЕРТЕНЗІЇ</w:t>
      </w:r>
    </w:p>
    <w:p w:rsidR="000721A8" w:rsidRPr="000721A8" w:rsidRDefault="000721A8" w:rsidP="000721A8">
      <w:pPr>
        <w:autoSpaceDE w:val="0"/>
        <w:autoSpaceDN w:val="0"/>
        <w:adjustRightInd w:val="0"/>
        <w:spacing w:line="360" w:lineRule="auto"/>
        <w:ind w:left="57" w:right="57" w:firstLine="708"/>
        <w:jc w:val="both"/>
        <w:rPr>
          <w:sz w:val="28"/>
          <w:szCs w:val="28"/>
          <w:lang w:val="uk-UA" w:eastAsia="ru-RU"/>
        </w:rPr>
      </w:pPr>
      <w:proofErr w:type="spellStart"/>
      <w:r w:rsidRPr="000721A8">
        <w:rPr>
          <w:sz w:val="28"/>
          <w:szCs w:val="28"/>
          <w:lang w:val="uk-UA" w:eastAsia="ru-RU"/>
        </w:rPr>
        <w:t>Ащеулова</w:t>
      </w:r>
      <w:proofErr w:type="spellEnd"/>
      <w:r w:rsidRPr="000721A8">
        <w:rPr>
          <w:sz w:val="28"/>
          <w:szCs w:val="28"/>
          <w:lang w:val="uk-UA" w:eastAsia="ru-RU"/>
        </w:rPr>
        <w:t xml:space="preserve"> Т.В., </w:t>
      </w:r>
      <w:proofErr w:type="spellStart"/>
      <w:r w:rsidRPr="000721A8">
        <w:rPr>
          <w:sz w:val="28"/>
          <w:szCs w:val="28"/>
          <w:lang w:val="uk-UA" w:eastAsia="ru-RU"/>
        </w:rPr>
        <w:t>Амбросова</w:t>
      </w:r>
      <w:proofErr w:type="spellEnd"/>
      <w:r w:rsidRPr="000721A8">
        <w:rPr>
          <w:sz w:val="28"/>
          <w:szCs w:val="28"/>
          <w:lang w:val="uk-UA" w:eastAsia="ru-RU"/>
        </w:rPr>
        <w:t xml:space="preserve"> Т.М.</w:t>
      </w:r>
    </w:p>
    <w:p w:rsidR="000721A8" w:rsidRDefault="000721A8" w:rsidP="000721A8">
      <w:pPr>
        <w:autoSpaceDE w:val="0"/>
        <w:autoSpaceDN w:val="0"/>
        <w:adjustRightInd w:val="0"/>
        <w:spacing w:line="360" w:lineRule="auto"/>
        <w:ind w:left="57" w:right="57" w:firstLine="708"/>
        <w:jc w:val="both"/>
        <w:rPr>
          <w:i/>
          <w:sz w:val="28"/>
          <w:szCs w:val="28"/>
          <w:lang w:val="uk-UA" w:eastAsia="ru-RU"/>
        </w:rPr>
      </w:pPr>
      <w:r w:rsidRPr="00347273">
        <w:rPr>
          <w:i/>
          <w:sz w:val="28"/>
          <w:szCs w:val="28"/>
          <w:lang w:val="uk-UA" w:eastAsia="ru-RU"/>
        </w:rPr>
        <w:t>Харківський національний медичний університет</w:t>
      </w:r>
    </w:p>
    <w:p w:rsidR="00347273" w:rsidRDefault="00641D68" w:rsidP="000721A8">
      <w:pPr>
        <w:autoSpaceDE w:val="0"/>
        <w:autoSpaceDN w:val="0"/>
        <w:adjustRightInd w:val="0"/>
        <w:spacing w:line="360" w:lineRule="auto"/>
        <w:ind w:left="57" w:right="57" w:firstLine="708"/>
        <w:jc w:val="both"/>
        <w:rPr>
          <w:i/>
          <w:sz w:val="28"/>
          <w:szCs w:val="28"/>
          <w:lang w:val="uk-UA" w:eastAsia="ru-RU"/>
        </w:rPr>
      </w:pPr>
      <w:r>
        <w:rPr>
          <w:i/>
          <w:sz w:val="28"/>
          <w:szCs w:val="28"/>
          <w:lang w:val="uk-UA" w:eastAsia="ru-RU"/>
        </w:rPr>
        <w:t>У статті представлено аналітичний огляд прогностичної значимості діагностики безсимптомного ураження органів мішеней при артеріальні гіпертензії в контексті більш детального визначення серцево-судинного ризику. Представлено основні інструментальні та функціональні проби для діагностики суб</w:t>
      </w:r>
      <w:r w:rsidR="005551FE">
        <w:rPr>
          <w:i/>
          <w:sz w:val="28"/>
          <w:szCs w:val="28"/>
          <w:lang w:val="uk-UA" w:eastAsia="ru-RU"/>
        </w:rPr>
        <w:t>клінічних стадій ураження органі</w:t>
      </w:r>
      <w:r>
        <w:rPr>
          <w:i/>
          <w:sz w:val="28"/>
          <w:szCs w:val="28"/>
          <w:lang w:val="uk-UA" w:eastAsia="ru-RU"/>
        </w:rPr>
        <w:t xml:space="preserve">в-мішеней при артеріальній гіпертензії та визначена їх прогностична значимість для основних </w:t>
      </w:r>
      <w:proofErr w:type="spellStart"/>
      <w:r>
        <w:rPr>
          <w:i/>
          <w:sz w:val="28"/>
          <w:szCs w:val="28"/>
          <w:lang w:val="uk-UA" w:eastAsia="ru-RU"/>
        </w:rPr>
        <w:t>кардіоваскулярних</w:t>
      </w:r>
      <w:proofErr w:type="spellEnd"/>
      <w:r>
        <w:rPr>
          <w:i/>
          <w:sz w:val="28"/>
          <w:szCs w:val="28"/>
          <w:lang w:val="uk-UA" w:eastAsia="ru-RU"/>
        </w:rPr>
        <w:t xml:space="preserve"> подій.</w:t>
      </w:r>
    </w:p>
    <w:p w:rsidR="00641D68" w:rsidRPr="005551FE" w:rsidRDefault="00641D68" w:rsidP="000721A8">
      <w:pPr>
        <w:autoSpaceDE w:val="0"/>
        <w:autoSpaceDN w:val="0"/>
        <w:adjustRightInd w:val="0"/>
        <w:spacing w:line="360" w:lineRule="auto"/>
        <w:ind w:left="57" w:right="57" w:firstLine="708"/>
        <w:jc w:val="both"/>
        <w:rPr>
          <w:i/>
          <w:sz w:val="28"/>
          <w:szCs w:val="28"/>
          <w:lang w:val="uk-UA" w:eastAsia="ru-RU"/>
        </w:rPr>
      </w:pPr>
      <w:r>
        <w:rPr>
          <w:i/>
          <w:sz w:val="28"/>
          <w:szCs w:val="28"/>
          <w:lang w:val="uk-UA" w:eastAsia="ru-RU"/>
        </w:rPr>
        <w:t>Ключові слова: артеріальна гіпертензія, безсимптомне ураження органів-міш</w:t>
      </w:r>
      <w:r w:rsidR="008432F4">
        <w:rPr>
          <w:i/>
          <w:sz w:val="28"/>
          <w:szCs w:val="28"/>
          <w:lang w:val="uk-UA" w:eastAsia="ru-RU"/>
        </w:rPr>
        <w:t>еней, прогноз</w:t>
      </w:r>
      <w:r>
        <w:rPr>
          <w:i/>
          <w:sz w:val="28"/>
          <w:szCs w:val="28"/>
          <w:lang w:val="uk-UA" w:eastAsia="ru-RU"/>
        </w:rPr>
        <w:t>,</w:t>
      </w:r>
      <w:r w:rsidR="005551FE" w:rsidRPr="005551FE">
        <w:rPr>
          <w:i/>
          <w:sz w:val="28"/>
          <w:szCs w:val="28"/>
          <w:lang w:val="uk-UA" w:eastAsia="ru-RU"/>
        </w:rPr>
        <w:t xml:space="preserve"> </w:t>
      </w:r>
      <w:r w:rsidR="005551FE">
        <w:rPr>
          <w:i/>
          <w:sz w:val="28"/>
          <w:szCs w:val="28"/>
          <w:lang w:val="uk-UA" w:eastAsia="ru-RU"/>
        </w:rPr>
        <w:t xml:space="preserve">діагностичні </w:t>
      </w:r>
      <w:r w:rsidR="005551FE" w:rsidRPr="005551FE">
        <w:rPr>
          <w:i/>
          <w:sz w:val="28"/>
          <w:szCs w:val="28"/>
          <w:lang w:val="uk-UA" w:eastAsia="ru-RU"/>
        </w:rPr>
        <w:t>п</w:t>
      </w:r>
      <w:r w:rsidR="005551FE">
        <w:rPr>
          <w:i/>
          <w:sz w:val="28"/>
          <w:szCs w:val="28"/>
          <w:lang w:val="uk-UA" w:eastAsia="ru-RU"/>
        </w:rPr>
        <w:t>ідходи</w:t>
      </w:r>
      <w:r w:rsidR="008432F4">
        <w:rPr>
          <w:i/>
          <w:sz w:val="28"/>
          <w:szCs w:val="28"/>
          <w:lang w:val="uk-UA" w:eastAsia="ru-RU"/>
        </w:rPr>
        <w:t>, загальний серцево-судинний ризик</w:t>
      </w:r>
    </w:p>
    <w:p w:rsidR="002F5A7C" w:rsidRPr="008432F4" w:rsidRDefault="002F5A7C" w:rsidP="002F5A7C">
      <w:pPr>
        <w:autoSpaceDE w:val="0"/>
        <w:autoSpaceDN w:val="0"/>
        <w:adjustRightInd w:val="0"/>
        <w:spacing w:line="360" w:lineRule="auto"/>
        <w:ind w:left="57" w:right="57" w:firstLine="708"/>
        <w:jc w:val="both"/>
        <w:rPr>
          <w:i/>
          <w:sz w:val="28"/>
          <w:szCs w:val="28"/>
          <w:lang w:val="uk-UA" w:eastAsia="ru-RU"/>
        </w:rPr>
      </w:pPr>
    </w:p>
    <w:p w:rsidR="00C15BB4" w:rsidRPr="00776E48" w:rsidRDefault="001A691B" w:rsidP="0094356E">
      <w:pPr>
        <w:autoSpaceDE w:val="0"/>
        <w:autoSpaceDN w:val="0"/>
        <w:adjustRightInd w:val="0"/>
        <w:spacing w:line="360" w:lineRule="auto"/>
        <w:ind w:left="57" w:right="57"/>
        <w:jc w:val="both"/>
        <w:rPr>
          <w:sz w:val="28"/>
          <w:szCs w:val="28"/>
          <w:lang w:val="uk-UA" w:eastAsia="ru-RU"/>
        </w:rPr>
      </w:pPr>
      <w:r w:rsidRPr="001A691B">
        <w:rPr>
          <w:sz w:val="28"/>
          <w:szCs w:val="28"/>
          <w:lang w:val="uk-UA"/>
        </w:rPr>
        <w:t>Артеріальна гіпертензія (АГ), незважаючи на певний успіх у вивченні  патогенезу, клініки та лікування, залишається одним із розповсюджених та  прогностично не</w:t>
      </w:r>
      <w:r>
        <w:rPr>
          <w:sz w:val="28"/>
          <w:szCs w:val="28"/>
          <w:lang w:val="uk-UA"/>
        </w:rPr>
        <w:t>сприятливим</w:t>
      </w:r>
      <w:r w:rsidRPr="001A691B">
        <w:rPr>
          <w:sz w:val="28"/>
          <w:szCs w:val="28"/>
          <w:lang w:val="uk-UA"/>
        </w:rPr>
        <w:t xml:space="preserve"> серцево-судинним захворюванням в Україні та  світі.</w:t>
      </w:r>
      <w:r>
        <w:rPr>
          <w:sz w:val="28"/>
          <w:szCs w:val="28"/>
          <w:lang w:val="uk-UA"/>
        </w:rPr>
        <w:t xml:space="preserve"> В основу діагностичних підходів та обрання тактики терапевтичних стратегій при АГ покладена концепція визначення </w:t>
      </w:r>
      <w:r w:rsidR="000B65AE">
        <w:rPr>
          <w:sz w:val="28"/>
          <w:szCs w:val="28"/>
          <w:lang w:val="uk-UA"/>
        </w:rPr>
        <w:t xml:space="preserve">загального </w:t>
      </w:r>
      <w:r>
        <w:rPr>
          <w:sz w:val="28"/>
          <w:szCs w:val="28"/>
          <w:lang w:val="uk-UA"/>
        </w:rPr>
        <w:t>серцево-судинного ризику</w:t>
      </w:r>
      <w:r w:rsidR="000B65AE">
        <w:rPr>
          <w:sz w:val="28"/>
          <w:szCs w:val="28"/>
          <w:lang w:val="uk-UA"/>
        </w:rPr>
        <w:t xml:space="preserve"> (ЗССР)</w:t>
      </w:r>
      <w:r>
        <w:rPr>
          <w:sz w:val="28"/>
          <w:szCs w:val="28"/>
          <w:lang w:val="uk-UA"/>
        </w:rPr>
        <w:t xml:space="preserve">. </w:t>
      </w:r>
      <w:r w:rsidR="000721A8" w:rsidRPr="000721A8">
        <w:rPr>
          <w:sz w:val="28"/>
          <w:szCs w:val="28"/>
          <w:lang w:val="uk-UA" w:eastAsia="ru-RU"/>
        </w:rPr>
        <w:t xml:space="preserve">Концепція </w:t>
      </w:r>
      <w:r>
        <w:rPr>
          <w:sz w:val="28"/>
          <w:szCs w:val="28"/>
          <w:lang w:val="uk-UA" w:eastAsia="ru-RU"/>
        </w:rPr>
        <w:t>АГ</w:t>
      </w:r>
      <w:r w:rsidR="000721A8" w:rsidRPr="000721A8">
        <w:rPr>
          <w:sz w:val="28"/>
          <w:szCs w:val="28"/>
          <w:lang w:val="uk-UA" w:eastAsia="ru-RU"/>
        </w:rPr>
        <w:t xml:space="preserve"> і</w:t>
      </w:r>
      <w:r w:rsidR="000B65AE">
        <w:rPr>
          <w:sz w:val="28"/>
          <w:szCs w:val="28"/>
          <w:lang w:val="uk-UA" w:eastAsia="ru-RU"/>
        </w:rPr>
        <w:t xml:space="preserve"> ЗССР</w:t>
      </w:r>
      <w:r w:rsidR="000721A8" w:rsidRPr="000721A8">
        <w:rPr>
          <w:sz w:val="28"/>
          <w:szCs w:val="28"/>
          <w:lang w:val="uk-UA" w:eastAsia="ru-RU"/>
        </w:rPr>
        <w:t xml:space="preserve"> ризику основана на тому факті, що лише у </w:t>
      </w:r>
      <w:r w:rsidR="000721A8" w:rsidRPr="00776E48">
        <w:rPr>
          <w:sz w:val="28"/>
          <w:szCs w:val="28"/>
          <w:lang w:val="uk-UA" w:eastAsia="ru-RU"/>
        </w:rPr>
        <w:t>невеликої частини осіб з гіпертонією в наявності лише підвищений АТ, у більшості виявляються й інші серцево-судинні фактори ризи</w:t>
      </w:r>
      <w:r w:rsidR="00C15BB4" w:rsidRPr="00776E48">
        <w:rPr>
          <w:sz w:val="28"/>
          <w:szCs w:val="28"/>
          <w:lang w:val="uk-UA" w:eastAsia="ru-RU"/>
        </w:rPr>
        <w:t xml:space="preserve">ку. Тому </w:t>
      </w:r>
      <w:proofErr w:type="spellStart"/>
      <w:r w:rsidR="00C15BB4" w:rsidRPr="00776E48">
        <w:rPr>
          <w:sz w:val="28"/>
          <w:szCs w:val="28"/>
          <w:lang w:val="uk-UA" w:eastAsia="ru-RU"/>
        </w:rPr>
        <w:t>синтропія</w:t>
      </w:r>
      <w:proofErr w:type="spellEnd"/>
      <w:r w:rsidR="000721A8" w:rsidRPr="00776E48">
        <w:rPr>
          <w:sz w:val="28"/>
          <w:szCs w:val="28"/>
          <w:lang w:val="uk-UA" w:eastAsia="ru-RU"/>
        </w:rPr>
        <w:t xml:space="preserve"> підвищеного АТ та інших серцево-судинних факторів ризику мож</w:t>
      </w:r>
      <w:r w:rsidR="00DA048C">
        <w:rPr>
          <w:sz w:val="28"/>
          <w:szCs w:val="28"/>
          <w:lang w:val="uk-UA" w:eastAsia="ru-RU"/>
        </w:rPr>
        <w:t>е бути</w:t>
      </w:r>
      <w:r w:rsidR="00C15BB4" w:rsidRPr="00776E48">
        <w:rPr>
          <w:sz w:val="28"/>
          <w:szCs w:val="28"/>
          <w:lang w:val="uk-UA" w:eastAsia="ru-RU"/>
        </w:rPr>
        <w:t xml:space="preserve"> несприятливим </w:t>
      </w:r>
      <w:proofErr w:type="spellStart"/>
      <w:r w:rsidR="000721A8" w:rsidRPr="00776E48">
        <w:rPr>
          <w:sz w:val="28"/>
          <w:szCs w:val="28"/>
          <w:lang w:val="uk-UA" w:eastAsia="ru-RU"/>
        </w:rPr>
        <w:t>взаємообтяжува</w:t>
      </w:r>
      <w:r w:rsidR="00C15BB4" w:rsidRPr="00776E48">
        <w:rPr>
          <w:sz w:val="28"/>
          <w:szCs w:val="28"/>
          <w:lang w:val="uk-UA" w:eastAsia="ru-RU"/>
        </w:rPr>
        <w:t>льним</w:t>
      </w:r>
      <w:proofErr w:type="spellEnd"/>
      <w:r w:rsidR="00C15BB4" w:rsidRPr="00776E48">
        <w:rPr>
          <w:sz w:val="28"/>
          <w:szCs w:val="28"/>
          <w:lang w:val="uk-UA" w:eastAsia="ru-RU"/>
        </w:rPr>
        <w:t xml:space="preserve"> тандемом</w:t>
      </w:r>
      <w:r w:rsidR="00DA048C">
        <w:rPr>
          <w:sz w:val="28"/>
          <w:szCs w:val="28"/>
          <w:lang w:val="uk-UA" w:eastAsia="ru-RU"/>
        </w:rPr>
        <w:t>, що</w:t>
      </w:r>
      <w:r w:rsidR="000721A8" w:rsidRPr="00776E48">
        <w:rPr>
          <w:sz w:val="28"/>
          <w:szCs w:val="28"/>
          <w:lang w:val="uk-UA" w:eastAsia="ru-RU"/>
        </w:rPr>
        <w:t xml:space="preserve"> в цілому</w:t>
      </w:r>
      <w:r w:rsidR="000B65AE" w:rsidRPr="00776E48">
        <w:rPr>
          <w:sz w:val="28"/>
          <w:szCs w:val="28"/>
          <w:lang w:val="uk-UA" w:eastAsia="ru-RU"/>
        </w:rPr>
        <w:t xml:space="preserve"> формує</w:t>
      </w:r>
      <w:r w:rsidR="000721A8" w:rsidRPr="00776E48">
        <w:rPr>
          <w:sz w:val="28"/>
          <w:szCs w:val="28"/>
          <w:lang w:val="uk-UA" w:eastAsia="ru-RU"/>
        </w:rPr>
        <w:t xml:space="preserve"> більший серцево-судинний ризик, ніж сума його компонентів окремо. </w:t>
      </w:r>
      <w:r w:rsidR="000B65AE" w:rsidRPr="00776E48">
        <w:rPr>
          <w:sz w:val="28"/>
          <w:szCs w:val="28"/>
          <w:lang w:val="uk-UA" w:eastAsia="ru-RU"/>
        </w:rPr>
        <w:t>Також</w:t>
      </w:r>
      <w:r w:rsidR="000721A8" w:rsidRPr="00776E48">
        <w:rPr>
          <w:sz w:val="28"/>
          <w:szCs w:val="28"/>
          <w:lang w:val="uk-UA" w:eastAsia="ru-RU"/>
        </w:rPr>
        <w:t xml:space="preserve">, у осіб з високим ризиком тактика </w:t>
      </w:r>
      <w:proofErr w:type="spellStart"/>
      <w:r w:rsidR="000721A8" w:rsidRPr="00776E48">
        <w:rPr>
          <w:sz w:val="28"/>
          <w:szCs w:val="28"/>
          <w:lang w:val="uk-UA" w:eastAsia="ru-RU"/>
        </w:rPr>
        <w:t>антигіпертензивної</w:t>
      </w:r>
      <w:proofErr w:type="spellEnd"/>
      <w:r w:rsidR="000721A8" w:rsidRPr="00776E48">
        <w:rPr>
          <w:sz w:val="28"/>
          <w:szCs w:val="28"/>
          <w:lang w:val="uk-UA" w:eastAsia="ru-RU"/>
        </w:rPr>
        <w:t xml:space="preserve"> терапії</w:t>
      </w:r>
      <w:r w:rsidR="00C15BB4" w:rsidRPr="00776E48">
        <w:rPr>
          <w:sz w:val="28"/>
          <w:szCs w:val="28"/>
          <w:lang w:val="uk-UA" w:eastAsia="ru-RU"/>
        </w:rPr>
        <w:t xml:space="preserve">, а саме, </w:t>
      </w:r>
      <w:r w:rsidR="000721A8" w:rsidRPr="00776E48">
        <w:rPr>
          <w:sz w:val="28"/>
          <w:szCs w:val="28"/>
          <w:lang w:val="uk-UA" w:eastAsia="ru-RU"/>
        </w:rPr>
        <w:t>початок</w:t>
      </w:r>
      <w:r w:rsidR="00C15BB4" w:rsidRPr="00776E48">
        <w:rPr>
          <w:sz w:val="28"/>
          <w:szCs w:val="28"/>
          <w:lang w:val="uk-UA" w:eastAsia="ru-RU"/>
        </w:rPr>
        <w:t xml:space="preserve">, </w:t>
      </w:r>
      <w:r w:rsidR="000721A8" w:rsidRPr="00776E48">
        <w:rPr>
          <w:sz w:val="28"/>
          <w:szCs w:val="28"/>
          <w:lang w:val="uk-UA" w:eastAsia="ru-RU"/>
        </w:rPr>
        <w:t>інтенсивність</w:t>
      </w:r>
      <w:r w:rsidR="00C15BB4" w:rsidRPr="00776E48">
        <w:rPr>
          <w:sz w:val="28"/>
          <w:szCs w:val="28"/>
          <w:lang w:val="uk-UA" w:eastAsia="ru-RU"/>
        </w:rPr>
        <w:t xml:space="preserve"> та</w:t>
      </w:r>
      <w:r w:rsidR="000721A8" w:rsidRPr="00776E48">
        <w:rPr>
          <w:sz w:val="28"/>
          <w:szCs w:val="28"/>
          <w:lang w:val="uk-UA" w:eastAsia="ru-RU"/>
        </w:rPr>
        <w:t xml:space="preserve"> застосування комбінації лікарських засобів, мож</w:t>
      </w:r>
      <w:r w:rsidR="00DA048C">
        <w:rPr>
          <w:sz w:val="28"/>
          <w:szCs w:val="28"/>
          <w:lang w:val="uk-UA" w:eastAsia="ru-RU"/>
        </w:rPr>
        <w:t>уть</w:t>
      </w:r>
      <w:r w:rsidR="000721A8" w:rsidRPr="00776E48">
        <w:rPr>
          <w:sz w:val="28"/>
          <w:szCs w:val="28"/>
          <w:lang w:val="uk-UA" w:eastAsia="ru-RU"/>
        </w:rPr>
        <w:t xml:space="preserve"> відрізнятися від такої ж у пацієнтів із групи низького ризику</w:t>
      </w:r>
      <w:r w:rsidR="00776E48" w:rsidRPr="00776E48">
        <w:rPr>
          <w:sz w:val="28"/>
          <w:szCs w:val="28"/>
          <w:lang w:val="uk-UA" w:eastAsia="ru-RU"/>
        </w:rPr>
        <w:t xml:space="preserve"> (</w:t>
      </w:r>
      <w:r w:rsidR="00776E48" w:rsidRPr="00776E48">
        <w:rPr>
          <w:rFonts w:eastAsiaTheme="minorHAnsi"/>
          <w:sz w:val="28"/>
          <w:szCs w:val="28"/>
          <w:lang w:val="en-US"/>
        </w:rPr>
        <w:t>Volpe</w:t>
      </w:r>
      <w:r w:rsidR="00776E48" w:rsidRPr="00776E48">
        <w:rPr>
          <w:rFonts w:eastAsiaTheme="minorHAnsi"/>
          <w:sz w:val="28"/>
          <w:szCs w:val="28"/>
          <w:lang w:val="uk-UA"/>
        </w:rPr>
        <w:t xml:space="preserve"> </w:t>
      </w:r>
      <w:r w:rsidR="00776E48" w:rsidRPr="00776E48">
        <w:rPr>
          <w:rFonts w:eastAsiaTheme="minorHAnsi"/>
          <w:sz w:val="28"/>
          <w:szCs w:val="28"/>
          <w:lang w:val="en-US"/>
        </w:rPr>
        <w:t>M</w:t>
      </w:r>
      <w:r w:rsidR="00776E48" w:rsidRPr="00776E48">
        <w:rPr>
          <w:rFonts w:eastAsiaTheme="minorHAnsi"/>
          <w:sz w:val="28"/>
          <w:szCs w:val="28"/>
          <w:lang w:val="uk-UA"/>
        </w:rPr>
        <w:t>., 2012)</w:t>
      </w:r>
      <w:r w:rsidR="000721A8" w:rsidRPr="00776E48">
        <w:rPr>
          <w:sz w:val="28"/>
          <w:szCs w:val="28"/>
          <w:lang w:val="uk-UA" w:eastAsia="ru-RU"/>
        </w:rPr>
        <w:t xml:space="preserve">. </w:t>
      </w:r>
    </w:p>
    <w:p w:rsidR="00DA048C" w:rsidRDefault="000B65AE" w:rsidP="0094356E">
      <w:pPr>
        <w:autoSpaceDE w:val="0"/>
        <w:autoSpaceDN w:val="0"/>
        <w:adjustRightInd w:val="0"/>
        <w:spacing w:line="360" w:lineRule="auto"/>
        <w:ind w:left="57" w:right="57"/>
        <w:jc w:val="both"/>
        <w:rPr>
          <w:sz w:val="28"/>
          <w:szCs w:val="28"/>
          <w:lang w:val="uk-UA" w:eastAsia="ru-RU"/>
        </w:rPr>
      </w:pPr>
      <w:r>
        <w:rPr>
          <w:sz w:val="28"/>
          <w:szCs w:val="28"/>
          <w:lang w:val="uk-UA" w:eastAsia="ru-RU"/>
        </w:rPr>
        <w:lastRenderedPageBreak/>
        <w:t xml:space="preserve">Клінічна практика свідчить </w:t>
      </w:r>
      <w:r w:rsidR="000721A8" w:rsidRPr="000721A8">
        <w:rPr>
          <w:sz w:val="28"/>
          <w:szCs w:val="28"/>
          <w:lang w:val="uk-UA" w:eastAsia="ru-RU"/>
        </w:rPr>
        <w:t xml:space="preserve">про те, що у пацієнтів із групи високим ризиком досягти контролю АТ важче, і вони частіше </w:t>
      </w:r>
      <w:r w:rsidR="00C15BB4">
        <w:rPr>
          <w:sz w:val="28"/>
          <w:szCs w:val="28"/>
          <w:lang w:val="uk-UA" w:eastAsia="ru-RU"/>
        </w:rPr>
        <w:t>потребують призначення</w:t>
      </w:r>
      <w:r w:rsidR="000721A8" w:rsidRPr="000721A8">
        <w:rPr>
          <w:sz w:val="28"/>
          <w:szCs w:val="28"/>
          <w:lang w:val="uk-UA" w:eastAsia="ru-RU"/>
        </w:rPr>
        <w:t xml:space="preserve"> </w:t>
      </w:r>
      <w:proofErr w:type="spellStart"/>
      <w:r w:rsidR="000721A8" w:rsidRPr="000721A8">
        <w:rPr>
          <w:sz w:val="28"/>
          <w:szCs w:val="28"/>
          <w:lang w:val="uk-UA" w:eastAsia="ru-RU"/>
        </w:rPr>
        <w:t>антигіпертензивної</w:t>
      </w:r>
      <w:proofErr w:type="spellEnd"/>
      <w:r w:rsidR="000721A8" w:rsidRPr="000721A8">
        <w:rPr>
          <w:sz w:val="28"/>
          <w:szCs w:val="28"/>
          <w:lang w:val="uk-UA" w:eastAsia="ru-RU"/>
        </w:rPr>
        <w:t xml:space="preserve"> медикаментозної терапії в поєднанні з іншими лікарськими засобами, наприклад, разом з активною </w:t>
      </w:r>
      <w:proofErr w:type="spellStart"/>
      <w:r w:rsidR="000721A8" w:rsidRPr="000721A8">
        <w:rPr>
          <w:sz w:val="28"/>
          <w:szCs w:val="28"/>
          <w:lang w:val="uk-UA" w:eastAsia="ru-RU"/>
        </w:rPr>
        <w:t>гіполіпідемічною</w:t>
      </w:r>
      <w:proofErr w:type="spellEnd"/>
      <w:r w:rsidR="00DA048C">
        <w:rPr>
          <w:sz w:val="28"/>
          <w:szCs w:val="28"/>
          <w:lang w:val="uk-UA" w:eastAsia="ru-RU"/>
        </w:rPr>
        <w:t xml:space="preserve">, </w:t>
      </w:r>
      <w:proofErr w:type="spellStart"/>
      <w:r w:rsidR="00DA048C">
        <w:rPr>
          <w:sz w:val="28"/>
          <w:szCs w:val="28"/>
          <w:lang w:val="uk-UA" w:eastAsia="ru-RU"/>
        </w:rPr>
        <w:t>дезагрега</w:t>
      </w:r>
      <w:r w:rsidR="00C15BB4">
        <w:rPr>
          <w:sz w:val="28"/>
          <w:szCs w:val="28"/>
          <w:lang w:val="uk-UA" w:eastAsia="ru-RU"/>
        </w:rPr>
        <w:t>н</w:t>
      </w:r>
      <w:r w:rsidR="00DA048C">
        <w:rPr>
          <w:sz w:val="28"/>
          <w:szCs w:val="28"/>
          <w:lang w:val="uk-UA" w:eastAsia="ru-RU"/>
        </w:rPr>
        <w:t>тн</w:t>
      </w:r>
      <w:r w:rsidR="00C15BB4">
        <w:rPr>
          <w:sz w:val="28"/>
          <w:szCs w:val="28"/>
          <w:lang w:val="uk-UA" w:eastAsia="ru-RU"/>
        </w:rPr>
        <w:t>ою</w:t>
      </w:r>
      <w:proofErr w:type="spellEnd"/>
      <w:r w:rsidR="000721A8" w:rsidRPr="000721A8">
        <w:rPr>
          <w:sz w:val="28"/>
          <w:szCs w:val="28"/>
          <w:lang w:val="uk-UA" w:eastAsia="ru-RU"/>
        </w:rPr>
        <w:t xml:space="preserve"> терапією</w:t>
      </w:r>
      <w:r w:rsidR="00DA048C">
        <w:rPr>
          <w:sz w:val="28"/>
          <w:szCs w:val="28"/>
          <w:lang w:val="uk-UA" w:eastAsia="ru-RU"/>
        </w:rPr>
        <w:t>,</w:t>
      </w:r>
      <w:r w:rsidR="00C15BB4">
        <w:rPr>
          <w:sz w:val="28"/>
          <w:szCs w:val="28"/>
          <w:lang w:val="uk-UA" w:eastAsia="ru-RU"/>
        </w:rPr>
        <w:t xml:space="preserve"> тощо</w:t>
      </w:r>
      <w:r w:rsidR="000721A8" w:rsidRPr="000721A8">
        <w:rPr>
          <w:sz w:val="28"/>
          <w:szCs w:val="28"/>
          <w:lang w:val="uk-UA" w:eastAsia="ru-RU"/>
        </w:rPr>
        <w:t>. За допомогою стратифікаційного підходу і оцінки загального серцево-судинного ризику у хворих з АГ для отримання максимальної економічної ефективності лікування АГ треба враховувати не тільки рівні АТ, але і загальний серцево-судинний ризик.</w:t>
      </w:r>
      <w:r>
        <w:rPr>
          <w:sz w:val="28"/>
          <w:szCs w:val="28"/>
          <w:lang w:val="uk-UA" w:eastAsia="ru-RU"/>
        </w:rPr>
        <w:t xml:space="preserve"> </w:t>
      </w:r>
    </w:p>
    <w:p w:rsidR="00585DD2" w:rsidRDefault="000B65AE" w:rsidP="0094356E">
      <w:pPr>
        <w:autoSpaceDE w:val="0"/>
        <w:autoSpaceDN w:val="0"/>
        <w:adjustRightInd w:val="0"/>
        <w:spacing w:line="360" w:lineRule="auto"/>
        <w:ind w:left="57" w:right="57"/>
        <w:jc w:val="both"/>
        <w:rPr>
          <w:sz w:val="28"/>
          <w:szCs w:val="28"/>
          <w:lang w:val="uk-UA" w:eastAsia="ru-RU"/>
        </w:rPr>
      </w:pPr>
      <w:r>
        <w:rPr>
          <w:sz w:val="28"/>
          <w:szCs w:val="28"/>
          <w:lang w:val="uk-UA" w:eastAsia="ru-RU"/>
        </w:rPr>
        <w:t xml:space="preserve">Традиційні основні фактори ризику </w:t>
      </w:r>
      <w:proofErr w:type="spellStart"/>
      <w:r w:rsidR="00585DD2">
        <w:rPr>
          <w:sz w:val="28"/>
          <w:szCs w:val="28"/>
          <w:lang w:val="uk-UA" w:eastAsia="ru-RU"/>
        </w:rPr>
        <w:t>сумуються</w:t>
      </w:r>
      <w:proofErr w:type="spellEnd"/>
      <w:r>
        <w:rPr>
          <w:sz w:val="28"/>
          <w:szCs w:val="28"/>
          <w:lang w:val="uk-UA" w:eastAsia="ru-RU"/>
        </w:rPr>
        <w:t xml:space="preserve"> та формують градації ЗССР при АГ</w:t>
      </w:r>
      <w:r w:rsidR="00585DD2">
        <w:rPr>
          <w:sz w:val="28"/>
          <w:szCs w:val="28"/>
          <w:lang w:val="uk-UA" w:eastAsia="ru-RU"/>
        </w:rPr>
        <w:t xml:space="preserve"> (низький, помірний, високий, дуже високий)</w:t>
      </w:r>
      <w:r>
        <w:rPr>
          <w:sz w:val="28"/>
          <w:szCs w:val="28"/>
          <w:lang w:val="uk-UA" w:eastAsia="ru-RU"/>
        </w:rPr>
        <w:t>.</w:t>
      </w:r>
      <w:r w:rsidR="00585DD2">
        <w:rPr>
          <w:sz w:val="28"/>
          <w:szCs w:val="28"/>
          <w:lang w:val="uk-UA" w:eastAsia="ru-RU"/>
        </w:rPr>
        <w:t xml:space="preserve"> До традиційних факторів ризику при АГ відносять наступні: </w:t>
      </w:r>
      <w:r w:rsidR="00585DD2" w:rsidRPr="00585DD2">
        <w:rPr>
          <w:sz w:val="28"/>
          <w:szCs w:val="28"/>
          <w:lang w:val="uk-UA" w:eastAsia="ru-RU"/>
        </w:rPr>
        <w:t>чоловіча стать</w:t>
      </w:r>
      <w:r w:rsidR="00585DD2">
        <w:rPr>
          <w:sz w:val="28"/>
          <w:szCs w:val="28"/>
          <w:lang w:val="uk-UA" w:eastAsia="ru-RU"/>
        </w:rPr>
        <w:t xml:space="preserve">, </w:t>
      </w:r>
      <w:r w:rsidR="00585DD2" w:rsidRPr="00585DD2">
        <w:rPr>
          <w:sz w:val="28"/>
          <w:szCs w:val="28"/>
          <w:lang w:val="uk-UA" w:eastAsia="ru-RU"/>
        </w:rPr>
        <w:t xml:space="preserve"> вік (≥55 років у чоловіків, ≥65 років у жінок)</w:t>
      </w:r>
      <w:r w:rsidR="00585DD2">
        <w:rPr>
          <w:sz w:val="28"/>
          <w:szCs w:val="28"/>
          <w:lang w:val="uk-UA" w:eastAsia="ru-RU"/>
        </w:rPr>
        <w:t xml:space="preserve">, </w:t>
      </w:r>
      <w:r w:rsidR="00585DD2" w:rsidRPr="00585DD2">
        <w:rPr>
          <w:sz w:val="28"/>
          <w:szCs w:val="28"/>
          <w:lang w:val="uk-UA" w:eastAsia="ru-RU"/>
        </w:rPr>
        <w:t>паління</w:t>
      </w:r>
      <w:r w:rsidR="00585DD2">
        <w:rPr>
          <w:sz w:val="28"/>
          <w:szCs w:val="28"/>
          <w:lang w:val="uk-UA" w:eastAsia="ru-RU"/>
        </w:rPr>
        <w:t xml:space="preserve">, </w:t>
      </w:r>
      <w:r w:rsidR="00585DD2" w:rsidRPr="00585DD2">
        <w:rPr>
          <w:sz w:val="28"/>
          <w:szCs w:val="28"/>
          <w:lang w:val="uk-UA" w:eastAsia="ru-RU"/>
        </w:rPr>
        <w:t xml:space="preserve"> загальний холестерин &gt;4.9 ммоль/л (190 мг/</w:t>
      </w:r>
      <w:proofErr w:type="spellStart"/>
      <w:r w:rsidR="00585DD2" w:rsidRPr="00585DD2">
        <w:rPr>
          <w:sz w:val="28"/>
          <w:szCs w:val="28"/>
          <w:lang w:val="uk-UA" w:eastAsia="ru-RU"/>
        </w:rPr>
        <w:t>дл</w:t>
      </w:r>
      <w:proofErr w:type="spellEnd"/>
      <w:r w:rsidR="00585DD2" w:rsidRPr="00585DD2">
        <w:rPr>
          <w:sz w:val="28"/>
          <w:szCs w:val="28"/>
          <w:lang w:val="uk-UA" w:eastAsia="ru-RU"/>
        </w:rPr>
        <w:t xml:space="preserve">) і/або холестерин </w:t>
      </w:r>
      <w:proofErr w:type="spellStart"/>
      <w:r w:rsidR="00585DD2" w:rsidRPr="00585DD2">
        <w:rPr>
          <w:sz w:val="28"/>
          <w:szCs w:val="28"/>
          <w:lang w:val="uk-UA" w:eastAsia="ru-RU"/>
        </w:rPr>
        <w:t>ліпопротеїнів</w:t>
      </w:r>
      <w:proofErr w:type="spellEnd"/>
      <w:r w:rsidR="00585DD2" w:rsidRPr="00585DD2">
        <w:rPr>
          <w:sz w:val="28"/>
          <w:szCs w:val="28"/>
          <w:lang w:val="uk-UA" w:eastAsia="ru-RU"/>
        </w:rPr>
        <w:t xml:space="preserve"> низької щільності &gt;3.0 ммоль/л (115 мг/</w:t>
      </w:r>
      <w:proofErr w:type="spellStart"/>
      <w:r w:rsidR="00585DD2" w:rsidRPr="00585DD2">
        <w:rPr>
          <w:sz w:val="28"/>
          <w:szCs w:val="28"/>
          <w:lang w:val="uk-UA" w:eastAsia="ru-RU"/>
        </w:rPr>
        <w:t>дл</w:t>
      </w:r>
      <w:proofErr w:type="spellEnd"/>
      <w:r w:rsidR="00585DD2" w:rsidRPr="00585DD2">
        <w:rPr>
          <w:sz w:val="28"/>
          <w:szCs w:val="28"/>
          <w:lang w:val="uk-UA" w:eastAsia="ru-RU"/>
        </w:rPr>
        <w:t xml:space="preserve">) та/або холестерин </w:t>
      </w:r>
      <w:proofErr w:type="spellStart"/>
      <w:r w:rsidR="00585DD2" w:rsidRPr="00585DD2">
        <w:rPr>
          <w:sz w:val="28"/>
          <w:szCs w:val="28"/>
          <w:lang w:val="uk-UA" w:eastAsia="ru-RU"/>
        </w:rPr>
        <w:t>ліпопротеїнів</w:t>
      </w:r>
      <w:proofErr w:type="spellEnd"/>
      <w:r w:rsidR="00585DD2" w:rsidRPr="00585DD2">
        <w:rPr>
          <w:sz w:val="28"/>
          <w:szCs w:val="28"/>
          <w:lang w:val="uk-UA" w:eastAsia="ru-RU"/>
        </w:rPr>
        <w:t xml:space="preserve"> високої щільності: &lt;1.0 ммоль/л (40 мг/</w:t>
      </w:r>
      <w:proofErr w:type="spellStart"/>
      <w:r w:rsidR="00585DD2" w:rsidRPr="00585DD2">
        <w:rPr>
          <w:sz w:val="28"/>
          <w:szCs w:val="28"/>
          <w:lang w:val="uk-UA" w:eastAsia="ru-RU"/>
        </w:rPr>
        <w:t>дл</w:t>
      </w:r>
      <w:proofErr w:type="spellEnd"/>
      <w:r w:rsidR="00585DD2" w:rsidRPr="00585DD2">
        <w:rPr>
          <w:sz w:val="28"/>
          <w:szCs w:val="28"/>
          <w:lang w:val="uk-UA" w:eastAsia="ru-RU"/>
        </w:rPr>
        <w:t>), у чоловіків, &lt;1.2 ммоль/л (46 мг/</w:t>
      </w:r>
      <w:proofErr w:type="spellStart"/>
      <w:r w:rsidR="00585DD2" w:rsidRPr="00585DD2">
        <w:rPr>
          <w:sz w:val="28"/>
          <w:szCs w:val="28"/>
          <w:lang w:val="uk-UA" w:eastAsia="ru-RU"/>
        </w:rPr>
        <w:t>дл</w:t>
      </w:r>
      <w:proofErr w:type="spellEnd"/>
      <w:r w:rsidR="00585DD2" w:rsidRPr="00585DD2">
        <w:rPr>
          <w:sz w:val="28"/>
          <w:szCs w:val="28"/>
          <w:lang w:val="uk-UA" w:eastAsia="ru-RU"/>
        </w:rPr>
        <w:t>) у жінок та/або</w:t>
      </w:r>
      <w:r w:rsidR="00585DD2">
        <w:rPr>
          <w:sz w:val="28"/>
          <w:szCs w:val="28"/>
          <w:lang w:val="uk-UA" w:eastAsia="ru-RU"/>
        </w:rPr>
        <w:t xml:space="preserve"> </w:t>
      </w:r>
      <w:r w:rsidR="00585DD2" w:rsidRPr="00585DD2">
        <w:rPr>
          <w:sz w:val="28"/>
          <w:szCs w:val="28"/>
          <w:lang w:val="uk-UA" w:eastAsia="ru-RU"/>
        </w:rPr>
        <w:t xml:space="preserve"> </w:t>
      </w:r>
      <w:proofErr w:type="spellStart"/>
      <w:r w:rsidR="00585DD2" w:rsidRPr="00585DD2">
        <w:rPr>
          <w:sz w:val="28"/>
          <w:szCs w:val="28"/>
          <w:lang w:val="uk-UA" w:eastAsia="ru-RU"/>
        </w:rPr>
        <w:t>тригліцериди</w:t>
      </w:r>
      <w:proofErr w:type="spellEnd"/>
      <w:r w:rsidR="00585DD2" w:rsidRPr="00585DD2">
        <w:rPr>
          <w:sz w:val="28"/>
          <w:szCs w:val="28"/>
          <w:lang w:val="uk-UA" w:eastAsia="ru-RU"/>
        </w:rPr>
        <w:t xml:space="preserve"> &gt;1.7 ммоль/л (150 мг/</w:t>
      </w:r>
      <w:proofErr w:type="spellStart"/>
      <w:r w:rsidR="00585DD2" w:rsidRPr="00585DD2">
        <w:rPr>
          <w:sz w:val="28"/>
          <w:szCs w:val="28"/>
          <w:lang w:val="uk-UA" w:eastAsia="ru-RU"/>
        </w:rPr>
        <w:t>дл</w:t>
      </w:r>
      <w:proofErr w:type="spellEnd"/>
      <w:r w:rsidR="00585DD2" w:rsidRPr="00585DD2">
        <w:rPr>
          <w:sz w:val="28"/>
          <w:szCs w:val="28"/>
          <w:lang w:val="uk-UA" w:eastAsia="ru-RU"/>
        </w:rPr>
        <w:t>)</w:t>
      </w:r>
      <w:r w:rsidR="00585DD2">
        <w:rPr>
          <w:sz w:val="28"/>
          <w:szCs w:val="28"/>
          <w:lang w:val="uk-UA" w:eastAsia="ru-RU"/>
        </w:rPr>
        <w:t>,</w:t>
      </w:r>
      <w:r w:rsidR="00585DD2" w:rsidRPr="00585DD2">
        <w:rPr>
          <w:sz w:val="28"/>
          <w:szCs w:val="28"/>
          <w:lang w:val="uk-UA" w:eastAsia="ru-RU"/>
        </w:rPr>
        <w:t xml:space="preserve"> глюкоза плазми натще 5.6–6.9 ммоль/л (102–125 мг/</w:t>
      </w:r>
      <w:proofErr w:type="spellStart"/>
      <w:r w:rsidR="00585DD2" w:rsidRPr="00585DD2">
        <w:rPr>
          <w:sz w:val="28"/>
          <w:szCs w:val="28"/>
          <w:lang w:val="uk-UA" w:eastAsia="ru-RU"/>
        </w:rPr>
        <w:t>дл</w:t>
      </w:r>
      <w:proofErr w:type="spellEnd"/>
      <w:r w:rsidR="00585DD2" w:rsidRPr="00585DD2">
        <w:rPr>
          <w:sz w:val="28"/>
          <w:szCs w:val="28"/>
          <w:lang w:val="uk-UA" w:eastAsia="ru-RU"/>
        </w:rPr>
        <w:t>)</w:t>
      </w:r>
      <w:r w:rsidR="00585DD2">
        <w:rPr>
          <w:sz w:val="28"/>
          <w:szCs w:val="28"/>
          <w:lang w:val="uk-UA" w:eastAsia="ru-RU"/>
        </w:rPr>
        <w:t xml:space="preserve">, </w:t>
      </w:r>
      <w:r w:rsidR="00585DD2" w:rsidRPr="00585DD2">
        <w:rPr>
          <w:sz w:val="28"/>
          <w:szCs w:val="28"/>
          <w:lang w:val="uk-UA" w:eastAsia="ru-RU"/>
        </w:rPr>
        <w:t>порушення толерантності до глюкози</w:t>
      </w:r>
      <w:r w:rsidR="00585DD2">
        <w:rPr>
          <w:sz w:val="28"/>
          <w:szCs w:val="28"/>
          <w:lang w:val="uk-UA" w:eastAsia="ru-RU"/>
        </w:rPr>
        <w:t>,</w:t>
      </w:r>
      <w:r w:rsidR="00585DD2" w:rsidRPr="00585DD2">
        <w:rPr>
          <w:sz w:val="28"/>
          <w:szCs w:val="28"/>
          <w:lang w:val="uk-UA" w:eastAsia="ru-RU"/>
        </w:rPr>
        <w:t xml:space="preserve"> ожиріння </w:t>
      </w:r>
      <w:r w:rsidR="00DA048C">
        <w:rPr>
          <w:sz w:val="28"/>
          <w:szCs w:val="28"/>
          <w:lang w:val="uk-UA" w:eastAsia="ru-RU"/>
        </w:rPr>
        <w:t>(</w:t>
      </w:r>
      <w:r w:rsidR="00585DD2">
        <w:rPr>
          <w:sz w:val="28"/>
          <w:szCs w:val="28"/>
          <w:lang w:val="uk-UA" w:eastAsia="ru-RU"/>
        </w:rPr>
        <w:t>І</w:t>
      </w:r>
      <w:r w:rsidR="00585DD2" w:rsidRPr="00585DD2">
        <w:rPr>
          <w:sz w:val="28"/>
          <w:szCs w:val="28"/>
          <w:lang w:val="uk-UA" w:eastAsia="ru-RU"/>
        </w:rPr>
        <w:t>МТ ≥30 кг/м</w:t>
      </w:r>
      <w:r w:rsidR="00585DD2" w:rsidRPr="00585DD2">
        <w:rPr>
          <w:sz w:val="28"/>
          <w:szCs w:val="28"/>
          <w:vertAlign w:val="superscript"/>
          <w:lang w:val="uk-UA" w:eastAsia="ru-RU"/>
        </w:rPr>
        <w:t>2</w:t>
      </w:r>
      <w:r w:rsidR="00DA048C">
        <w:rPr>
          <w:sz w:val="28"/>
          <w:szCs w:val="28"/>
          <w:lang w:val="uk-UA" w:eastAsia="ru-RU"/>
        </w:rPr>
        <w:t>)</w:t>
      </w:r>
      <w:r w:rsidR="00585DD2">
        <w:rPr>
          <w:sz w:val="28"/>
          <w:szCs w:val="28"/>
          <w:lang w:val="uk-UA" w:eastAsia="ru-RU"/>
        </w:rPr>
        <w:t>,</w:t>
      </w:r>
      <w:r w:rsidR="00585DD2" w:rsidRPr="00585DD2">
        <w:rPr>
          <w:sz w:val="28"/>
          <w:szCs w:val="28"/>
          <w:lang w:val="uk-UA" w:eastAsia="ru-RU"/>
        </w:rPr>
        <w:t xml:space="preserve"> абдомінальне ожиріння (обвід талії: ≥102 см у чоловіків, ≥88 см у жінок) (для осіб європейської раси)</w:t>
      </w:r>
      <w:r w:rsidR="00585DD2">
        <w:rPr>
          <w:sz w:val="28"/>
          <w:szCs w:val="28"/>
          <w:lang w:val="uk-UA" w:eastAsia="ru-RU"/>
        </w:rPr>
        <w:t xml:space="preserve">, </w:t>
      </w:r>
      <w:r w:rsidR="00585DD2" w:rsidRPr="00585DD2">
        <w:rPr>
          <w:sz w:val="28"/>
          <w:szCs w:val="28"/>
          <w:lang w:val="uk-UA" w:eastAsia="ru-RU"/>
        </w:rPr>
        <w:t xml:space="preserve"> сімейний анамнез ранніх серцево-судинних захворювань (&lt;55 років у чоловіків, &lt;65 років у жінок)</w:t>
      </w:r>
      <w:r w:rsidR="00DB5891">
        <w:rPr>
          <w:sz w:val="28"/>
          <w:szCs w:val="28"/>
          <w:lang w:val="uk-UA" w:eastAsia="ru-RU"/>
        </w:rPr>
        <w:t xml:space="preserve"> </w:t>
      </w:r>
      <w:r w:rsidR="00DB5891">
        <w:rPr>
          <w:b/>
          <w:sz w:val="28"/>
          <w:szCs w:val="28"/>
          <w:lang w:val="uk-UA" w:eastAsia="ru-RU"/>
        </w:rPr>
        <w:t>(</w:t>
      </w:r>
      <w:r w:rsidR="00DB5891">
        <w:rPr>
          <w:sz w:val="28"/>
          <w:szCs w:val="28"/>
          <w:lang w:val="en-US"/>
        </w:rPr>
        <w:t>ESC</w:t>
      </w:r>
      <w:r w:rsidR="00DB5891">
        <w:rPr>
          <w:sz w:val="28"/>
          <w:szCs w:val="28"/>
          <w:lang w:val="uk-UA"/>
        </w:rPr>
        <w:t>/</w:t>
      </w:r>
      <w:r w:rsidR="00DB5891">
        <w:rPr>
          <w:sz w:val="28"/>
          <w:szCs w:val="28"/>
          <w:lang w:val="en-US"/>
        </w:rPr>
        <w:t>ESH</w:t>
      </w:r>
      <w:r w:rsidR="00DB5891">
        <w:rPr>
          <w:sz w:val="28"/>
          <w:szCs w:val="28"/>
          <w:lang w:val="uk-UA"/>
        </w:rPr>
        <w:t xml:space="preserve"> </w:t>
      </w:r>
      <w:r w:rsidR="00DB5891">
        <w:rPr>
          <w:sz w:val="28"/>
          <w:szCs w:val="28"/>
          <w:lang w:val="en-US"/>
        </w:rPr>
        <w:t>Guidelines</w:t>
      </w:r>
      <w:r w:rsidR="00DB5891">
        <w:rPr>
          <w:sz w:val="28"/>
          <w:szCs w:val="28"/>
          <w:lang w:val="uk-UA"/>
        </w:rPr>
        <w:t xml:space="preserve"> </w:t>
      </w:r>
      <w:r w:rsidR="00DB5891">
        <w:rPr>
          <w:sz w:val="28"/>
          <w:szCs w:val="28"/>
          <w:lang w:val="en-US"/>
        </w:rPr>
        <w:t>for</w:t>
      </w:r>
      <w:r w:rsidR="00DB5891">
        <w:rPr>
          <w:sz w:val="28"/>
          <w:szCs w:val="28"/>
          <w:lang w:val="uk-UA"/>
        </w:rPr>
        <w:t xml:space="preserve"> </w:t>
      </w:r>
      <w:r w:rsidR="00DB5891">
        <w:rPr>
          <w:sz w:val="28"/>
          <w:szCs w:val="28"/>
          <w:lang w:val="en-US"/>
        </w:rPr>
        <w:t>the</w:t>
      </w:r>
      <w:r w:rsidR="00DB5891">
        <w:rPr>
          <w:sz w:val="28"/>
          <w:szCs w:val="28"/>
          <w:lang w:val="uk-UA"/>
        </w:rPr>
        <w:t xml:space="preserve"> </w:t>
      </w:r>
      <w:r w:rsidR="00DB5891">
        <w:rPr>
          <w:sz w:val="28"/>
          <w:szCs w:val="28"/>
          <w:lang w:val="en-US"/>
        </w:rPr>
        <w:t>management</w:t>
      </w:r>
      <w:r w:rsidR="00DB5891">
        <w:rPr>
          <w:sz w:val="28"/>
          <w:szCs w:val="28"/>
          <w:lang w:val="uk-UA"/>
        </w:rPr>
        <w:t xml:space="preserve"> </w:t>
      </w:r>
      <w:r w:rsidR="00DB5891">
        <w:rPr>
          <w:sz w:val="28"/>
          <w:szCs w:val="28"/>
          <w:lang w:val="en-US"/>
        </w:rPr>
        <w:t>of</w:t>
      </w:r>
      <w:r w:rsidR="00DB5891">
        <w:rPr>
          <w:sz w:val="28"/>
          <w:szCs w:val="28"/>
          <w:lang w:val="uk-UA"/>
        </w:rPr>
        <w:t xml:space="preserve"> </w:t>
      </w:r>
      <w:r w:rsidR="00DB5891">
        <w:rPr>
          <w:sz w:val="28"/>
          <w:szCs w:val="28"/>
          <w:lang w:val="en-US"/>
        </w:rPr>
        <w:t>arterial</w:t>
      </w:r>
      <w:r w:rsidR="00DB5891">
        <w:rPr>
          <w:sz w:val="28"/>
          <w:szCs w:val="28"/>
          <w:lang w:val="uk-UA"/>
        </w:rPr>
        <w:t xml:space="preserve"> </w:t>
      </w:r>
      <w:r w:rsidR="00DB5891">
        <w:rPr>
          <w:sz w:val="28"/>
          <w:szCs w:val="28"/>
          <w:lang w:val="en-US"/>
        </w:rPr>
        <w:t>hypertension</w:t>
      </w:r>
      <w:r w:rsidR="00DB5891">
        <w:rPr>
          <w:sz w:val="28"/>
          <w:szCs w:val="28"/>
          <w:lang w:val="uk-UA"/>
        </w:rPr>
        <w:t>,</w:t>
      </w:r>
      <w:r w:rsidR="00DA048C">
        <w:rPr>
          <w:sz w:val="28"/>
          <w:szCs w:val="28"/>
          <w:lang w:val="uk-UA"/>
        </w:rPr>
        <w:t xml:space="preserve"> </w:t>
      </w:r>
      <w:r w:rsidR="00DB5891">
        <w:rPr>
          <w:sz w:val="28"/>
          <w:szCs w:val="28"/>
          <w:lang w:val="uk-UA"/>
        </w:rPr>
        <w:t>2018)</w:t>
      </w:r>
      <w:r w:rsidR="00585DD2" w:rsidRPr="00585DD2">
        <w:rPr>
          <w:sz w:val="28"/>
          <w:szCs w:val="28"/>
          <w:lang w:val="uk-UA" w:eastAsia="ru-RU"/>
        </w:rPr>
        <w:t>.</w:t>
      </w:r>
    </w:p>
    <w:p w:rsidR="000721A8" w:rsidRPr="000721A8" w:rsidRDefault="000B65AE" w:rsidP="0094356E">
      <w:pPr>
        <w:autoSpaceDE w:val="0"/>
        <w:autoSpaceDN w:val="0"/>
        <w:adjustRightInd w:val="0"/>
        <w:spacing w:line="360" w:lineRule="auto"/>
        <w:ind w:left="57" w:right="57"/>
        <w:jc w:val="both"/>
        <w:rPr>
          <w:caps/>
          <w:sz w:val="28"/>
          <w:szCs w:val="28"/>
          <w:lang w:val="uk-UA" w:eastAsia="ru-RU"/>
        </w:rPr>
      </w:pPr>
      <w:r>
        <w:rPr>
          <w:sz w:val="28"/>
          <w:szCs w:val="28"/>
          <w:lang w:val="uk-UA" w:eastAsia="ru-RU"/>
        </w:rPr>
        <w:t>Проте, якщо традиційні фактор</w:t>
      </w:r>
      <w:r w:rsidR="00DA048C">
        <w:rPr>
          <w:sz w:val="28"/>
          <w:szCs w:val="28"/>
          <w:lang w:val="uk-UA" w:eastAsia="ru-RU"/>
        </w:rPr>
        <w:t>и ЗССР при АГ упевнено увійшли у</w:t>
      </w:r>
      <w:r>
        <w:rPr>
          <w:sz w:val="28"/>
          <w:szCs w:val="28"/>
          <w:lang w:val="uk-UA" w:eastAsia="ru-RU"/>
        </w:rPr>
        <w:t xml:space="preserve"> практичну складову </w:t>
      </w:r>
      <w:r w:rsidR="00585DD2">
        <w:rPr>
          <w:sz w:val="28"/>
          <w:szCs w:val="28"/>
          <w:lang w:val="uk-UA" w:eastAsia="ru-RU"/>
        </w:rPr>
        <w:t>лікарської</w:t>
      </w:r>
      <w:r>
        <w:rPr>
          <w:sz w:val="28"/>
          <w:szCs w:val="28"/>
          <w:lang w:val="uk-UA" w:eastAsia="ru-RU"/>
        </w:rPr>
        <w:t xml:space="preserve"> практики</w:t>
      </w:r>
      <w:r w:rsidR="00585DD2">
        <w:rPr>
          <w:sz w:val="28"/>
          <w:szCs w:val="28"/>
          <w:lang w:val="uk-UA" w:eastAsia="ru-RU"/>
        </w:rPr>
        <w:t>, безсимптомн</w:t>
      </w:r>
      <w:r w:rsidR="00C1238D">
        <w:rPr>
          <w:sz w:val="28"/>
          <w:szCs w:val="28"/>
          <w:lang w:val="uk-UA" w:eastAsia="ru-RU"/>
        </w:rPr>
        <w:t>е</w:t>
      </w:r>
      <w:r w:rsidR="00585DD2">
        <w:rPr>
          <w:sz w:val="28"/>
          <w:szCs w:val="28"/>
          <w:lang w:val="uk-UA" w:eastAsia="ru-RU"/>
        </w:rPr>
        <w:t xml:space="preserve"> (суб</w:t>
      </w:r>
      <w:r w:rsidR="00C1238D">
        <w:rPr>
          <w:sz w:val="28"/>
          <w:szCs w:val="28"/>
          <w:lang w:val="uk-UA" w:eastAsia="ru-RU"/>
        </w:rPr>
        <w:t>к</w:t>
      </w:r>
      <w:r w:rsidR="00585DD2">
        <w:rPr>
          <w:sz w:val="28"/>
          <w:szCs w:val="28"/>
          <w:lang w:val="uk-UA" w:eastAsia="ru-RU"/>
        </w:rPr>
        <w:t xml:space="preserve">лінічне) ураження органів мішеней залишається недостатнього </w:t>
      </w:r>
      <w:proofErr w:type="spellStart"/>
      <w:r w:rsidR="00585DD2">
        <w:rPr>
          <w:sz w:val="28"/>
          <w:szCs w:val="28"/>
          <w:lang w:val="uk-UA" w:eastAsia="ru-RU"/>
        </w:rPr>
        <w:t>діагностованим</w:t>
      </w:r>
      <w:proofErr w:type="spellEnd"/>
      <w:r w:rsidR="00585DD2">
        <w:rPr>
          <w:sz w:val="28"/>
          <w:szCs w:val="28"/>
          <w:lang w:val="uk-UA" w:eastAsia="ru-RU"/>
        </w:rPr>
        <w:t xml:space="preserve">. </w:t>
      </w:r>
      <w:r w:rsidR="00585DD2" w:rsidRPr="000721A8">
        <w:rPr>
          <w:sz w:val="28"/>
          <w:szCs w:val="28"/>
          <w:lang w:val="uk-UA" w:eastAsia="ru-RU"/>
        </w:rPr>
        <w:t>Визначення безсимптомного ураження органів-мішеней є важливим підтвердженням додаткового ризику</w:t>
      </w:r>
      <w:r w:rsidR="005551FE">
        <w:rPr>
          <w:sz w:val="28"/>
          <w:szCs w:val="28"/>
          <w:lang w:val="uk-UA" w:eastAsia="ru-RU"/>
        </w:rPr>
        <w:t>, який зростає</w:t>
      </w:r>
      <w:r w:rsidR="00585DD2" w:rsidRPr="000721A8">
        <w:rPr>
          <w:sz w:val="28"/>
          <w:szCs w:val="28"/>
          <w:lang w:val="uk-UA" w:eastAsia="ru-RU"/>
        </w:rPr>
        <w:t xml:space="preserve"> з кожним </w:t>
      </w:r>
      <w:r w:rsidR="00585DD2" w:rsidRPr="00DB5891">
        <w:rPr>
          <w:sz w:val="28"/>
          <w:szCs w:val="28"/>
          <w:lang w:val="uk-UA" w:eastAsia="ru-RU"/>
        </w:rPr>
        <w:t>субклінічним порушенням</w:t>
      </w:r>
      <w:r w:rsidR="00DB5891" w:rsidRPr="00DB5891">
        <w:rPr>
          <w:sz w:val="28"/>
          <w:szCs w:val="28"/>
          <w:lang w:val="uk-UA" w:eastAsia="ru-RU"/>
        </w:rPr>
        <w:t xml:space="preserve"> (</w:t>
      </w:r>
      <w:proofErr w:type="spellStart"/>
      <w:r w:rsidR="00DB5891" w:rsidRPr="00DB5891">
        <w:rPr>
          <w:rFonts w:eastAsiaTheme="minorHAnsi"/>
          <w:sz w:val="28"/>
          <w:szCs w:val="28"/>
          <w:lang w:val="en-US"/>
        </w:rPr>
        <w:t>Perrone</w:t>
      </w:r>
      <w:proofErr w:type="spellEnd"/>
      <w:r w:rsidR="00DB5891" w:rsidRPr="00DB5891">
        <w:rPr>
          <w:rFonts w:eastAsiaTheme="minorHAnsi"/>
          <w:sz w:val="28"/>
          <w:szCs w:val="28"/>
          <w:lang w:val="uk-UA"/>
        </w:rPr>
        <w:t>-</w:t>
      </w:r>
      <w:proofErr w:type="spellStart"/>
      <w:r w:rsidR="00DB5891" w:rsidRPr="00DB5891">
        <w:rPr>
          <w:rFonts w:eastAsiaTheme="minorHAnsi"/>
          <w:sz w:val="28"/>
          <w:szCs w:val="28"/>
          <w:lang w:val="en-US"/>
        </w:rPr>
        <w:t>Filardi</w:t>
      </w:r>
      <w:proofErr w:type="spellEnd"/>
      <w:r w:rsidR="00DB5891" w:rsidRPr="00DB5891">
        <w:rPr>
          <w:rFonts w:eastAsiaTheme="minorHAnsi"/>
          <w:sz w:val="28"/>
          <w:szCs w:val="28"/>
          <w:lang w:val="uk-UA"/>
        </w:rPr>
        <w:t xml:space="preserve"> </w:t>
      </w:r>
      <w:r w:rsidR="00DB5891" w:rsidRPr="00DB5891">
        <w:rPr>
          <w:rFonts w:eastAsiaTheme="minorHAnsi"/>
          <w:sz w:val="28"/>
          <w:szCs w:val="28"/>
          <w:lang w:val="en-US"/>
        </w:rPr>
        <w:t>P</w:t>
      </w:r>
      <w:r w:rsidR="00DB5891" w:rsidRPr="00DB5891">
        <w:rPr>
          <w:rFonts w:eastAsiaTheme="minorHAnsi"/>
          <w:sz w:val="28"/>
          <w:szCs w:val="28"/>
          <w:lang w:val="uk-UA"/>
        </w:rPr>
        <w:t>.</w:t>
      </w:r>
      <w:r w:rsidR="00DB5891" w:rsidRPr="00DB5891">
        <w:rPr>
          <w:rFonts w:eastAsiaTheme="minorHAnsi"/>
          <w:sz w:val="28"/>
          <w:szCs w:val="28"/>
          <w:lang w:val="uk-UA"/>
        </w:rPr>
        <w:t xml:space="preserve"> </w:t>
      </w:r>
      <w:proofErr w:type="gramStart"/>
      <w:r w:rsidR="00DB5891" w:rsidRPr="00DB5891">
        <w:rPr>
          <w:rFonts w:eastAsiaTheme="minorHAnsi"/>
          <w:sz w:val="28"/>
          <w:szCs w:val="28"/>
          <w:lang w:val="en-US"/>
        </w:rPr>
        <w:t>et</w:t>
      </w:r>
      <w:proofErr w:type="gramEnd"/>
      <w:r w:rsidR="00DB5891" w:rsidRPr="00DB5891">
        <w:rPr>
          <w:rFonts w:eastAsiaTheme="minorHAnsi"/>
          <w:sz w:val="28"/>
          <w:szCs w:val="28"/>
          <w:lang w:val="uk-UA"/>
        </w:rPr>
        <w:t xml:space="preserve"> </w:t>
      </w:r>
      <w:r w:rsidR="00DB5891" w:rsidRPr="00DB5891">
        <w:rPr>
          <w:rFonts w:eastAsiaTheme="minorHAnsi"/>
          <w:sz w:val="28"/>
          <w:szCs w:val="28"/>
          <w:lang w:val="en-US"/>
        </w:rPr>
        <w:t>al</w:t>
      </w:r>
      <w:r w:rsidR="00DB5891" w:rsidRPr="00DB5891">
        <w:rPr>
          <w:rFonts w:eastAsiaTheme="minorHAnsi"/>
          <w:sz w:val="28"/>
          <w:szCs w:val="28"/>
          <w:lang w:val="uk-UA"/>
        </w:rPr>
        <w:t>. (2017)</w:t>
      </w:r>
      <w:r w:rsidR="00585DD2" w:rsidRPr="00DB5891">
        <w:rPr>
          <w:sz w:val="28"/>
          <w:szCs w:val="28"/>
          <w:lang w:val="uk-UA" w:eastAsia="ru-RU"/>
        </w:rPr>
        <w:t>. П</w:t>
      </w:r>
      <w:r w:rsidR="000721A8" w:rsidRPr="00DB5891">
        <w:rPr>
          <w:sz w:val="28"/>
          <w:szCs w:val="28"/>
          <w:lang w:val="uk-UA" w:eastAsia="ru-RU"/>
        </w:rPr>
        <w:t xml:space="preserve">ов’язані з АГ безсимптомні зміни в кількох органах вказують на прогресування серцево-судинного </w:t>
      </w:r>
      <w:r w:rsidR="00C1238D" w:rsidRPr="00DB5891">
        <w:rPr>
          <w:sz w:val="28"/>
          <w:szCs w:val="28"/>
          <w:lang w:val="uk-UA" w:eastAsia="ru-RU"/>
        </w:rPr>
        <w:t>континууму</w:t>
      </w:r>
      <w:r w:rsidR="000721A8" w:rsidRPr="00DB5891">
        <w:rPr>
          <w:sz w:val="28"/>
          <w:szCs w:val="28"/>
          <w:lang w:val="uk-UA" w:eastAsia="ru-RU"/>
        </w:rPr>
        <w:t xml:space="preserve">, </w:t>
      </w:r>
      <w:r w:rsidR="00585DD2" w:rsidRPr="00DB5891">
        <w:rPr>
          <w:sz w:val="28"/>
          <w:szCs w:val="28"/>
          <w:lang w:val="uk-UA" w:eastAsia="ru-RU"/>
        </w:rPr>
        <w:t>а це</w:t>
      </w:r>
      <w:r w:rsidR="000721A8" w:rsidRPr="00DB5891">
        <w:rPr>
          <w:sz w:val="28"/>
          <w:szCs w:val="28"/>
          <w:lang w:val="uk-UA" w:eastAsia="ru-RU"/>
        </w:rPr>
        <w:t xml:space="preserve"> значно</w:t>
      </w:r>
      <w:r w:rsidR="000721A8" w:rsidRPr="000721A8">
        <w:rPr>
          <w:sz w:val="28"/>
          <w:szCs w:val="28"/>
          <w:lang w:val="uk-UA" w:eastAsia="ru-RU"/>
        </w:rPr>
        <w:t xml:space="preserve"> підвищує ризик вище того рівня, який </w:t>
      </w:r>
      <w:r w:rsidR="00585DD2">
        <w:rPr>
          <w:sz w:val="28"/>
          <w:szCs w:val="28"/>
          <w:lang w:val="uk-UA" w:eastAsia="ru-RU"/>
        </w:rPr>
        <w:t xml:space="preserve"> був прорахований лише за традиційними факторами ризику, без урахування безсимптомного ураження органів-мішеней.</w:t>
      </w:r>
    </w:p>
    <w:p w:rsidR="000721A8" w:rsidRDefault="00585DD2" w:rsidP="00585DD2">
      <w:pPr>
        <w:autoSpaceDE w:val="0"/>
        <w:autoSpaceDN w:val="0"/>
        <w:adjustRightInd w:val="0"/>
        <w:spacing w:line="360" w:lineRule="auto"/>
        <w:ind w:left="57" w:right="57" w:firstLine="227"/>
        <w:jc w:val="both"/>
        <w:rPr>
          <w:sz w:val="28"/>
          <w:szCs w:val="28"/>
          <w:lang w:val="uk-UA" w:eastAsia="ru-RU"/>
        </w:rPr>
      </w:pPr>
      <w:r>
        <w:rPr>
          <w:sz w:val="28"/>
          <w:szCs w:val="28"/>
          <w:lang w:val="uk-UA" w:eastAsia="ru-RU"/>
        </w:rPr>
        <w:lastRenderedPageBreak/>
        <w:t>З діагностичної точки зору, п</w:t>
      </w:r>
      <w:r w:rsidR="000721A8" w:rsidRPr="000721A8">
        <w:rPr>
          <w:sz w:val="28"/>
          <w:szCs w:val="28"/>
          <w:lang w:val="uk-UA" w:eastAsia="ru-RU"/>
        </w:rPr>
        <w:t xml:space="preserve">ід час початкового обстеження хворого АГ </w:t>
      </w:r>
      <w:r w:rsidR="002611CA">
        <w:rPr>
          <w:sz w:val="28"/>
          <w:szCs w:val="28"/>
          <w:lang w:val="uk-UA" w:eastAsia="ru-RU"/>
        </w:rPr>
        <w:t>необхідно</w:t>
      </w:r>
      <w:r w:rsidR="000721A8" w:rsidRPr="000721A8">
        <w:rPr>
          <w:sz w:val="28"/>
          <w:szCs w:val="28"/>
          <w:lang w:val="uk-UA" w:eastAsia="ru-RU"/>
        </w:rPr>
        <w:t>:</w:t>
      </w:r>
      <w:r>
        <w:rPr>
          <w:sz w:val="28"/>
          <w:szCs w:val="28"/>
          <w:lang w:val="uk-UA" w:eastAsia="ru-RU"/>
        </w:rPr>
        <w:t xml:space="preserve"> </w:t>
      </w:r>
      <w:r w:rsidR="000721A8" w:rsidRPr="000721A8">
        <w:rPr>
          <w:sz w:val="28"/>
          <w:szCs w:val="28"/>
          <w:lang w:val="uk-UA" w:eastAsia="ru-RU"/>
        </w:rPr>
        <w:t xml:space="preserve">(І) підтвердити діагноз </w:t>
      </w:r>
      <w:r w:rsidR="009F0B3B">
        <w:rPr>
          <w:sz w:val="28"/>
          <w:szCs w:val="28"/>
          <w:lang w:val="uk-UA" w:eastAsia="ru-RU"/>
        </w:rPr>
        <w:t xml:space="preserve">первинної або вторинної </w:t>
      </w:r>
      <w:r w:rsidR="000721A8" w:rsidRPr="000721A8">
        <w:rPr>
          <w:sz w:val="28"/>
          <w:szCs w:val="28"/>
          <w:lang w:val="uk-UA" w:eastAsia="ru-RU"/>
        </w:rPr>
        <w:t>АГ, (II) оцінити серцево-судинний ризик, ураження органів-мішеней</w:t>
      </w:r>
      <w:r w:rsidR="009F0B3B">
        <w:rPr>
          <w:sz w:val="28"/>
          <w:szCs w:val="28"/>
          <w:lang w:val="uk-UA" w:eastAsia="ru-RU"/>
        </w:rPr>
        <w:t xml:space="preserve"> (ІІІ</w:t>
      </w:r>
      <w:r w:rsidR="005551FE">
        <w:rPr>
          <w:sz w:val="28"/>
          <w:szCs w:val="28"/>
          <w:lang w:val="uk-UA" w:eastAsia="ru-RU"/>
        </w:rPr>
        <w:t xml:space="preserve">) </w:t>
      </w:r>
      <w:r w:rsidR="002611CA">
        <w:rPr>
          <w:sz w:val="28"/>
          <w:szCs w:val="28"/>
          <w:lang w:val="uk-UA" w:eastAsia="ru-RU"/>
        </w:rPr>
        <w:t xml:space="preserve">та </w:t>
      </w:r>
      <w:r w:rsidR="005551FE">
        <w:rPr>
          <w:sz w:val="28"/>
          <w:szCs w:val="28"/>
          <w:lang w:val="uk-UA" w:eastAsia="ru-RU"/>
        </w:rPr>
        <w:t>на основі стратифікації ризику</w:t>
      </w:r>
      <w:r w:rsidR="009F0B3B">
        <w:rPr>
          <w:sz w:val="28"/>
          <w:szCs w:val="28"/>
          <w:lang w:val="uk-UA" w:eastAsia="ru-RU"/>
        </w:rPr>
        <w:t xml:space="preserve"> обрати лікувальну стратегію АГ</w:t>
      </w:r>
      <w:r w:rsidR="000721A8" w:rsidRPr="000721A8">
        <w:rPr>
          <w:sz w:val="28"/>
          <w:szCs w:val="28"/>
          <w:lang w:val="uk-UA" w:eastAsia="ru-RU"/>
        </w:rPr>
        <w:t>. Для цього необхідно:</w:t>
      </w:r>
      <w:r>
        <w:rPr>
          <w:sz w:val="28"/>
          <w:szCs w:val="28"/>
          <w:lang w:val="uk-UA" w:eastAsia="ru-RU"/>
        </w:rPr>
        <w:t xml:space="preserve"> </w:t>
      </w:r>
      <w:r w:rsidR="000721A8" w:rsidRPr="000721A8">
        <w:rPr>
          <w:sz w:val="28"/>
          <w:szCs w:val="28"/>
          <w:lang w:val="uk-UA" w:eastAsia="ru-RU"/>
        </w:rPr>
        <w:t>виміряти АТ, зібрати медичний анамнез,</w:t>
      </w:r>
      <w:r w:rsidR="009F0B3B">
        <w:rPr>
          <w:sz w:val="28"/>
          <w:szCs w:val="28"/>
          <w:lang w:val="uk-UA" w:eastAsia="ru-RU"/>
        </w:rPr>
        <w:t xml:space="preserve"> </w:t>
      </w:r>
      <w:r w:rsidR="000721A8" w:rsidRPr="000721A8">
        <w:rPr>
          <w:sz w:val="28"/>
          <w:szCs w:val="28"/>
          <w:lang w:val="uk-UA" w:eastAsia="ru-RU"/>
        </w:rPr>
        <w:t xml:space="preserve">провести </w:t>
      </w:r>
      <w:proofErr w:type="spellStart"/>
      <w:r w:rsidR="000721A8" w:rsidRPr="000721A8">
        <w:rPr>
          <w:sz w:val="28"/>
          <w:szCs w:val="28"/>
          <w:lang w:val="uk-UA" w:eastAsia="ru-RU"/>
        </w:rPr>
        <w:t>фізикальне</w:t>
      </w:r>
      <w:proofErr w:type="spellEnd"/>
      <w:r w:rsidR="000721A8" w:rsidRPr="000721A8">
        <w:rPr>
          <w:sz w:val="28"/>
          <w:szCs w:val="28"/>
          <w:lang w:val="uk-UA" w:eastAsia="ru-RU"/>
        </w:rPr>
        <w:t xml:space="preserve"> обстеження,</w:t>
      </w:r>
      <w:r>
        <w:rPr>
          <w:sz w:val="28"/>
          <w:szCs w:val="28"/>
          <w:lang w:val="uk-UA" w:eastAsia="ru-RU"/>
        </w:rPr>
        <w:t xml:space="preserve"> </w:t>
      </w:r>
      <w:r w:rsidR="000721A8" w:rsidRPr="000721A8">
        <w:rPr>
          <w:sz w:val="28"/>
          <w:szCs w:val="28"/>
          <w:lang w:val="uk-UA" w:eastAsia="ru-RU"/>
        </w:rPr>
        <w:t>лабораторне та інструментальне обстеження</w:t>
      </w:r>
      <w:r>
        <w:rPr>
          <w:sz w:val="28"/>
          <w:szCs w:val="28"/>
          <w:lang w:val="uk-UA" w:eastAsia="ru-RU"/>
        </w:rPr>
        <w:t>, виявити</w:t>
      </w:r>
      <w:r w:rsidR="000721A8" w:rsidRPr="000721A8">
        <w:rPr>
          <w:sz w:val="28"/>
          <w:szCs w:val="28"/>
          <w:lang w:val="uk-UA" w:eastAsia="ru-RU"/>
        </w:rPr>
        <w:t xml:space="preserve"> </w:t>
      </w:r>
      <w:r w:rsidR="00DA048C" w:rsidRPr="000721A8">
        <w:rPr>
          <w:sz w:val="28"/>
          <w:szCs w:val="28"/>
          <w:lang w:val="uk-UA" w:eastAsia="ru-RU"/>
        </w:rPr>
        <w:t>безсимптомне</w:t>
      </w:r>
      <w:r w:rsidR="008E21BC">
        <w:rPr>
          <w:sz w:val="28"/>
          <w:szCs w:val="28"/>
          <w:lang w:val="uk-UA" w:eastAsia="ru-RU"/>
        </w:rPr>
        <w:t xml:space="preserve"> </w:t>
      </w:r>
      <w:r w:rsidR="000721A8" w:rsidRPr="000721A8">
        <w:rPr>
          <w:sz w:val="28"/>
          <w:szCs w:val="28"/>
          <w:lang w:val="uk-UA" w:eastAsia="ru-RU"/>
        </w:rPr>
        <w:t>ураження органів-мішеней.</w:t>
      </w:r>
    </w:p>
    <w:p w:rsidR="008E21BC" w:rsidRDefault="008E21BC" w:rsidP="009F0B3B">
      <w:pPr>
        <w:spacing w:line="360" w:lineRule="auto"/>
        <w:ind w:firstLine="57"/>
        <w:jc w:val="both"/>
        <w:rPr>
          <w:sz w:val="28"/>
          <w:szCs w:val="28"/>
          <w:lang w:val="uk-UA"/>
        </w:rPr>
      </w:pPr>
      <w:r>
        <w:rPr>
          <w:sz w:val="28"/>
          <w:szCs w:val="28"/>
          <w:lang w:val="uk-UA"/>
        </w:rPr>
        <w:t>Тому головною метою даного огляду</w:t>
      </w:r>
      <w:r w:rsidR="002F4F68">
        <w:rPr>
          <w:sz w:val="28"/>
          <w:szCs w:val="28"/>
          <w:lang w:val="uk-UA"/>
        </w:rPr>
        <w:t xml:space="preserve"> Європейських рекомендацій по артеріальній гіпертензії (2018) є детальна характеристика діагностики та </w:t>
      </w:r>
      <w:r>
        <w:rPr>
          <w:sz w:val="28"/>
          <w:szCs w:val="28"/>
          <w:lang w:val="uk-UA"/>
        </w:rPr>
        <w:t>зна</w:t>
      </w:r>
      <w:r w:rsidR="002F4F68">
        <w:rPr>
          <w:sz w:val="28"/>
          <w:szCs w:val="28"/>
          <w:lang w:val="uk-UA"/>
        </w:rPr>
        <w:t>чущості</w:t>
      </w:r>
      <w:r>
        <w:rPr>
          <w:sz w:val="28"/>
          <w:szCs w:val="28"/>
          <w:lang w:val="uk-UA"/>
        </w:rPr>
        <w:t xml:space="preserve"> визначення субклінічних уражень при АГ та їх впливу на </w:t>
      </w:r>
      <w:r w:rsidR="002F4F68">
        <w:rPr>
          <w:sz w:val="28"/>
          <w:szCs w:val="28"/>
          <w:lang w:val="uk-UA"/>
        </w:rPr>
        <w:t>підвищення</w:t>
      </w:r>
      <w:r>
        <w:rPr>
          <w:sz w:val="28"/>
          <w:szCs w:val="28"/>
          <w:lang w:val="uk-UA"/>
        </w:rPr>
        <w:t xml:space="preserve"> градацій ЗССР, що </w:t>
      </w:r>
      <w:r w:rsidR="005551FE">
        <w:rPr>
          <w:sz w:val="28"/>
          <w:szCs w:val="28"/>
          <w:lang w:val="uk-UA"/>
        </w:rPr>
        <w:t>може впливати на зміну діагностичних та терапевтичних</w:t>
      </w:r>
      <w:r>
        <w:rPr>
          <w:sz w:val="28"/>
          <w:szCs w:val="28"/>
          <w:lang w:val="uk-UA"/>
        </w:rPr>
        <w:t xml:space="preserve"> підход</w:t>
      </w:r>
      <w:r w:rsidR="005551FE">
        <w:rPr>
          <w:sz w:val="28"/>
          <w:szCs w:val="28"/>
          <w:lang w:val="uk-UA"/>
        </w:rPr>
        <w:t xml:space="preserve">ів у конкретного  </w:t>
      </w:r>
      <w:r w:rsidR="00DA048C">
        <w:rPr>
          <w:sz w:val="28"/>
          <w:szCs w:val="28"/>
          <w:lang w:val="uk-UA"/>
        </w:rPr>
        <w:t>пацієнта</w:t>
      </w:r>
      <w:r>
        <w:rPr>
          <w:sz w:val="28"/>
          <w:szCs w:val="28"/>
          <w:lang w:val="uk-UA"/>
        </w:rPr>
        <w:t>.</w:t>
      </w:r>
    </w:p>
    <w:p w:rsidR="000721A8" w:rsidRDefault="00FC1407" w:rsidP="009F0B3B">
      <w:pPr>
        <w:autoSpaceDE w:val="0"/>
        <w:autoSpaceDN w:val="0"/>
        <w:adjustRightInd w:val="0"/>
        <w:spacing w:line="360" w:lineRule="auto"/>
        <w:ind w:right="57"/>
        <w:jc w:val="both"/>
        <w:rPr>
          <w:sz w:val="28"/>
          <w:szCs w:val="28"/>
          <w:lang w:val="uk-UA" w:eastAsia="ru-RU"/>
        </w:rPr>
      </w:pPr>
      <w:r>
        <w:rPr>
          <w:sz w:val="28"/>
          <w:szCs w:val="28"/>
          <w:lang w:val="uk-UA" w:eastAsia="ru-RU"/>
        </w:rPr>
        <w:t>Визначним</w:t>
      </w:r>
      <w:r w:rsidR="000721A8" w:rsidRPr="000721A8">
        <w:rPr>
          <w:sz w:val="28"/>
          <w:szCs w:val="28"/>
          <w:lang w:val="uk-UA" w:eastAsia="ru-RU"/>
        </w:rPr>
        <w:t xml:space="preserve"> аргументом за доцільність виявлення ураження органів-мішеней у повсякденній клінічній практиці є той факт, що кожен із чотирьох маркерів органно</w:t>
      </w:r>
      <w:r w:rsidR="00C1238D">
        <w:rPr>
          <w:sz w:val="28"/>
          <w:szCs w:val="28"/>
          <w:lang w:val="uk-UA" w:eastAsia="ru-RU"/>
        </w:rPr>
        <w:t>го</w:t>
      </w:r>
      <w:r w:rsidR="000721A8" w:rsidRPr="000721A8">
        <w:rPr>
          <w:sz w:val="28"/>
          <w:szCs w:val="28"/>
          <w:lang w:val="uk-UA" w:eastAsia="ru-RU"/>
        </w:rPr>
        <w:t xml:space="preserve"> ураження (</w:t>
      </w:r>
      <w:proofErr w:type="spellStart"/>
      <w:r w:rsidR="000721A8" w:rsidRPr="000721A8">
        <w:rPr>
          <w:sz w:val="28"/>
          <w:szCs w:val="28"/>
          <w:lang w:val="uk-UA" w:eastAsia="ru-RU"/>
        </w:rPr>
        <w:t>мікроальбумінурія</w:t>
      </w:r>
      <w:proofErr w:type="spellEnd"/>
      <w:r w:rsidR="000721A8" w:rsidRPr="000721A8">
        <w:rPr>
          <w:sz w:val="28"/>
          <w:szCs w:val="28"/>
          <w:lang w:val="uk-UA" w:eastAsia="ru-RU"/>
        </w:rPr>
        <w:t>, підвищення</w:t>
      </w:r>
      <w:r w:rsidR="00C1238D">
        <w:rPr>
          <w:sz w:val="28"/>
          <w:szCs w:val="28"/>
          <w:lang w:val="uk-UA" w:eastAsia="ru-RU"/>
        </w:rPr>
        <w:t xml:space="preserve"> швидкості пульсової хвилі (ШПХ)</w:t>
      </w:r>
      <w:r w:rsidR="000721A8" w:rsidRPr="000721A8">
        <w:rPr>
          <w:sz w:val="28"/>
          <w:szCs w:val="28"/>
          <w:lang w:val="uk-UA" w:eastAsia="ru-RU"/>
        </w:rPr>
        <w:t xml:space="preserve">, </w:t>
      </w:r>
      <w:r w:rsidR="00C1238D">
        <w:rPr>
          <w:sz w:val="28"/>
          <w:szCs w:val="28"/>
          <w:lang w:val="uk-UA" w:eastAsia="ru-RU"/>
        </w:rPr>
        <w:t>гіпертрофія лівого шлуночка (</w:t>
      </w:r>
      <w:r w:rsidR="000721A8" w:rsidRPr="000721A8">
        <w:rPr>
          <w:sz w:val="28"/>
          <w:szCs w:val="28"/>
          <w:lang w:val="uk-UA" w:eastAsia="ru-RU"/>
        </w:rPr>
        <w:t>ГЛШ</w:t>
      </w:r>
      <w:r w:rsidR="00C1238D">
        <w:rPr>
          <w:sz w:val="28"/>
          <w:szCs w:val="28"/>
          <w:lang w:val="uk-UA" w:eastAsia="ru-RU"/>
        </w:rPr>
        <w:t>)</w:t>
      </w:r>
      <w:r w:rsidR="000721A8" w:rsidRPr="000721A8">
        <w:rPr>
          <w:sz w:val="28"/>
          <w:szCs w:val="28"/>
          <w:lang w:val="uk-UA" w:eastAsia="ru-RU"/>
        </w:rPr>
        <w:t xml:space="preserve"> і бляшки в сонних артеріях) є незалежними </w:t>
      </w:r>
      <w:proofErr w:type="spellStart"/>
      <w:r w:rsidR="000721A8" w:rsidRPr="000721A8">
        <w:rPr>
          <w:sz w:val="28"/>
          <w:szCs w:val="28"/>
          <w:lang w:val="uk-UA" w:eastAsia="ru-RU"/>
        </w:rPr>
        <w:t>предикторами</w:t>
      </w:r>
      <w:proofErr w:type="spellEnd"/>
      <w:r w:rsidR="000721A8" w:rsidRPr="000721A8">
        <w:rPr>
          <w:sz w:val="28"/>
          <w:szCs w:val="28"/>
          <w:lang w:val="uk-UA" w:eastAsia="ru-RU"/>
        </w:rPr>
        <w:t xml:space="preserve"> серцево-судинної смертності</w:t>
      </w:r>
      <w:r w:rsidR="00776E48" w:rsidRPr="00776E48">
        <w:rPr>
          <w:sz w:val="28"/>
          <w:szCs w:val="28"/>
          <w:lang w:val="uk-UA" w:eastAsia="ru-RU"/>
        </w:rPr>
        <w:t xml:space="preserve"> </w:t>
      </w:r>
      <w:r w:rsidR="00776E48">
        <w:rPr>
          <w:b/>
          <w:sz w:val="28"/>
          <w:szCs w:val="28"/>
          <w:lang w:val="uk-UA" w:eastAsia="ru-RU"/>
        </w:rPr>
        <w:t>(</w:t>
      </w:r>
      <w:r w:rsidR="00776E48">
        <w:rPr>
          <w:sz w:val="28"/>
          <w:szCs w:val="28"/>
          <w:lang w:val="en-US"/>
        </w:rPr>
        <w:t>ESC</w:t>
      </w:r>
      <w:r w:rsidR="00776E48">
        <w:rPr>
          <w:sz w:val="28"/>
          <w:szCs w:val="28"/>
          <w:lang w:val="uk-UA"/>
        </w:rPr>
        <w:t>/</w:t>
      </w:r>
      <w:r w:rsidR="00776E48">
        <w:rPr>
          <w:sz w:val="28"/>
          <w:szCs w:val="28"/>
          <w:lang w:val="en-US"/>
        </w:rPr>
        <w:t>ESH</w:t>
      </w:r>
      <w:r w:rsidR="00776E48">
        <w:rPr>
          <w:sz w:val="28"/>
          <w:szCs w:val="28"/>
          <w:lang w:val="uk-UA"/>
        </w:rPr>
        <w:t xml:space="preserve"> </w:t>
      </w:r>
      <w:r w:rsidR="00776E48">
        <w:rPr>
          <w:sz w:val="28"/>
          <w:szCs w:val="28"/>
          <w:lang w:val="en-US"/>
        </w:rPr>
        <w:t>Guidelines</w:t>
      </w:r>
      <w:r w:rsidR="00776E48">
        <w:rPr>
          <w:sz w:val="28"/>
          <w:szCs w:val="28"/>
          <w:lang w:val="uk-UA"/>
        </w:rPr>
        <w:t xml:space="preserve"> </w:t>
      </w:r>
      <w:r w:rsidR="00776E48">
        <w:rPr>
          <w:sz w:val="28"/>
          <w:szCs w:val="28"/>
          <w:lang w:val="en-US"/>
        </w:rPr>
        <w:t>for</w:t>
      </w:r>
      <w:r w:rsidR="00776E48">
        <w:rPr>
          <w:sz w:val="28"/>
          <w:szCs w:val="28"/>
          <w:lang w:val="uk-UA"/>
        </w:rPr>
        <w:t xml:space="preserve"> </w:t>
      </w:r>
      <w:r w:rsidR="00776E48">
        <w:rPr>
          <w:sz w:val="28"/>
          <w:szCs w:val="28"/>
          <w:lang w:val="en-US"/>
        </w:rPr>
        <w:t>the</w:t>
      </w:r>
      <w:r w:rsidR="00776E48">
        <w:rPr>
          <w:sz w:val="28"/>
          <w:szCs w:val="28"/>
          <w:lang w:val="uk-UA"/>
        </w:rPr>
        <w:t xml:space="preserve"> </w:t>
      </w:r>
      <w:r w:rsidR="00776E48">
        <w:rPr>
          <w:sz w:val="28"/>
          <w:szCs w:val="28"/>
          <w:lang w:val="en-US"/>
        </w:rPr>
        <w:t>management</w:t>
      </w:r>
      <w:r w:rsidR="00776E48">
        <w:rPr>
          <w:sz w:val="28"/>
          <w:szCs w:val="28"/>
          <w:lang w:val="uk-UA"/>
        </w:rPr>
        <w:t xml:space="preserve"> </w:t>
      </w:r>
      <w:r w:rsidR="00776E48">
        <w:rPr>
          <w:sz w:val="28"/>
          <w:szCs w:val="28"/>
          <w:lang w:val="en-US"/>
        </w:rPr>
        <w:t>of</w:t>
      </w:r>
      <w:r w:rsidR="00776E48">
        <w:rPr>
          <w:sz w:val="28"/>
          <w:szCs w:val="28"/>
          <w:lang w:val="uk-UA"/>
        </w:rPr>
        <w:t xml:space="preserve"> </w:t>
      </w:r>
      <w:r w:rsidR="00776E48">
        <w:rPr>
          <w:sz w:val="28"/>
          <w:szCs w:val="28"/>
          <w:lang w:val="en-US"/>
        </w:rPr>
        <w:t>arterial</w:t>
      </w:r>
      <w:r w:rsidR="00776E48">
        <w:rPr>
          <w:sz w:val="28"/>
          <w:szCs w:val="28"/>
          <w:lang w:val="uk-UA"/>
        </w:rPr>
        <w:t xml:space="preserve"> </w:t>
      </w:r>
      <w:r w:rsidR="00776E48">
        <w:rPr>
          <w:sz w:val="28"/>
          <w:szCs w:val="28"/>
          <w:lang w:val="en-US"/>
        </w:rPr>
        <w:t>hypertension</w:t>
      </w:r>
      <w:r w:rsidR="00776E48">
        <w:rPr>
          <w:sz w:val="28"/>
          <w:szCs w:val="28"/>
          <w:lang w:val="uk-UA"/>
        </w:rPr>
        <w:t>,</w:t>
      </w:r>
      <w:r w:rsidR="00776E48" w:rsidRPr="00776E48">
        <w:rPr>
          <w:sz w:val="28"/>
          <w:szCs w:val="28"/>
          <w:lang w:val="uk-UA"/>
        </w:rPr>
        <w:t xml:space="preserve"> </w:t>
      </w:r>
      <w:r w:rsidR="00776E48">
        <w:rPr>
          <w:sz w:val="28"/>
          <w:szCs w:val="28"/>
          <w:lang w:val="uk-UA"/>
        </w:rPr>
        <w:t>2018)</w:t>
      </w:r>
      <w:r w:rsidR="00776E48">
        <w:rPr>
          <w:sz w:val="28"/>
          <w:szCs w:val="28"/>
          <w:lang w:val="uk-UA" w:eastAsia="ru-RU"/>
        </w:rPr>
        <w:t xml:space="preserve"> </w:t>
      </w:r>
      <w:r w:rsidR="008E21BC">
        <w:rPr>
          <w:sz w:val="28"/>
          <w:szCs w:val="28"/>
          <w:lang w:val="uk-UA" w:eastAsia="ru-RU"/>
        </w:rPr>
        <w:t>(таблиця 1</w:t>
      </w:r>
      <w:r w:rsidR="008E21BC" w:rsidRPr="000721A8">
        <w:rPr>
          <w:sz w:val="28"/>
          <w:szCs w:val="28"/>
          <w:lang w:val="uk-UA" w:eastAsia="ru-RU"/>
        </w:rPr>
        <w:t>).</w:t>
      </w:r>
    </w:p>
    <w:p w:rsidR="008E21BC" w:rsidRPr="000721A8" w:rsidRDefault="00C1238D" w:rsidP="000721A8">
      <w:pPr>
        <w:autoSpaceDE w:val="0"/>
        <w:autoSpaceDN w:val="0"/>
        <w:adjustRightInd w:val="0"/>
        <w:spacing w:line="360" w:lineRule="auto"/>
        <w:ind w:right="57" w:firstLine="284"/>
        <w:jc w:val="both"/>
        <w:rPr>
          <w:sz w:val="28"/>
          <w:szCs w:val="28"/>
          <w:lang w:val="uk-UA" w:eastAsia="ru-RU"/>
        </w:rPr>
      </w:pPr>
      <w:r>
        <w:rPr>
          <w:b/>
          <w:sz w:val="28"/>
          <w:szCs w:val="28"/>
          <w:lang w:val="uk-UA" w:eastAsia="ru-RU"/>
        </w:rPr>
        <w:t xml:space="preserve">Таблиця 1. </w:t>
      </w:r>
      <w:r w:rsidRPr="000721A8">
        <w:rPr>
          <w:b/>
          <w:sz w:val="28"/>
          <w:szCs w:val="28"/>
          <w:lang w:val="uk-UA" w:eastAsia="ru-RU"/>
        </w:rPr>
        <w:t>Безсимптомне ураження органів-мішеней</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0721A8" w:rsidRPr="000721A8" w:rsidTr="000721A8">
        <w:tc>
          <w:tcPr>
            <w:tcW w:w="9526" w:type="dxa"/>
            <w:tcBorders>
              <w:top w:val="single" w:sz="4" w:space="0" w:color="auto"/>
              <w:left w:val="single" w:sz="4" w:space="0" w:color="auto"/>
              <w:bottom w:val="single" w:sz="4" w:space="0" w:color="auto"/>
              <w:right w:val="single" w:sz="4" w:space="0" w:color="auto"/>
            </w:tcBorders>
            <w:tcMar>
              <w:left w:w="0" w:type="dxa"/>
              <w:right w:w="28" w:type="dxa"/>
            </w:tcMar>
            <w:hideMark/>
          </w:tcPr>
          <w:p w:rsidR="000721A8" w:rsidRPr="000721A8" w:rsidRDefault="000721A8" w:rsidP="00FC1407">
            <w:pPr>
              <w:autoSpaceDE w:val="0"/>
              <w:autoSpaceDN w:val="0"/>
              <w:adjustRightInd w:val="0"/>
              <w:ind w:left="57" w:right="57"/>
              <w:jc w:val="both"/>
              <w:rPr>
                <w:sz w:val="28"/>
                <w:szCs w:val="28"/>
                <w:lang w:val="uk-UA" w:eastAsia="ru-RU"/>
              </w:rPr>
            </w:pPr>
            <w:r w:rsidRPr="000721A8">
              <w:rPr>
                <w:sz w:val="28"/>
                <w:szCs w:val="28"/>
                <w:lang w:val="uk-UA" w:eastAsia="ru-RU"/>
              </w:rPr>
              <w:t xml:space="preserve">Пульсовий тиск (у осіб похилого і старечого віку) ≥60 мм </w:t>
            </w:r>
            <w:proofErr w:type="spellStart"/>
            <w:r w:rsidRPr="000721A8">
              <w:rPr>
                <w:sz w:val="28"/>
                <w:szCs w:val="28"/>
                <w:lang w:val="uk-UA" w:eastAsia="ru-RU"/>
              </w:rPr>
              <w:t>рт.ст</w:t>
            </w:r>
            <w:proofErr w:type="spellEnd"/>
            <w:r w:rsidRPr="000721A8">
              <w:rPr>
                <w:sz w:val="28"/>
                <w:szCs w:val="28"/>
                <w:lang w:val="uk-UA" w:eastAsia="ru-RU"/>
              </w:rPr>
              <w:t>.</w:t>
            </w:r>
          </w:p>
        </w:tc>
      </w:tr>
      <w:tr w:rsidR="000721A8" w:rsidRPr="000721A8" w:rsidTr="000721A8">
        <w:tc>
          <w:tcPr>
            <w:tcW w:w="9526" w:type="dxa"/>
            <w:tcBorders>
              <w:top w:val="single" w:sz="4" w:space="0" w:color="auto"/>
              <w:left w:val="single" w:sz="4" w:space="0" w:color="auto"/>
              <w:bottom w:val="single" w:sz="4" w:space="0" w:color="auto"/>
              <w:right w:val="single" w:sz="4" w:space="0" w:color="auto"/>
            </w:tcBorders>
            <w:tcMar>
              <w:left w:w="0" w:type="dxa"/>
              <w:right w:w="28" w:type="dxa"/>
            </w:tcMar>
            <w:hideMark/>
          </w:tcPr>
          <w:p w:rsidR="000721A8" w:rsidRPr="000721A8" w:rsidRDefault="000721A8" w:rsidP="00FC1407">
            <w:pPr>
              <w:autoSpaceDE w:val="0"/>
              <w:autoSpaceDN w:val="0"/>
              <w:adjustRightInd w:val="0"/>
              <w:ind w:left="57" w:right="57"/>
              <w:jc w:val="both"/>
              <w:rPr>
                <w:sz w:val="28"/>
                <w:szCs w:val="28"/>
                <w:lang w:val="uk-UA" w:eastAsia="ru-RU"/>
              </w:rPr>
            </w:pPr>
            <w:r w:rsidRPr="000721A8">
              <w:rPr>
                <w:sz w:val="28"/>
                <w:szCs w:val="28"/>
                <w:lang w:val="uk-UA" w:eastAsia="ru-RU"/>
              </w:rPr>
              <w:t>Електрокардіографічні ознаки ГЛШ (індекс Соколова-</w:t>
            </w:r>
            <w:proofErr w:type="spellStart"/>
            <w:r w:rsidRPr="000721A8">
              <w:rPr>
                <w:sz w:val="28"/>
                <w:szCs w:val="28"/>
                <w:lang w:val="uk-UA" w:eastAsia="ru-RU"/>
              </w:rPr>
              <w:t>Лайона</w:t>
            </w:r>
            <w:proofErr w:type="spellEnd"/>
            <w:r w:rsidRPr="000721A8">
              <w:rPr>
                <w:sz w:val="28"/>
                <w:szCs w:val="28"/>
                <w:lang w:val="uk-UA" w:eastAsia="ru-RU"/>
              </w:rPr>
              <w:t xml:space="preserve"> &gt;3.5 </w:t>
            </w:r>
            <w:proofErr w:type="spellStart"/>
            <w:r w:rsidRPr="000721A8">
              <w:rPr>
                <w:sz w:val="28"/>
                <w:szCs w:val="28"/>
                <w:lang w:val="uk-UA" w:eastAsia="ru-RU"/>
              </w:rPr>
              <w:t>мВ</w:t>
            </w:r>
            <w:proofErr w:type="spellEnd"/>
            <w:r w:rsidRPr="000721A8">
              <w:rPr>
                <w:sz w:val="28"/>
                <w:szCs w:val="28"/>
                <w:lang w:val="uk-UA" w:eastAsia="ru-RU"/>
              </w:rPr>
              <w:t xml:space="preserve">, </w:t>
            </w:r>
            <w:proofErr w:type="spellStart"/>
            <w:r w:rsidRPr="000721A8">
              <w:rPr>
                <w:sz w:val="28"/>
                <w:szCs w:val="28"/>
                <w:lang w:val="uk-UA" w:eastAsia="ru-RU"/>
              </w:rPr>
              <w:t>RaVL</w:t>
            </w:r>
            <w:proofErr w:type="spellEnd"/>
            <w:r w:rsidRPr="000721A8">
              <w:rPr>
                <w:sz w:val="28"/>
                <w:szCs w:val="28"/>
                <w:lang w:val="uk-UA" w:eastAsia="ru-RU"/>
              </w:rPr>
              <w:t xml:space="preserve"> &gt;1.1 </w:t>
            </w:r>
            <w:proofErr w:type="spellStart"/>
            <w:r w:rsidRPr="000721A8">
              <w:rPr>
                <w:sz w:val="28"/>
                <w:szCs w:val="28"/>
                <w:lang w:val="uk-UA" w:eastAsia="ru-RU"/>
              </w:rPr>
              <w:t>мВ</w:t>
            </w:r>
            <w:proofErr w:type="spellEnd"/>
            <w:r w:rsidRPr="000721A8">
              <w:rPr>
                <w:sz w:val="28"/>
                <w:szCs w:val="28"/>
                <w:lang w:val="uk-UA" w:eastAsia="ru-RU"/>
              </w:rPr>
              <w:t xml:space="preserve">; індекс </w:t>
            </w:r>
            <w:proofErr w:type="spellStart"/>
            <w:r w:rsidRPr="000721A8">
              <w:rPr>
                <w:sz w:val="28"/>
                <w:szCs w:val="28"/>
                <w:lang w:val="uk-UA" w:eastAsia="ru-RU"/>
              </w:rPr>
              <w:t>Корнелла</w:t>
            </w:r>
            <w:proofErr w:type="spellEnd"/>
            <w:r w:rsidRPr="000721A8">
              <w:rPr>
                <w:sz w:val="28"/>
                <w:szCs w:val="28"/>
                <w:lang w:val="uk-UA" w:eastAsia="ru-RU"/>
              </w:rPr>
              <w:t xml:space="preserve"> &gt;244 </w:t>
            </w:r>
            <w:proofErr w:type="spellStart"/>
            <w:r w:rsidRPr="000721A8">
              <w:rPr>
                <w:sz w:val="28"/>
                <w:szCs w:val="28"/>
                <w:lang w:val="uk-UA" w:eastAsia="ru-RU"/>
              </w:rPr>
              <w:t>мв</w:t>
            </w:r>
            <w:proofErr w:type="spellEnd"/>
            <w:r w:rsidRPr="000721A8">
              <w:rPr>
                <w:sz w:val="28"/>
                <w:szCs w:val="28"/>
                <w:lang w:val="uk-UA" w:eastAsia="ru-RU"/>
              </w:rPr>
              <w:t xml:space="preserve"> х </w:t>
            </w:r>
            <w:proofErr w:type="spellStart"/>
            <w:r w:rsidRPr="000721A8">
              <w:rPr>
                <w:sz w:val="28"/>
                <w:szCs w:val="28"/>
                <w:lang w:val="uk-UA" w:eastAsia="ru-RU"/>
              </w:rPr>
              <w:t>мсек</w:t>
            </w:r>
            <w:proofErr w:type="spellEnd"/>
            <w:r w:rsidRPr="000721A8">
              <w:rPr>
                <w:sz w:val="28"/>
                <w:szCs w:val="28"/>
                <w:lang w:val="uk-UA" w:eastAsia="ru-RU"/>
              </w:rPr>
              <w:t>) або</w:t>
            </w:r>
          </w:p>
        </w:tc>
      </w:tr>
      <w:tr w:rsidR="000721A8" w:rsidRPr="000721A8" w:rsidTr="000721A8">
        <w:tc>
          <w:tcPr>
            <w:tcW w:w="9526" w:type="dxa"/>
            <w:tcBorders>
              <w:top w:val="single" w:sz="4" w:space="0" w:color="auto"/>
              <w:left w:val="single" w:sz="4" w:space="0" w:color="auto"/>
              <w:bottom w:val="single" w:sz="4" w:space="0" w:color="auto"/>
              <w:right w:val="single" w:sz="4" w:space="0" w:color="auto"/>
            </w:tcBorders>
            <w:tcMar>
              <w:left w:w="0" w:type="dxa"/>
              <w:right w:w="28" w:type="dxa"/>
            </w:tcMar>
            <w:hideMark/>
          </w:tcPr>
          <w:p w:rsidR="000721A8" w:rsidRPr="000721A8" w:rsidRDefault="000721A8" w:rsidP="00FC1407">
            <w:pPr>
              <w:autoSpaceDE w:val="0"/>
              <w:autoSpaceDN w:val="0"/>
              <w:adjustRightInd w:val="0"/>
              <w:ind w:left="57" w:right="57"/>
              <w:jc w:val="both"/>
              <w:rPr>
                <w:sz w:val="28"/>
                <w:szCs w:val="28"/>
                <w:lang w:val="uk-UA" w:eastAsia="ru-RU"/>
              </w:rPr>
            </w:pPr>
            <w:r w:rsidRPr="000721A8">
              <w:rPr>
                <w:sz w:val="28"/>
                <w:szCs w:val="28"/>
                <w:lang w:val="uk-UA" w:eastAsia="ru-RU"/>
              </w:rPr>
              <w:t>Електрокардіографічні ознаки ГЛШ [індекс МЛШ: &gt;115 г/м</w:t>
            </w:r>
            <w:r w:rsidRPr="000721A8">
              <w:rPr>
                <w:sz w:val="28"/>
                <w:szCs w:val="28"/>
                <w:vertAlign w:val="superscript"/>
                <w:lang w:val="uk-UA" w:eastAsia="ru-RU"/>
              </w:rPr>
              <w:t>2</w:t>
            </w:r>
            <w:r w:rsidRPr="000721A8">
              <w:rPr>
                <w:sz w:val="28"/>
                <w:szCs w:val="28"/>
                <w:lang w:val="uk-UA" w:eastAsia="ru-RU"/>
              </w:rPr>
              <w:t xml:space="preserve"> у чоловіків, </w:t>
            </w:r>
          </w:p>
          <w:p w:rsidR="000721A8" w:rsidRPr="000721A8" w:rsidRDefault="000721A8" w:rsidP="00FC1407">
            <w:pPr>
              <w:autoSpaceDE w:val="0"/>
              <w:autoSpaceDN w:val="0"/>
              <w:adjustRightInd w:val="0"/>
              <w:ind w:left="57" w:right="57"/>
              <w:jc w:val="both"/>
              <w:rPr>
                <w:sz w:val="28"/>
                <w:szCs w:val="28"/>
                <w:lang w:val="uk-UA" w:eastAsia="ru-RU"/>
              </w:rPr>
            </w:pPr>
            <w:r w:rsidRPr="000721A8">
              <w:rPr>
                <w:sz w:val="28"/>
                <w:szCs w:val="28"/>
                <w:lang w:val="uk-UA" w:eastAsia="ru-RU"/>
              </w:rPr>
              <w:t>5 г/м</w:t>
            </w:r>
            <w:r w:rsidRPr="000721A8">
              <w:rPr>
                <w:sz w:val="28"/>
                <w:szCs w:val="28"/>
                <w:vertAlign w:val="superscript"/>
                <w:lang w:val="uk-UA" w:eastAsia="ru-RU"/>
              </w:rPr>
              <w:t>2</w:t>
            </w:r>
            <w:r w:rsidRPr="000721A8">
              <w:rPr>
                <w:sz w:val="28"/>
                <w:szCs w:val="28"/>
                <w:lang w:val="uk-UA" w:eastAsia="ru-RU"/>
              </w:rPr>
              <w:t xml:space="preserve"> у жінок (ППТ)]</w:t>
            </w:r>
            <w:r w:rsidRPr="000721A8">
              <w:rPr>
                <w:sz w:val="28"/>
                <w:szCs w:val="28"/>
                <w:vertAlign w:val="superscript"/>
                <w:lang w:val="uk-UA" w:eastAsia="ru-RU"/>
              </w:rPr>
              <w:t>a</w:t>
            </w:r>
          </w:p>
        </w:tc>
      </w:tr>
      <w:tr w:rsidR="000721A8" w:rsidRPr="000721A8" w:rsidTr="000721A8">
        <w:tc>
          <w:tcPr>
            <w:tcW w:w="9526" w:type="dxa"/>
            <w:tcBorders>
              <w:top w:val="single" w:sz="4" w:space="0" w:color="auto"/>
              <w:left w:val="single" w:sz="4" w:space="0" w:color="auto"/>
              <w:bottom w:val="single" w:sz="4" w:space="0" w:color="auto"/>
              <w:right w:val="single" w:sz="4" w:space="0" w:color="auto"/>
            </w:tcBorders>
            <w:tcMar>
              <w:left w:w="0" w:type="dxa"/>
              <w:right w:w="28" w:type="dxa"/>
            </w:tcMar>
            <w:hideMark/>
          </w:tcPr>
          <w:p w:rsidR="000721A8" w:rsidRPr="000721A8" w:rsidRDefault="000721A8" w:rsidP="00FC1407">
            <w:pPr>
              <w:autoSpaceDE w:val="0"/>
              <w:autoSpaceDN w:val="0"/>
              <w:adjustRightInd w:val="0"/>
              <w:ind w:left="57" w:right="57"/>
              <w:jc w:val="both"/>
              <w:rPr>
                <w:sz w:val="28"/>
                <w:szCs w:val="28"/>
                <w:lang w:val="uk-UA" w:eastAsia="ru-RU"/>
              </w:rPr>
            </w:pPr>
            <w:r w:rsidRPr="000721A8">
              <w:rPr>
                <w:sz w:val="28"/>
                <w:szCs w:val="28"/>
                <w:lang w:val="uk-UA" w:eastAsia="ru-RU"/>
              </w:rPr>
              <w:t>Потовщення стінки сонних артерій (комплекс інтима-медіа &gt;</w:t>
            </w:r>
            <w:smartTag w:uri="urn:schemas-microsoft-com:office:smarttags" w:element="metricconverter">
              <w:smartTagPr>
                <w:attr w:name="ProductID" w:val="0.9 мм"/>
              </w:smartTagPr>
              <w:r w:rsidRPr="000721A8">
                <w:rPr>
                  <w:sz w:val="28"/>
                  <w:szCs w:val="28"/>
                  <w:lang w:val="uk-UA" w:eastAsia="ru-RU"/>
                </w:rPr>
                <w:t>0.9 мм</w:t>
              </w:r>
            </w:smartTag>
            <w:r w:rsidRPr="000721A8">
              <w:rPr>
                <w:sz w:val="28"/>
                <w:szCs w:val="28"/>
                <w:lang w:val="uk-UA" w:eastAsia="ru-RU"/>
              </w:rPr>
              <w:t>) або бляшка</w:t>
            </w:r>
          </w:p>
        </w:tc>
      </w:tr>
      <w:tr w:rsidR="000721A8" w:rsidRPr="000721A8" w:rsidTr="000721A8">
        <w:tc>
          <w:tcPr>
            <w:tcW w:w="9526" w:type="dxa"/>
            <w:tcBorders>
              <w:top w:val="single" w:sz="4" w:space="0" w:color="auto"/>
              <w:left w:val="single" w:sz="4" w:space="0" w:color="auto"/>
              <w:bottom w:val="single" w:sz="4" w:space="0" w:color="auto"/>
              <w:right w:val="single" w:sz="4" w:space="0" w:color="auto"/>
            </w:tcBorders>
            <w:tcMar>
              <w:left w:w="0" w:type="dxa"/>
              <w:right w:w="28" w:type="dxa"/>
            </w:tcMar>
            <w:hideMark/>
          </w:tcPr>
          <w:p w:rsidR="000721A8" w:rsidRPr="000721A8" w:rsidRDefault="000721A8" w:rsidP="00FC1407">
            <w:pPr>
              <w:autoSpaceDE w:val="0"/>
              <w:autoSpaceDN w:val="0"/>
              <w:adjustRightInd w:val="0"/>
              <w:ind w:left="57" w:right="57"/>
              <w:jc w:val="both"/>
              <w:rPr>
                <w:sz w:val="28"/>
                <w:szCs w:val="28"/>
                <w:lang w:val="uk-UA" w:eastAsia="ru-RU"/>
              </w:rPr>
            </w:pPr>
            <w:r w:rsidRPr="000721A8">
              <w:rPr>
                <w:sz w:val="28"/>
                <w:szCs w:val="28"/>
                <w:lang w:val="uk-UA" w:eastAsia="ru-RU"/>
              </w:rPr>
              <w:t xml:space="preserve">Швидкість </w:t>
            </w:r>
            <w:proofErr w:type="spellStart"/>
            <w:r w:rsidRPr="000721A8">
              <w:rPr>
                <w:sz w:val="28"/>
                <w:szCs w:val="28"/>
                <w:lang w:val="uk-UA" w:eastAsia="ru-RU"/>
              </w:rPr>
              <w:t>каротидно-феморальної</w:t>
            </w:r>
            <w:proofErr w:type="spellEnd"/>
            <w:r w:rsidRPr="000721A8">
              <w:rPr>
                <w:sz w:val="28"/>
                <w:szCs w:val="28"/>
                <w:lang w:val="uk-UA" w:eastAsia="ru-RU"/>
              </w:rPr>
              <w:t xml:space="preserve"> пульсової хвилі &gt;10 м/</w:t>
            </w:r>
            <w:proofErr w:type="spellStart"/>
            <w:r w:rsidRPr="000721A8">
              <w:rPr>
                <w:sz w:val="28"/>
                <w:szCs w:val="28"/>
                <w:lang w:val="uk-UA" w:eastAsia="ru-RU"/>
              </w:rPr>
              <w:t>сек</w:t>
            </w:r>
            <w:proofErr w:type="spellEnd"/>
          </w:p>
        </w:tc>
      </w:tr>
      <w:tr w:rsidR="000721A8" w:rsidRPr="000721A8" w:rsidTr="000721A8">
        <w:tc>
          <w:tcPr>
            <w:tcW w:w="9526" w:type="dxa"/>
            <w:tcBorders>
              <w:top w:val="single" w:sz="4" w:space="0" w:color="auto"/>
              <w:left w:val="single" w:sz="4" w:space="0" w:color="auto"/>
              <w:bottom w:val="single" w:sz="4" w:space="0" w:color="auto"/>
              <w:right w:val="single" w:sz="4" w:space="0" w:color="auto"/>
            </w:tcBorders>
            <w:tcMar>
              <w:left w:w="0" w:type="dxa"/>
              <w:right w:w="28" w:type="dxa"/>
            </w:tcMar>
            <w:hideMark/>
          </w:tcPr>
          <w:p w:rsidR="000721A8" w:rsidRPr="000721A8" w:rsidRDefault="00C1238D" w:rsidP="00C1238D">
            <w:pPr>
              <w:autoSpaceDE w:val="0"/>
              <w:autoSpaceDN w:val="0"/>
              <w:adjustRightInd w:val="0"/>
              <w:ind w:left="57" w:right="57"/>
              <w:jc w:val="both"/>
              <w:rPr>
                <w:sz w:val="28"/>
                <w:szCs w:val="28"/>
                <w:lang w:val="uk-UA" w:eastAsia="ru-RU"/>
              </w:rPr>
            </w:pPr>
            <w:proofErr w:type="spellStart"/>
            <w:r w:rsidRPr="002F4F68">
              <w:rPr>
                <w:sz w:val="28"/>
                <w:szCs w:val="28"/>
                <w:lang w:val="uk-UA" w:eastAsia="ru-RU"/>
              </w:rPr>
              <w:t>Плечо</w:t>
            </w:r>
            <w:proofErr w:type="spellEnd"/>
            <w:r w:rsidRPr="002F4F68">
              <w:rPr>
                <w:sz w:val="28"/>
                <w:szCs w:val="28"/>
                <w:lang w:val="uk-UA" w:eastAsia="ru-RU"/>
              </w:rPr>
              <w:t>-гомілковий</w:t>
            </w:r>
            <w:r w:rsidR="000721A8" w:rsidRPr="002F4F68">
              <w:rPr>
                <w:sz w:val="28"/>
                <w:szCs w:val="28"/>
                <w:lang w:val="uk-UA" w:eastAsia="ru-RU"/>
              </w:rPr>
              <w:t xml:space="preserve"> індекс &lt;0.9</w:t>
            </w:r>
          </w:p>
        </w:tc>
      </w:tr>
      <w:tr w:rsidR="000721A8" w:rsidRPr="000721A8" w:rsidTr="000721A8">
        <w:tc>
          <w:tcPr>
            <w:tcW w:w="9526" w:type="dxa"/>
            <w:tcBorders>
              <w:top w:val="single" w:sz="4" w:space="0" w:color="auto"/>
              <w:left w:val="single" w:sz="4" w:space="0" w:color="auto"/>
              <w:bottom w:val="single" w:sz="4" w:space="0" w:color="auto"/>
              <w:right w:val="single" w:sz="4" w:space="0" w:color="auto"/>
            </w:tcBorders>
            <w:tcMar>
              <w:left w:w="0" w:type="dxa"/>
              <w:right w:w="28" w:type="dxa"/>
            </w:tcMar>
            <w:hideMark/>
          </w:tcPr>
          <w:p w:rsidR="000721A8" w:rsidRPr="000721A8" w:rsidRDefault="000721A8" w:rsidP="00C1238D">
            <w:pPr>
              <w:autoSpaceDE w:val="0"/>
              <w:autoSpaceDN w:val="0"/>
              <w:adjustRightInd w:val="0"/>
              <w:ind w:left="57" w:right="57"/>
              <w:jc w:val="both"/>
              <w:rPr>
                <w:sz w:val="28"/>
                <w:szCs w:val="28"/>
                <w:lang w:val="uk-UA" w:eastAsia="ru-RU"/>
              </w:rPr>
            </w:pPr>
            <w:r w:rsidRPr="000721A8">
              <w:rPr>
                <w:sz w:val="28"/>
                <w:szCs w:val="28"/>
                <w:lang w:val="uk-UA" w:eastAsia="ru-RU"/>
              </w:rPr>
              <w:t>Х</w:t>
            </w:r>
            <w:r w:rsidR="00C1238D">
              <w:rPr>
                <w:sz w:val="28"/>
                <w:szCs w:val="28"/>
                <w:lang w:val="uk-UA" w:eastAsia="ru-RU"/>
              </w:rPr>
              <w:t>ронічна хвороба нирок (ХХБ)</w:t>
            </w:r>
            <w:r w:rsidRPr="000721A8">
              <w:rPr>
                <w:sz w:val="28"/>
                <w:szCs w:val="28"/>
                <w:lang w:val="uk-UA" w:eastAsia="ru-RU"/>
              </w:rPr>
              <w:t xml:space="preserve"> с </w:t>
            </w:r>
            <w:proofErr w:type="spellStart"/>
            <w:r w:rsidRPr="000721A8">
              <w:rPr>
                <w:sz w:val="28"/>
                <w:szCs w:val="28"/>
                <w:lang w:val="uk-UA" w:eastAsia="ru-RU"/>
              </w:rPr>
              <w:t>рСКФ</w:t>
            </w:r>
            <w:proofErr w:type="spellEnd"/>
            <w:r w:rsidRPr="000721A8">
              <w:rPr>
                <w:sz w:val="28"/>
                <w:szCs w:val="28"/>
                <w:lang w:val="uk-UA" w:eastAsia="ru-RU"/>
              </w:rPr>
              <w:t xml:space="preserve"> 30–60 мл/хв/1.73 м</w:t>
            </w:r>
            <w:r w:rsidRPr="000721A8">
              <w:rPr>
                <w:sz w:val="28"/>
                <w:szCs w:val="28"/>
                <w:vertAlign w:val="superscript"/>
                <w:lang w:val="uk-UA" w:eastAsia="ru-RU"/>
              </w:rPr>
              <w:t>2</w:t>
            </w:r>
            <w:r w:rsidRPr="000721A8">
              <w:rPr>
                <w:sz w:val="28"/>
                <w:szCs w:val="28"/>
                <w:lang w:val="uk-UA" w:eastAsia="ru-RU"/>
              </w:rPr>
              <w:t xml:space="preserve"> (ППТ)</w:t>
            </w:r>
          </w:p>
        </w:tc>
      </w:tr>
      <w:tr w:rsidR="000721A8" w:rsidRPr="000721A8" w:rsidTr="000721A8">
        <w:tc>
          <w:tcPr>
            <w:tcW w:w="9526" w:type="dxa"/>
            <w:tcBorders>
              <w:top w:val="single" w:sz="4" w:space="0" w:color="auto"/>
              <w:left w:val="single" w:sz="4" w:space="0" w:color="auto"/>
              <w:bottom w:val="single" w:sz="4" w:space="0" w:color="auto"/>
              <w:right w:val="single" w:sz="4" w:space="0" w:color="auto"/>
            </w:tcBorders>
            <w:tcMar>
              <w:left w:w="0" w:type="dxa"/>
              <w:right w:w="28" w:type="dxa"/>
            </w:tcMar>
            <w:hideMark/>
          </w:tcPr>
          <w:p w:rsidR="000721A8" w:rsidRPr="000721A8" w:rsidRDefault="000721A8" w:rsidP="00FC1407">
            <w:pPr>
              <w:autoSpaceDE w:val="0"/>
              <w:autoSpaceDN w:val="0"/>
              <w:adjustRightInd w:val="0"/>
              <w:ind w:left="57" w:right="57"/>
              <w:jc w:val="both"/>
              <w:rPr>
                <w:sz w:val="28"/>
                <w:szCs w:val="28"/>
                <w:lang w:val="uk-UA" w:eastAsia="ru-RU"/>
              </w:rPr>
            </w:pPr>
            <w:proofErr w:type="spellStart"/>
            <w:r w:rsidRPr="000721A8">
              <w:rPr>
                <w:sz w:val="28"/>
                <w:szCs w:val="28"/>
                <w:lang w:val="uk-UA" w:eastAsia="ru-RU"/>
              </w:rPr>
              <w:t>Мікроальбумінурія</w:t>
            </w:r>
            <w:proofErr w:type="spellEnd"/>
            <w:r w:rsidRPr="000721A8">
              <w:rPr>
                <w:sz w:val="28"/>
                <w:szCs w:val="28"/>
                <w:lang w:val="uk-UA" w:eastAsia="ru-RU"/>
              </w:rPr>
              <w:t xml:space="preserve"> (30–300 мг/добу) або співвідношення альбуміну до креатиніну (30-300 мг/г; 3.4–34 мг/ммоль) (переважно у вранішній порції сечі)</w:t>
            </w:r>
          </w:p>
        </w:tc>
      </w:tr>
    </w:tbl>
    <w:p w:rsidR="000721A8" w:rsidRDefault="000721A8" w:rsidP="000721A8">
      <w:pPr>
        <w:autoSpaceDE w:val="0"/>
        <w:autoSpaceDN w:val="0"/>
        <w:adjustRightInd w:val="0"/>
        <w:spacing w:line="360" w:lineRule="auto"/>
        <w:ind w:left="57" w:right="57"/>
        <w:jc w:val="both"/>
        <w:rPr>
          <w:sz w:val="28"/>
          <w:szCs w:val="28"/>
          <w:lang w:val="uk-UA" w:eastAsia="ru-RU"/>
        </w:rPr>
      </w:pPr>
    </w:p>
    <w:p w:rsidR="00FC1407" w:rsidRDefault="00FC1407" w:rsidP="0094356E">
      <w:pPr>
        <w:autoSpaceDE w:val="0"/>
        <w:autoSpaceDN w:val="0"/>
        <w:adjustRightInd w:val="0"/>
        <w:spacing w:line="360" w:lineRule="auto"/>
        <w:ind w:right="57"/>
        <w:jc w:val="both"/>
        <w:rPr>
          <w:sz w:val="28"/>
          <w:szCs w:val="28"/>
          <w:lang w:val="uk-UA" w:eastAsia="ru-RU"/>
        </w:rPr>
      </w:pPr>
      <w:r w:rsidRPr="000721A8">
        <w:rPr>
          <w:sz w:val="28"/>
          <w:szCs w:val="28"/>
          <w:lang w:val="uk-UA" w:eastAsia="ru-RU"/>
        </w:rPr>
        <w:t>У зв'язку з важливістю безсимптомного ураження органів мішеней</w:t>
      </w:r>
      <w:r w:rsidR="002611CA">
        <w:rPr>
          <w:sz w:val="28"/>
          <w:szCs w:val="28"/>
          <w:lang w:val="uk-UA" w:eastAsia="ru-RU"/>
        </w:rPr>
        <w:t>,</w:t>
      </w:r>
      <w:r w:rsidRPr="000721A8">
        <w:rPr>
          <w:sz w:val="28"/>
          <w:szCs w:val="28"/>
          <w:lang w:val="uk-UA" w:eastAsia="ru-RU"/>
        </w:rPr>
        <w:t xml:space="preserve"> як проміжного етапу серцево-судинного континууму й детермінанти загального серцево-</w:t>
      </w:r>
      <w:r w:rsidRPr="000721A8">
        <w:rPr>
          <w:sz w:val="28"/>
          <w:szCs w:val="28"/>
          <w:lang w:val="uk-UA" w:eastAsia="ru-RU"/>
        </w:rPr>
        <w:lastRenderedPageBreak/>
        <w:t xml:space="preserve">судинного ризику, необхідно ретельно виявляти ознаки ураження органів, використовуючи, </w:t>
      </w:r>
      <w:r>
        <w:rPr>
          <w:sz w:val="28"/>
          <w:szCs w:val="28"/>
          <w:lang w:val="uk-UA" w:eastAsia="ru-RU"/>
        </w:rPr>
        <w:t xml:space="preserve">відповідні методики дослідження </w:t>
      </w:r>
      <w:r w:rsidR="00C1238D">
        <w:rPr>
          <w:sz w:val="28"/>
          <w:szCs w:val="28"/>
          <w:lang w:val="uk-UA" w:eastAsia="ru-RU"/>
        </w:rPr>
        <w:t xml:space="preserve">структурно-функціональних змін основних органів-мішеней - </w:t>
      </w:r>
      <w:r>
        <w:rPr>
          <w:sz w:val="28"/>
          <w:szCs w:val="28"/>
          <w:lang w:val="uk-UA" w:eastAsia="ru-RU"/>
        </w:rPr>
        <w:t xml:space="preserve">серця, кровоносних судин, нирок, головного мозку, очного </w:t>
      </w:r>
      <w:proofErr w:type="spellStart"/>
      <w:r>
        <w:rPr>
          <w:sz w:val="28"/>
          <w:szCs w:val="28"/>
          <w:lang w:val="uk-UA" w:eastAsia="ru-RU"/>
        </w:rPr>
        <w:t>дна</w:t>
      </w:r>
      <w:proofErr w:type="spellEnd"/>
      <w:r>
        <w:rPr>
          <w:sz w:val="28"/>
          <w:szCs w:val="28"/>
          <w:lang w:val="uk-UA" w:eastAsia="ru-RU"/>
        </w:rPr>
        <w:t>.</w:t>
      </w:r>
    </w:p>
    <w:p w:rsidR="000721A8" w:rsidRPr="000721A8" w:rsidRDefault="008E21D0" w:rsidP="0094356E">
      <w:pPr>
        <w:autoSpaceDE w:val="0"/>
        <w:autoSpaceDN w:val="0"/>
        <w:adjustRightInd w:val="0"/>
        <w:spacing w:line="360" w:lineRule="auto"/>
        <w:ind w:right="57"/>
        <w:jc w:val="both"/>
        <w:outlineLvl w:val="0"/>
        <w:rPr>
          <w:b/>
          <w:i/>
          <w:sz w:val="28"/>
          <w:szCs w:val="28"/>
          <w:lang w:val="uk-UA" w:eastAsia="ru-RU"/>
        </w:rPr>
      </w:pPr>
      <w:r>
        <w:rPr>
          <w:b/>
          <w:sz w:val="28"/>
          <w:szCs w:val="28"/>
          <w:lang w:val="uk-UA" w:eastAsia="ru-RU"/>
        </w:rPr>
        <w:t xml:space="preserve">Для діагностики безсимптомного ураження серця при АГ використовують електрокардіографію та </w:t>
      </w:r>
      <w:proofErr w:type="spellStart"/>
      <w:r>
        <w:rPr>
          <w:b/>
          <w:sz w:val="28"/>
          <w:szCs w:val="28"/>
          <w:lang w:val="uk-UA" w:eastAsia="ru-RU"/>
        </w:rPr>
        <w:t>ехокардіографію</w:t>
      </w:r>
      <w:proofErr w:type="spellEnd"/>
      <w:r>
        <w:rPr>
          <w:b/>
          <w:sz w:val="28"/>
          <w:szCs w:val="28"/>
          <w:lang w:val="uk-UA" w:eastAsia="ru-RU"/>
        </w:rPr>
        <w:t xml:space="preserve"> з тканинною </w:t>
      </w:r>
      <w:proofErr w:type="spellStart"/>
      <w:r>
        <w:rPr>
          <w:b/>
          <w:sz w:val="28"/>
          <w:szCs w:val="28"/>
          <w:lang w:val="uk-UA" w:eastAsia="ru-RU"/>
        </w:rPr>
        <w:t>доплерометрією</w:t>
      </w:r>
      <w:proofErr w:type="spellEnd"/>
      <w:r>
        <w:rPr>
          <w:b/>
          <w:sz w:val="28"/>
          <w:szCs w:val="28"/>
          <w:lang w:val="uk-UA" w:eastAsia="ru-RU"/>
        </w:rPr>
        <w:t>.</w:t>
      </w:r>
    </w:p>
    <w:p w:rsidR="000721A8" w:rsidRPr="000721A8" w:rsidRDefault="000721A8" w:rsidP="0094356E">
      <w:pPr>
        <w:autoSpaceDE w:val="0"/>
        <w:autoSpaceDN w:val="0"/>
        <w:adjustRightInd w:val="0"/>
        <w:spacing w:line="360" w:lineRule="auto"/>
        <w:jc w:val="both"/>
        <w:rPr>
          <w:sz w:val="28"/>
          <w:szCs w:val="28"/>
          <w:lang w:val="uk-UA" w:eastAsia="ru-RU"/>
        </w:rPr>
      </w:pPr>
      <w:r w:rsidRPr="008E21D0">
        <w:rPr>
          <w:b/>
          <w:i/>
          <w:sz w:val="28"/>
          <w:szCs w:val="28"/>
          <w:lang w:val="uk-UA" w:eastAsia="ru-RU"/>
        </w:rPr>
        <w:t>Електрокардіографія (ЕКГ) в</w:t>
      </w:r>
      <w:r w:rsidRPr="000721A8">
        <w:rPr>
          <w:sz w:val="28"/>
          <w:szCs w:val="28"/>
          <w:lang w:val="uk-UA" w:eastAsia="ru-RU"/>
        </w:rPr>
        <w:t xml:space="preserve"> 12 </w:t>
      </w:r>
      <w:r w:rsidR="00C1238D" w:rsidRPr="000721A8">
        <w:rPr>
          <w:sz w:val="28"/>
          <w:szCs w:val="28"/>
          <w:lang w:val="uk-UA" w:eastAsia="ru-RU"/>
        </w:rPr>
        <w:t>підведеннях</w:t>
      </w:r>
      <w:r w:rsidRPr="000721A8">
        <w:rPr>
          <w:sz w:val="28"/>
          <w:szCs w:val="28"/>
          <w:lang w:val="uk-UA" w:eastAsia="ru-RU"/>
        </w:rPr>
        <w:t xml:space="preserve"> повинна бути частиною рутинного обстеження всіх хворих АГ. Реєстрація ЕКГ має значення, як мінімум, у пацієнтів старше 55 років. За допомогою ЕКГ можна виявити пацієнтів з ознаками</w:t>
      </w:r>
      <w:r w:rsidR="00FC1407">
        <w:rPr>
          <w:sz w:val="28"/>
          <w:szCs w:val="28"/>
          <w:lang w:val="uk-UA" w:eastAsia="ru-RU"/>
        </w:rPr>
        <w:t>:</w:t>
      </w:r>
      <w:r w:rsidRPr="000721A8">
        <w:rPr>
          <w:sz w:val="28"/>
          <w:szCs w:val="28"/>
          <w:lang w:val="uk-UA" w:eastAsia="ru-RU"/>
        </w:rPr>
        <w:t xml:space="preserve"> гіпертрофії лівого шлуночка (ГЛШ) (є незалежним </w:t>
      </w:r>
      <w:proofErr w:type="spellStart"/>
      <w:r w:rsidRPr="000721A8">
        <w:rPr>
          <w:sz w:val="28"/>
          <w:szCs w:val="28"/>
          <w:lang w:val="uk-UA" w:eastAsia="ru-RU"/>
        </w:rPr>
        <w:t>предиктором</w:t>
      </w:r>
      <w:proofErr w:type="spellEnd"/>
      <w:r w:rsidRPr="000721A8">
        <w:rPr>
          <w:sz w:val="28"/>
          <w:szCs w:val="28"/>
          <w:lang w:val="uk-UA" w:eastAsia="ru-RU"/>
        </w:rPr>
        <w:t xml:space="preserve"> серцево-судинних подій),</w:t>
      </w:r>
      <w:r w:rsidR="00FC1407">
        <w:rPr>
          <w:sz w:val="28"/>
          <w:szCs w:val="28"/>
          <w:lang w:val="uk-UA" w:eastAsia="ru-RU"/>
        </w:rPr>
        <w:t xml:space="preserve"> </w:t>
      </w:r>
      <w:r w:rsidRPr="000721A8">
        <w:rPr>
          <w:sz w:val="28"/>
          <w:szCs w:val="28"/>
          <w:lang w:val="uk-UA" w:eastAsia="ru-RU"/>
        </w:rPr>
        <w:t>перевантаження лівого шлуночка,</w:t>
      </w:r>
      <w:r w:rsidR="00FC1407">
        <w:rPr>
          <w:sz w:val="28"/>
          <w:szCs w:val="28"/>
          <w:lang w:val="uk-UA" w:eastAsia="ru-RU"/>
        </w:rPr>
        <w:t xml:space="preserve"> </w:t>
      </w:r>
      <w:proofErr w:type="spellStart"/>
      <w:r w:rsidR="00FC1407">
        <w:rPr>
          <w:sz w:val="28"/>
          <w:szCs w:val="28"/>
          <w:lang w:val="uk-UA" w:eastAsia="ru-RU"/>
        </w:rPr>
        <w:t>безсимтомних</w:t>
      </w:r>
      <w:proofErr w:type="spellEnd"/>
      <w:r w:rsidR="00FC1407">
        <w:rPr>
          <w:sz w:val="28"/>
          <w:szCs w:val="28"/>
          <w:lang w:val="uk-UA" w:eastAsia="ru-RU"/>
        </w:rPr>
        <w:t xml:space="preserve"> </w:t>
      </w:r>
      <w:r w:rsidRPr="000721A8">
        <w:rPr>
          <w:sz w:val="28"/>
          <w:szCs w:val="28"/>
          <w:lang w:val="uk-UA" w:eastAsia="ru-RU"/>
        </w:rPr>
        <w:t>ішемі</w:t>
      </w:r>
      <w:r w:rsidR="00FC1407">
        <w:rPr>
          <w:sz w:val="28"/>
          <w:szCs w:val="28"/>
          <w:lang w:val="uk-UA" w:eastAsia="ru-RU"/>
        </w:rPr>
        <w:t>чних епізодів</w:t>
      </w:r>
      <w:r w:rsidRPr="000721A8">
        <w:rPr>
          <w:sz w:val="28"/>
          <w:szCs w:val="28"/>
          <w:lang w:val="uk-UA" w:eastAsia="ru-RU"/>
        </w:rPr>
        <w:t xml:space="preserve">, </w:t>
      </w:r>
      <w:r w:rsidR="00DA048C" w:rsidRPr="000721A8">
        <w:rPr>
          <w:sz w:val="28"/>
          <w:szCs w:val="28"/>
          <w:lang w:val="uk-UA" w:eastAsia="ru-RU"/>
        </w:rPr>
        <w:t>порушень</w:t>
      </w:r>
      <w:r w:rsidRPr="000721A8">
        <w:rPr>
          <w:sz w:val="28"/>
          <w:szCs w:val="28"/>
          <w:lang w:val="uk-UA" w:eastAsia="ru-RU"/>
        </w:rPr>
        <w:t xml:space="preserve"> провідності, дилатаці</w:t>
      </w:r>
      <w:r w:rsidR="00FC1407">
        <w:rPr>
          <w:sz w:val="28"/>
          <w:szCs w:val="28"/>
          <w:lang w:val="uk-UA" w:eastAsia="ru-RU"/>
        </w:rPr>
        <w:t>ї</w:t>
      </w:r>
      <w:r w:rsidRPr="000721A8">
        <w:rPr>
          <w:sz w:val="28"/>
          <w:szCs w:val="28"/>
          <w:lang w:val="uk-UA" w:eastAsia="ru-RU"/>
        </w:rPr>
        <w:t xml:space="preserve"> лівого передсердя й аритміями</w:t>
      </w:r>
      <w:r w:rsidR="00FC1407">
        <w:rPr>
          <w:sz w:val="28"/>
          <w:szCs w:val="28"/>
          <w:lang w:val="uk-UA" w:eastAsia="ru-RU"/>
        </w:rPr>
        <w:t xml:space="preserve"> (</w:t>
      </w:r>
      <w:r w:rsidRPr="000721A8">
        <w:rPr>
          <w:sz w:val="28"/>
          <w:szCs w:val="28"/>
          <w:lang w:val="uk-UA" w:eastAsia="ru-RU"/>
        </w:rPr>
        <w:t>в</w:t>
      </w:r>
      <w:r w:rsidR="00FC1407">
        <w:rPr>
          <w:sz w:val="28"/>
          <w:szCs w:val="28"/>
          <w:lang w:val="uk-UA" w:eastAsia="ru-RU"/>
        </w:rPr>
        <w:t xml:space="preserve"> тому числі,</w:t>
      </w:r>
      <w:r w:rsidRPr="000721A8">
        <w:rPr>
          <w:sz w:val="28"/>
          <w:szCs w:val="28"/>
          <w:lang w:val="uk-UA" w:eastAsia="ru-RU"/>
        </w:rPr>
        <w:t xml:space="preserve"> </w:t>
      </w:r>
      <w:r w:rsidR="00DA048C" w:rsidRPr="000721A8">
        <w:rPr>
          <w:sz w:val="28"/>
          <w:szCs w:val="28"/>
          <w:lang w:val="uk-UA" w:eastAsia="ru-RU"/>
        </w:rPr>
        <w:t>фібриляцію</w:t>
      </w:r>
      <w:r w:rsidRPr="000721A8">
        <w:rPr>
          <w:sz w:val="28"/>
          <w:szCs w:val="28"/>
          <w:lang w:val="uk-UA" w:eastAsia="ru-RU"/>
        </w:rPr>
        <w:t xml:space="preserve"> передсердь</w:t>
      </w:r>
      <w:r w:rsidR="00FC1407">
        <w:rPr>
          <w:sz w:val="28"/>
          <w:szCs w:val="28"/>
          <w:lang w:val="uk-UA" w:eastAsia="ru-RU"/>
        </w:rPr>
        <w:t>)</w:t>
      </w:r>
      <w:r w:rsidRPr="000721A8">
        <w:rPr>
          <w:sz w:val="28"/>
          <w:szCs w:val="28"/>
          <w:lang w:val="uk-UA" w:eastAsia="ru-RU"/>
        </w:rPr>
        <w:t xml:space="preserve">. Добове </w:t>
      </w:r>
      <w:proofErr w:type="spellStart"/>
      <w:r w:rsidRPr="000721A8">
        <w:rPr>
          <w:sz w:val="28"/>
          <w:szCs w:val="28"/>
          <w:lang w:val="uk-UA" w:eastAsia="ru-RU"/>
        </w:rPr>
        <w:t>моніторування</w:t>
      </w:r>
      <w:proofErr w:type="spellEnd"/>
      <w:r w:rsidRPr="000721A8">
        <w:rPr>
          <w:sz w:val="28"/>
          <w:szCs w:val="28"/>
          <w:lang w:val="uk-UA" w:eastAsia="ru-RU"/>
        </w:rPr>
        <w:t xml:space="preserve"> ЕКГ по </w:t>
      </w:r>
      <w:proofErr w:type="spellStart"/>
      <w:r w:rsidRPr="000721A8">
        <w:rPr>
          <w:sz w:val="28"/>
          <w:szCs w:val="28"/>
          <w:lang w:val="uk-UA" w:eastAsia="ru-RU"/>
        </w:rPr>
        <w:t>Холтеру</w:t>
      </w:r>
      <w:proofErr w:type="spellEnd"/>
      <w:r w:rsidRPr="000721A8">
        <w:rPr>
          <w:sz w:val="28"/>
          <w:szCs w:val="28"/>
          <w:lang w:val="uk-UA" w:eastAsia="ru-RU"/>
        </w:rPr>
        <w:t xml:space="preserve"> показане при підозрі на аритмію й можливі епізоди ішемії міокарда. </w:t>
      </w:r>
      <w:r w:rsidR="00C1238D">
        <w:rPr>
          <w:sz w:val="28"/>
          <w:szCs w:val="28"/>
          <w:lang w:val="uk-UA" w:eastAsia="ru-RU"/>
        </w:rPr>
        <w:t>Окрема увага приділяється ранній діагностиці фібриляції</w:t>
      </w:r>
      <w:r w:rsidRPr="000721A8">
        <w:rPr>
          <w:sz w:val="28"/>
          <w:szCs w:val="28"/>
          <w:lang w:val="uk-UA" w:eastAsia="ru-RU"/>
        </w:rPr>
        <w:t xml:space="preserve"> передсердь</w:t>
      </w:r>
      <w:r w:rsidR="00C1238D">
        <w:rPr>
          <w:sz w:val="28"/>
          <w:szCs w:val="28"/>
          <w:lang w:val="uk-UA" w:eastAsia="ru-RU"/>
        </w:rPr>
        <w:t>, що пов’язано з тим,</w:t>
      </w:r>
      <w:r w:rsidRPr="000721A8">
        <w:rPr>
          <w:sz w:val="28"/>
          <w:szCs w:val="28"/>
          <w:lang w:val="uk-UA" w:eastAsia="ru-RU"/>
        </w:rPr>
        <w:t xml:space="preserve"> </w:t>
      </w:r>
      <w:r w:rsidR="00C1238D">
        <w:rPr>
          <w:sz w:val="28"/>
          <w:szCs w:val="28"/>
          <w:lang w:val="uk-UA" w:eastAsia="ru-RU"/>
        </w:rPr>
        <w:t xml:space="preserve">що це </w:t>
      </w:r>
      <w:r w:rsidRPr="000721A8">
        <w:rPr>
          <w:sz w:val="28"/>
          <w:szCs w:val="28"/>
          <w:lang w:val="uk-UA" w:eastAsia="ru-RU"/>
        </w:rPr>
        <w:t>розповсюджена причина серцево-судинних ускладнень, особливо інсульту, у хворих</w:t>
      </w:r>
      <w:r w:rsidR="00C1238D">
        <w:rPr>
          <w:sz w:val="28"/>
          <w:szCs w:val="28"/>
          <w:lang w:val="uk-UA" w:eastAsia="ru-RU"/>
        </w:rPr>
        <w:t xml:space="preserve"> АГ, тому раннє виявлення фібри</w:t>
      </w:r>
      <w:r w:rsidRPr="000721A8">
        <w:rPr>
          <w:sz w:val="28"/>
          <w:szCs w:val="28"/>
          <w:lang w:val="uk-UA" w:eastAsia="ru-RU"/>
        </w:rPr>
        <w:t xml:space="preserve">ляції передсердь могло б сприяти профілактиці інсультів за рахунок призначення </w:t>
      </w:r>
      <w:proofErr w:type="spellStart"/>
      <w:r w:rsidRPr="000721A8">
        <w:rPr>
          <w:sz w:val="28"/>
          <w:szCs w:val="28"/>
          <w:lang w:val="uk-UA" w:eastAsia="ru-RU"/>
        </w:rPr>
        <w:t>антикоагулянтній</w:t>
      </w:r>
      <w:proofErr w:type="spellEnd"/>
      <w:r w:rsidRPr="000721A8">
        <w:rPr>
          <w:sz w:val="28"/>
          <w:szCs w:val="28"/>
          <w:lang w:val="uk-UA" w:eastAsia="ru-RU"/>
        </w:rPr>
        <w:t xml:space="preserve"> терапії</w:t>
      </w:r>
      <w:r w:rsidR="00C1238D">
        <w:rPr>
          <w:sz w:val="28"/>
          <w:szCs w:val="28"/>
          <w:lang w:val="uk-UA" w:eastAsia="ru-RU"/>
        </w:rPr>
        <w:t xml:space="preserve"> з метою попередження серцево-судинних ускладнень</w:t>
      </w:r>
      <w:r w:rsidRPr="000721A8">
        <w:rPr>
          <w:sz w:val="28"/>
          <w:szCs w:val="28"/>
          <w:lang w:val="uk-UA" w:eastAsia="ru-RU"/>
        </w:rPr>
        <w:t>.</w:t>
      </w:r>
    </w:p>
    <w:p w:rsidR="00C1238D" w:rsidRDefault="00C1238D" w:rsidP="0094356E">
      <w:pPr>
        <w:autoSpaceDE w:val="0"/>
        <w:autoSpaceDN w:val="0"/>
        <w:adjustRightInd w:val="0"/>
        <w:spacing w:line="360" w:lineRule="auto"/>
        <w:jc w:val="both"/>
        <w:rPr>
          <w:rFonts w:eastAsia="FreeSetLightC"/>
          <w:sz w:val="28"/>
          <w:szCs w:val="28"/>
          <w:lang w:val="uk-UA" w:eastAsia="ru-RU"/>
        </w:rPr>
      </w:pPr>
      <w:proofErr w:type="spellStart"/>
      <w:r w:rsidRPr="008E21D0">
        <w:rPr>
          <w:b/>
          <w:i/>
          <w:sz w:val="28"/>
          <w:szCs w:val="28"/>
          <w:lang w:val="uk-UA" w:eastAsia="ru-RU"/>
        </w:rPr>
        <w:t>Ехокардіографія</w:t>
      </w:r>
      <w:proofErr w:type="spellEnd"/>
      <w:r w:rsidRPr="008E21D0">
        <w:rPr>
          <w:b/>
          <w:i/>
          <w:sz w:val="28"/>
          <w:szCs w:val="28"/>
          <w:lang w:val="uk-UA" w:eastAsia="ru-RU"/>
        </w:rPr>
        <w:t xml:space="preserve"> (</w:t>
      </w:r>
      <w:proofErr w:type="spellStart"/>
      <w:r w:rsidRPr="008E21D0">
        <w:rPr>
          <w:b/>
          <w:i/>
          <w:sz w:val="28"/>
          <w:szCs w:val="28"/>
          <w:lang w:val="uk-UA" w:eastAsia="ru-RU"/>
        </w:rPr>
        <w:t>ехоКГ</w:t>
      </w:r>
      <w:proofErr w:type="spellEnd"/>
      <w:r w:rsidRPr="008E21D0">
        <w:rPr>
          <w:b/>
          <w:i/>
          <w:sz w:val="28"/>
          <w:szCs w:val="28"/>
          <w:lang w:val="uk-UA" w:eastAsia="ru-RU"/>
        </w:rPr>
        <w:t xml:space="preserve">) </w:t>
      </w:r>
      <w:r>
        <w:rPr>
          <w:sz w:val="28"/>
          <w:szCs w:val="28"/>
          <w:lang w:val="uk-UA" w:eastAsia="ru-RU"/>
        </w:rPr>
        <w:t xml:space="preserve">з технічної точки зору </w:t>
      </w:r>
      <w:r w:rsidR="000721A8" w:rsidRPr="000721A8">
        <w:rPr>
          <w:sz w:val="28"/>
          <w:szCs w:val="28"/>
          <w:lang w:val="uk-UA" w:eastAsia="ru-RU"/>
        </w:rPr>
        <w:t xml:space="preserve">не позбавлена певних </w:t>
      </w:r>
      <w:r>
        <w:rPr>
          <w:sz w:val="28"/>
          <w:szCs w:val="28"/>
          <w:lang w:val="uk-UA" w:eastAsia="ru-RU"/>
        </w:rPr>
        <w:t>труднощів</w:t>
      </w:r>
      <w:r w:rsidR="000721A8" w:rsidRPr="000721A8">
        <w:rPr>
          <w:sz w:val="28"/>
          <w:szCs w:val="28"/>
          <w:lang w:val="uk-UA" w:eastAsia="ru-RU"/>
        </w:rPr>
        <w:t xml:space="preserve">, </w:t>
      </w:r>
      <w:r>
        <w:rPr>
          <w:sz w:val="28"/>
          <w:szCs w:val="28"/>
          <w:lang w:val="uk-UA" w:eastAsia="ru-RU"/>
        </w:rPr>
        <w:t>але дана інструментальна методика</w:t>
      </w:r>
      <w:r w:rsidR="000721A8" w:rsidRPr="000721A8">
        <w:rPr>
          <w:sz w:val="28"/>
          <w:szCs w:val="28"/>
          <w:lang w:val="uk-UA" w:eastAsia="ru-RU"/>
        </w:rPr>
        <w:t xml:space="preserve"> більш чутлива, ніж ЕКГ, у діагностиці ГЛШ і допомагає уточнити серцево-судинний і нирковий ризик. </w:t>
      </w:r>
      <w:proofErr w:type="spellStart"/>
      <w:r>
        <w:rPr>
          <w:sz w:val="28"/>
          <w:szCs w:val="28"/>
          <w:lang w:val="uk-UA" w:eastAsia="ru-RU"/>
        </w:rPr>
        <w:t>ЕхоКГ</w:t>
      </w:r>
      <w:proofErr w:type="spellEnd"/>
      <w:r w:rsidR="000721A8" w:rsidRPr="000721A8">
        <w:rPr>
          <w:sz w:val="28"/>
          <w:szCs w:val="28"/>
          <w:lang w:val="uk-UA" w:eastAsia="ru-RU"/>
        </w:rPr>
        <w:t xml:space="preserve"> дозволяє точніше стратифікувати загальний ризик і </w:t>
      </w:r>
      <w:r w:rsidR="002611CA">
        <w:rPr>
          <w:sz w:val="28"/>
          <w:szCs w:val="28"/>
          <w:lang w:val="uk-UA" w:eastAsia="ru-RU"/>
        </w:rPr>
        <w:t>о</w:t>
      </w:r>
      <w:r w:rsidR="000721A8" w:rsidRPr="000721A8">
        <w:rPr>
          <w:sz w:val="28"/>
          <w:szCs w:val="28"/>
          <w:lang w:val="uk-UA" w:eastAsia="ru-RU"/>
        </w:rPr>
        <w:t xml:space="preserve">брати схему лікування. Адекватне дослідження лівого шлуночка у хворих АГ містить вимір товщини задньої стінки лівого шлуночка, </w:t>
      </w:r>
      <w:proofErr w:type="spellStart"/>
      <w:r w:rsidR="000721A8" w:rsidRPr="000721A8">
        <w:rPr>
          <w:sz w:val="28"/>
          <w:szCs w:val="28"/>
          <w:lang w:val="uk-UA" w:eastAsia="ru-RU"/>
        </w:rPr>
        <w:t>міжшлуночкової</w:t>
      </w:r>
      <w:proofErr w:type="spellEnd"/>
      <w:r w:rsidR="000721A8" w:rsidRPr="000721A8">
        <w:rPr>
          <w:sz w:val="28"/>
          <w:szCs w:val="28"/>
          <w:lang w:val="uk-UA" w:eastAsia="ru-RU"/>
        </w:rPr>
        <w:t xml:space="preserve"> перегородки, кінцевого </w:t>
      </w:r>
      <w:proofErr w:type="spellStart"/>
      <w:r w:rsidR="000721A8" w:rsidRPr="000721A8">
        <w:rPr>
          <w:sz w:val="28"/>
          <w:szCs w:val="28"/>
          <w:lang w:val="uk-UA" w:eastAsia="ru-RU"/>
        </w:rPr>
        <w:t>діастолічного</w:t>
      </w:r>
      <w:proofErr w:type="spellEnd"/>
      <w:r w:rsidR="000721A8" w:rsidRPr="000721A8">
        <w:rPr>
          <w:sz w:val="28"/>
          <w:szCs w:val="28"/>
          <w:lang w:val="uk-UA" w:eastAsia="ru-RU"/>
        </w:rPr>
        <w:t xml:space="preserve"> розміру лівого шлуночка.</w:t>
      </w:r>
      <w:r w:rsidR="000721A8" w:rsidRPr="000721A8">
        <w:rPr>
          <w:rFonts w:eastAsia="FreeSetLightC"/>
          <w:sz w:val="28"/>
          <w:szCs w:val="28"/>
          <w:lang w:val="uk-UA" w:eastAsia="ru-RU"/>
        </w:rPr>
        <w:t xml:space="preserve"> Визначення індексу маси лівого шлуночка (МЛШ) з поправкою на розміри тіла дозволяє виявити ГЛШ, а розрахунки відносної товщини стінки або співвідношення товщини стінки до радіуса характеризує геометрію шлуночка (концентрична або ексцентрична гіпертрофія).</w:t>
      </w:r>
    </w:p>
    <w:p w:rsidR="000721A8" w:rsidRPr="000721A8" w:rsidRDefault="000721A8" w:rsidP="0094356E">
      <w:pPr>
        <w:autoSpaceDE w:val="0"/>
        <w:autoSpaceDN w:val="0"/>
        <w:adjustRightInd w:val="0"/>
        <w:spacing w:line="360" w:lineRule="auto"/>
        <w:jc w:val="both"/>
        <w:rPr>
          <w:sz w:val="28"/>
          <w:szCs w:val="28"/>
          <w:lang w:val="uk-UA" w:eastAsia="ru-RU"/>
        </w:rPr>
      </w:pPr>
      <w:r w:rsidRPr="000721A8">
        <w:rPr>
          <w:sz w:val="28"/>
          <w:szCs w:val="28"/>
          <w:lang w:val="uk-UA" w:eastAsia="ru-RU"/>
        </w:rPr>
        <w:lastRenderedPageBreak/>
        <w:t>АГ супроводжується порушенням процесів розслаблення й наповнення лівого шлуночка</w:t>
      </w:r>
      <w:r w:rsidR="002501B3">
        <w:rPr>
          <w:sz w:val="28"/>
          <w:szCs w:val="28"/>
          <w:lang w:val="uk-UA" w:eastAsia="ru-RU"/>
        </w:rPr>
        <w:t xml:space="preserve"> (</w:t>
      </w:r>
      <w:proofErr w:type="spellStart"/>
      <w:r w:rsidRPr="000721A8">
        <w:rPr>
          <w:sz w:val="28"/>
          <w:szCs w:val="28"/>
          <w:lang w:val="uk-UA" w:eastAsia="ru-RU"/>
        </w:rPr>
        <w:t>діастолічна</w:t>
      </w:r>
      <w:proofErr w:type="spellEnd"/>
      <w:r w:rsidRPr="000721A8">
        <w:rPr>
          <w:sz w:val="28"/>
          <w:szCs w:val="28"/>
          <w:lang w:val="uk-UA" w:eastAsia="ru-RU"/>
        </w:rPr>
        <w:t xml:space="preserve"> </w:t>
      </w:r>
      <w:proofErr w:type="spellStart"/>
      <w:r w:rsidRPr="000721A8">
        <w:rPr>
          <w:sz w:val="28"/>
          <w:szCs w:val="28"/>
          <w:lang w:val="uk-UA" w:eastAsia="ru-RU"/>
        </w:rPr>
        <w:t>дисфункція</w:t>
      </w:r>
      <w:proofErr w:type="spellEnd"/>
      <w:r w:rsidR="002501B3">
        <w:rPr>
          <w:sz w:val="28"/>
          <w:szCs w:val="28"/>
          <w:lang w:val="uk-UA" w:eastAsia="ru-RU"/>
        </w:rPr>
        <w:t>).</w:t>
      </w:r>
      <w:r w:rsidRPr="000721A8">
        <w:rPr>
          <w:sz w:val="28"/>
          <w:szCs w:val="28"/>
          <w:lang w:val="uk-UA" w:eastAsia="ru-RU"/>
        </w:rPr>
        <w:t xml:space="preserve"> Викликана АГ </w:t>
      </w:r>
      <w:proofErr w:type="spellStart"/>
      <w:r w:rsidRPr="000721A8">
        <w:rPr>
          <w:sz w:val="28"/>
          <w:szCs w:val="28"/>
          <w:lang w:val="uk-UA" w:eastAsia="ru-RU"/>
        </w:rPr>
        <w:t>діастолічна</w:t>
      </w:r>
      <w:proofErr w:type="spellEnd"/>
      <w:r w:rsidRPr="000721A8">
        <w:rPr>
          <w:sz w:val="28"/>
          <w:szCs w:val="28"/>
          <w:lang w:val="uk-UA" w:eastAsia="ru-RU"/>
        </w:rPr>
        <w:t xml:space="preserve"> </w:t>
      </w:r>
      <w:proofErr w:type="spellStart"/>
      <w:r w:rsidRPr="000721A8">
        <w:rPr>
          <w:sz w:val="28"/>
          <w:szCs w:val="28"/>
          <w:lang w:val="uk-UA" w:eastAsia="ru-RU"/>
        </w:rPr>
        <w:t>дисфункція</w:t>
      </w:r>
      <w:proofErr w:type="spellEnd"/>
      <w:r w:rsidR="002611CA">
        <w:rPr>
          <w:sz w:val="28"/>
          <w:szCs w:val="28"/>
          <w:lang w:val="uk-UA" w:eastAsia="ru-RU"/>
        </w:rPr>
        <w:t>,</w:t>
      </w:r>
      <w:r w:rsidRPr="000721A8">
        <w:rPr>
          <w:sz w:val="28"/>
          <w:szCs w:val="28"/>
          <w:lang w:val="uk-UA" w:eastAsia="ru-RU"/>
        </w:rPr>
        <w:t xml:space="preserve"> асоційована з концентричною гіпертрофією й сама по собі може індукувати появу симптомів і ознак серцевої недостатності, навіть при все ще нормальній фракції </w:t>
      </w:r>
      <w:r w:rsidRPr="00864E13">
        <w:rPr>
          <w:sz w:val="28"/>
          <w:szCs w:val="28"/>
          <w:lang w:val="uk-UA" w:eastAsia="ru-RU"/>
        </w:rPr>
        <w:t>викиду (ФВ) (серцева недостатність із збереженою фракцією викиду).</w:t>
      </w:r>
      <w:r w:rsidR="002611CA">
        <w:rPr>
          <w:sz w:val="28"/>
          <w:szCs w:val="28"/>
          <w:lang w:val="uk-UA" w:eastAsia="ru-RU"/>
        </w:rPr>
        <w:t xml:space="preserve"> Наявність</w:t>
      </w:r>
      <w:r w:rsidRPr="00864E13">
        <w:rPr>
          <w:sz w:val="28"/>
          <w:szCs w:val="28"/>
          <w:lang w:val="uk-UA" w:eastAsia="ru-RU"/>
        </w:rPr>
        <w:t xml:space="preserve"> </w:t>
      </w:r>
      <w:proofErr w:type="spellStart"/>
      <w:r w:rsidR="002611CA">
        <w:rPr>
          <w:sz w:val="28"/>
          <w:szCs w:val="28"/>
          <w:lang w:val="uk-UA" w:eastAsia="ru-RU"/>
        </w:rPr>
        <w:t>д</w:t>
      </w:r>
      <w:r w:rsidR="002501B3" w:rsidRPr="00864E13">
        <w:rPr>
          <w:sz w:val="28"/>
          <w:szCs w:val="28"/>
          <w:lang w:val="uk-UA" w:eastAsia="ru-RU"/>
        </w:rPr>
        <w:t>іастолічн</w:t>
      </w:r>
      <w:r w:rsidR="002611CA">
        <w:rPr>
          <w:sz w:val="28"/>
          <w:szCs w:val="28"/>
          <w:lang w:val="uk-UA" w:eastAsia="ru-RU"/>
        </w:rPr>
        <w:t>ої</w:t>
      </w:r>
      <w:proofErr w:type="spellEnd"/>
      <w:r w:rsidR="002501B3" w:rsidRPr="00864E13">
        <w:rPr>
          <w:sz w:val="28"/>
          <w:szCs w:val="28"/>
          <w:lang w:val="uk-UA" w:eastAsia="ru-RU"/>
        </w:rPr>
        <w:t xml:space="preserve"> </w:t>
      </w:r>
      <w:proofErr w:type="spellStart"/>
      <w:r w:rsidR="002501B3" w:rsidRPr="00864E13">
        <w:rPr>
          <w:sz w:val="28"/>
          <w:szCs w:val="28"/>
          <w:lang w:val="uk-UA" w:eastAsia="ru-RU"/>
        </w:rPr>
        <w:t>дис</w:t>
      </w:r>
      <w:r w:rsidR="002611CA">
        <w:rPr>
          <w:sz w:val="28"/>
          <w:szCs w:val="28"/>
          <w:lang w:val="uk-UA" w:eastAsia="ru-RU"/>
        </w:rPr>
        <w:t>функції</w:t>
      </w:r>
      <w:proofErr w:type="spellEnd"/>
      <w:r w:rsidR="002501B3" w:rsidRPr="00864E13">
        <w:rPr>
          <w:sz w:val="28"/>
          <w:szCs w:val="28"/>
          <w:lang w:val="uk-UA" w:eastAsia="ru-RU"/>
        </w:rPr>
        <w:t xml:space="preserve"> можливо встановити </w:t>
      </w:r>
      <w:r w:rsidR="00864E13" w:rsidRPr="00864E13">
        <w:rPr>
          <w:sz w:val="28"/>
          <w:szCs w:val="28"/>
          <w:lang w:val="uk-UA" w:eastAsia="ru-RU"/>
        </w:rPr>
        <w:t>лише</w:t>
      </w:r>
      <w:r w:rsidR="002501B3" w:rsidRPr="00864E13">
        <w:rPr>
          <w:sz w:val="28"/>
          <w:szCs w:val="28"/>
          <w:lang w:val="uk-UA" w:eastAsia="ru-RU"/>
        </w:rPr>
        <w:t xml:space="preserve"> за допомогою </w:t>
      </w:r>
      <w:proofErr w:type="spellStart"/>
      <w:r w:rsidR="002501B3" w:rsidRPr="00864E13">
        <w:rPr>
          <w:sz w:val="28"/>
          <w:szCs w:val="28"/>
          <w:lang w:val="uk-UA" w:eastAsia="ru-RU"/>
        </w:rPr>
        <w:t>доплерографії</w:t>
      </w:r>
      <w:proofErr w:type="spellEnd"/>
      <w:r w:rsidR="002501B3" w:rsidRPr="00864E13">
        <w:rPr>
          <w:sz w:val="28"/>
          <w:szCs w:val="28"/>
          <w:lang w:val="uk-UA" w:eastAsia="ru-RU"/>
        </w:rPr>
        <w:t xml:space="preserve"> при оцінці характеристик</w:t>
      </w:r>
      <w:r w:rsidRPr="00864E13">
        <w:rPr>
          <w:sz w:val="28"/>
          <w:szCs w:val="28"/>
          <w:lang w:val="uk-UA" w:eastAsia="ru-RU"/>
        </w:rPr>
        <w:t xml:space="preserve"> </w:t>
      </w:r>
      <w:proofErr w:type="spellStart"/>
      <w:r w:rsidRPr="00864E13">
        <w:rPr>
          <w:sz w:val="28"/>
          <w:szCs w:val="28"/>
          <w:lang w:val="uk-UA" w:eastAsia="ru-RU"/>
        </w:rPr>
        <w:t>трансмітрального</w:t>
      </w:r>
      <w:proofErr w:type="spellEnd"/>
      <w:r w:rsidRPr="00864E13">
        <w:rPr>
          <w:sz w:val="28"/>
          <w:szCs w:val="28"/>
          <w:lang w:val="uk-UA" w:eastAsia="ru-RU"/>
        </w:rPr>
        <w:t xml:space="preserve"> кровотоку, </w:t>
      </w:r>
      <w:r w:rsidR="00864E13" w:rsidRPr="00864E13">
        <w:rPr>
          <w:sz w:val="28"/>
          <w:szCs w:val="28"/>
          <w:lang w:val="uk-UA" w:eastAsia="ru-RU"/>
        </w:rPr>
        <w:t xml:space="preserve">які </w:t>
      </w:r>
      <w:r w:rsidRPr="00864E13">
        <w:rPr>
          <w:rFonts w:eastAsia="FreeSetLightC"/>
          <w:sz w:val="28"/>
          <w:szCs w:val="28"/>
          <w:lang w:val="uk-UA" w:eastAsia="ru-RU"/>
        </w:rPr>
        <w:t>допомагають кількісно оцінити порушення наповнення й передбачити наступний розвиток серцевої недостатності й загальну смертність.</w:t>
      </w:r>
      <w:r w:rsidRPr="000721A8">
        <w:rPr>
          <w:rFonts w:eastAsia="FreeSetLightC"/>
          <w:sz w:val="28"/>
          <w:szCs w:val="28"/>
          <w:lang w:val="uk-UA" w:eastAsia="ru-RU"/>
        </w:rPr>
        <w:t xml:space="preserve"> </w:t>
      </w:r>
      <w:proofErr w:type="spellStart"/>
      <w:r w:rsidRPr="000721A8">
        <w:rPr>
          <w:rFonts w:eastAsia="FreeSetLightC"/>
          <w:sz w:val="28"/>
          <w:szCs w:val="28"/>
          <w:lang w:val="uk-UA" w:eastAsia="ru-RU"/>
        </w:rPr>
        <w:t>Ехо</w:t>
      </w:r>
      <w:r w:rsidR="00864E13">
        <w:rPr>
          <w:rFonts w:eastAsia="FreeSetLightC"/>
          <w:sz w:val="28"/>
          <w:szCs w:val="28"/>
          <w:lang w:val="uk-UA" w:eastAsia="ru-RU"/>
        </w:rPr>
        <w:t>КГ</w:t>
      </w:r>
      <w:proofErr w:type="spellEnd"/>
      <w:r w:rsidRPr="000721A8">
        <w:rPr>
          <w:rFonts w:eastAsia="FreeSetLightC"/>
          <w:sz w:val="28"/>
          <w:szCs w:val="28"/>
          <w:lang w:val="uk-UA" w:eastAsia="ru-RU"/>
        </w:rPr>
        <w:t xml:space="preserve"> </w:t>
      </w:r>
      <w:r w:rsidRPr="000721A8">
        <w:rPr>
          <w:sz w:val="28"/>
          <w:szCs w:val="28"/>
          <w:lang w:val="uk-UA" w:eastAsia="ru-RU"/>
        </w:rPr>
        <w:t xml:space="preserve">слід поєднувати з пульсовою тканинною </w:t>
      </w:r>
      <w:proofErr w:type="spellStart"/>
      <w:r w:rsidRPr="000721A8">
        <w:rPr>
          <w:sz w:val="28"/>
          <w:szCs w:val="28"/>
          <w:lang w:val="uk-UA" w:eastAsia="ru-RU"/>
        </w:rPr>
        <w:t>допплерографією</w:t>
      </w:r>
      <w:proofErr w:type="spellEnd"/>
      <w:r w:rsidRPr="000721A8">
        <w:rPr>
          <w:sz w:val="28"/>
          <w:szCs w:val="28"/>
          <w:lang w:val="uk-UA" w:eastAsia="ru-RU"/>
        </w:rPr>
        <w:t xml:space="preserve"> </w:t>
      </w:r>
      <w:proofErr w:type="spellStart"/>
      <w:r w:rsidRPr="000721A8">
        <w:rPr>
          <w:sz w:val="28"/>
          <w:szCs w:val="28"/>
          <w:lang w:val="uk-UA" w:eastAsia="ru-RU"/>
        </w:rPr>
        <w:t>мітрального</w:t>
      </w:r>
      <w:proofErr w:type="spellEnd"/>
      <w:r w:rsidRPr="000721A8">
        <w:rPr>
          <w:sz w:val="28"/>
          <w:szCs w:val="28"/>
          <w:lang w:val="uk-UA" w:eastAsia="ru-RU"/>
        </w:rPr>
        <w:t xml:space="preserve"> </w:t>
      </w:r>
      <w:r w:rsidR="002611CA">
        <w:rPr>
          <w:sz w:val="28"/>
          <w:szCs w:val="28"/>
          <w:lang w:val="uk-UA" w:eastAsia="ru-RU"/>
        </w:rPr>
        <w:t>кровотоку</w:t>
      </w:r>
      <w:r w:rsidRPr="000721A8">
        <w:rPr>
          <w:sz w:val="28"/>
          <w:szCs w:val="28"/>
          <w:lang w:val="uk-UA" w:eastAsia="ru-RU"/>
        </w:rPr>
        <w:t>. Для гіпертонічно</w:t>
      </w:r>
      <w:r w:rsidR="002611CA">
        <w:rPr>
          <w:sz w:val="28"/>
          <w:szCs w:val="28"/>
          <w:lang w:val="uk-UA" w:eastAsia="ru-RU"/>
        </w:rPr>
        <w:t>го</w:t>
      </w:r>
      <w:r w:rsidRPr="000721A8">
        <w:rPr>
          <w:sz w:val="28"/>
          <w:szCs w:val="28"/>
          <w:lang w:val="uk-UA" w:eastAsia="ru-RU"/>
        </w:rPr>
        <w:t xml:space="preserve"> ураження серця типове зниження ранньої швидкості </w:t>
      </w:r>
      <w:proofErr w:type="spellStart"/>
      <w:r w:rsidRPr="000721A8">
        <w:rPr>
          <w:sz w:val="28"/>
          <w:szCs w:val="28"/>
          <w:lang w:val="uk-UA" w:eastAsia="ru-RU"/>
        </w:rPr>
        <w:t>діастолічного</w:t>
      </w:r>
      <w:proofErr w:type="spellEnd"/>
      <w:r w:rsidRPr="000721A8">
        <w:rPr>
          <w:sz w:val="28"/>
          <w:szCs w:val="28"/>
          <w:lang w:val="uk-UA" w:eastAsia="ru-RU"/>
        </w:rPr>
        <w:t xml:space="preserve"> наповнення (е'), визначене методом тканинної </w:t>
      </w:r>
      <w:proofErr w:type="spellStart"/>
      <w:r w:rsidRPr="000721A8">
        <w:rPr>
          <w:sz w:val="28"/>
          <w:szCs w:val="28"/>
          <w:lang w:val="uk-UA" w:eastAsia="ru-RU"/>
        </w:rPr>
        <w:t>допплерографії</w:t>
      </w:r>
      <w:proofErr w:type="spellEnd"/>
      <w:r w:rsidRPr="000721A8">
        <w:rPr>
          <w:sz w:val="28"/>
          <w:szCs w:val="28"/>
          <w:lang w:val="uk-UA" w:eastAsia="ru-RU"/>
        </w:rPr>
        <w:t xml:space="preserve">. Найчастіше </w:t>
      </w:r>
      <w:proofErr w:type="spellStart"/>
      <w:r w:rsidRPr="000721A8">
        <w:rPr>
          <w:sz w:val="28"/>
          <w:szCs w:val="28"/>
          <w:lang w:val="uk-UA" w:eastAsia="ru-RU"/>
        </w:rPr>
        <w:t>септальна</w:t>
      </w:r>
      <w:proofErr w:type="spellEnd"/>
      <w:r w:rsidRPr="000721A8">
        <w:rPr>
          <w:sz w:val="28"/>
          <w:szCs w:val="28"/>
          <w:lang w:val="uk-UA" w:eastAsia="ru-RU"/>
        </w:rPr>
        <w:t xml:space="preserve"> е' знижена більшою мірою</w:t>
      </w:r>
      <w:r w:rsidR="002611CA">
        <w:rPr>
          <w:sz w:val="28"/>
          <w:szCs w:val="28"/>
          <w:lang w:val="uk-UA" w:eastAsia="ru-RU"/>
        </w:rPr>
        <w:t xml:space="preserve"> порівняно з латеральною</w:t>
      </w:r>
      <w:r w:rsidRPr="000721A8">
        <w:rPr>
          <w:sz w:val="28"/>
          <w:szCs w:val="28"/>
          <w:lang w:val="uk-UA" w:eastAsia="ru-RU"/>
        </w:rPr>
        <w:t xml:space="preserve"> е'. Діагностика й визначення виразності </w:t>
      </w:r>
      <w:proofErr w:type="spellStart"/>
      <w:r w:rsidRPr="000721A8">
        <w:rPr>
          <w:sz w:val="28"/>
          <w:szCs w:val="28"/>
          <w:lang w:val="uk-UA" w:eastAsia="ru-RU"/>
        </w:rPr>
        <w:t>діастолічної</w:t>
      </w:r>
      <w:proofErr w:type="spellEnd"/>
      <w:r w:rsidRPr="000721A8">
        <w:rPr>
          <w:sz w:val="28"/>
          <w:szCs w:val="28"/>
          <w:lang w:val="uk-UA" w:eastAsia="ru-RU"/>
        </w:rPr>
        <w:t xml:space="preserve"> </w:t>
      </w:r>
      <w:proofErr w:type="spellStart"/>
      <w:r w:rsidRPr="000721A8">
        <w:rPr>
          <w:sz w:val="28"/>
          <w:szCs w:val="28"/>
          <w:lang w:val="uk-UA" w:eastAsia="ru-RU"/>
        </w:rPr>
        <w:t>дисфункції</w:t>
      </w:r>
      <w:proofErr w:type="spellEnd"/>
      <w:r w:rsidRPr="000721A8">
        <w:rPr>
          <w:sz w:val="28"/>
          <w:szCs w:val="28"/>
          <w:lang w:val="uk-UA" w:eastAsia="ru-RU"/>
        </w:rPr>
        <w:t xml:space="preserve"> засновані на показнику е' (середнє з показників у </w:t>
      </w:r>
      <w:proofErr w:type="spellStart"/>
      <w:r w:rsidRPr="000721A8">
        <w:rPr>
          <w:sz w:val="28"/>
          <w:szCs w:val="28"/>
          <w:lang w:val="uk-UA" w:eastAsia="ru-RU"/>
        </w:rPr>
        <w:t>септальній</w:t>
      </w:r>
      <w:proofErr w:type="spellEnd"/>
      <w:r w:rsidRPr="000721A8">
        <w:rPr>
          <w:sz w:val="28"/>
          <w:szCs w:val="28"/>
          <w:lang w:val="uk-UA" w:eastAsia="ru-RU"/>
        </w:rPr>
        <w:t xml:space="preserve"> і латеральній частині </w:t>
      </w:r>
      <w:proofErr w:type="spellStart"/>
      <w:r w:rsidRPr="000721A8">
        <w:rPr>
          <w:sz w:val="28"/>
          <w:szCs w:val="28"/>
          <w:lang w:val="uk-UA" w:eastAsia="ru-RU"/>
        </w:rPr>
        <w:t>мітрального</w:t>
      </w:r>
      <w:proofErr w:type="spellEnd"/>
      <w:r w:rsidRPr="000721A8">
        <w:rPr>
          <w:sz w:val="28"/>
          <w:szCs w:val="28"/>
          <w:lang w:val="uk-UA" w:eastAsia="ru-RU"/>
        </w:rPr>
        <w:t xml:space="preserve"> отвору) і додаткових вимірах, включаючи відношення </w:t>
      </w:r>
      <w:proofErr w:type="spellStart"/>
      <w:r w:rsidRPr="000721A8">
        <w:rPr>
          <w:sz w:val="28"/>
          <w:szCs w:val="28"/>
          <w:lang w:val="uk-UA" w:eastAsia="ru-RU"/>
        </w:rPr>
        <w:t>трансмітрального</w:t>
      </w:r>
      <w:proofErr w:type="spellEnd"/>
      <w:r w:rsidRPr="000721A8">
        <w:rPr>
          <w:sz w:val="28"/>
          <w:szCs w:val="28"/>
          <w:lang w:val="uk-UA" w:eastAsia="ru-RU"/>
        </w:rPr>
        <w:t xml:space="preserve"> E до e’(співвідношення E/e’) і розмір лівого передсердя. Показники швидкості е' і відношення E/e’ більшою мірою залежать від віку й трохи меншою – від статі. За відношенням E/e’ можна виявити збільшення тиску заповнення лівого шлуночка. Прогностичне значення швидкості е' &lt;8 у хворих АГ загальновизнане, а значення відношення E/e’ вище &gt;13 асоційоване у хворих АГ з підвищенням серцевого ризику, незалежно від </w:t>
      </w:r>
      <w:r w:rsidR="002611CA">
        <w:rPr>
          <w:sz w:val="28"/>
          <w:szCs w:val="28"/>
          <w:lang w:val="uk-UA" w:eastAsia="ru-RU"/>
        </w:rPr>
        <w:t>маси лівого ш</w:t>
      </w:r>
      <w:r w:rsidR="00864E13">
        <w:rPr>
          <w:sz w:val="28"/>
          <w:szCs w:val="28"/>
          <w:lang w:val="uk-UA" w:eastAsia="ru-RU"/>
        </w:rPr>
        <w:t>луночка (</w:t>
      </w:r>
      <w:r w:rsidRPr="000721A8">
        <w:rPr>
          <w:sz w:val="28"/>
          <w:szCs w:val="28"/>
          <w:lang w:val="uk-UA" w:eastAsia="ru-RU"/>
        </w:rPr>
        <w:t>МЛШ</w:t>
      </w:r>
      <w:r w:rsidR="00864E13">
        <w:rPr>
          <w:sz w:val="28"/>
          <w:szCs w:val="28"/>
          <w:lang w:val="uk-UA" w:eastAsia="ru-RU"/>
        </w:rPr>
        <w:t>)</w:t>
      </w:r>
      <w:r w:rsidRPr="000721A8">
        <w:rPr>
          <w:sz w:val="28"/>
          <w:szCs w:val="28"/>
          <w:lang w:val="uk-UA" w:eastAsia="ru-RU"/>
        </w:rPr>
        <w:t xml:space="preserve"> і відносної товщини стінки ЛШ. Виявлення дилатації лівого передсердя </w:t>
      </w:r>
      <w:r w:rsidR="00864E13">
        <w:rPr>
          <w:sz w:val="28"/>
          <w:szCs w:val="28"/>
          <w:lang w:val="uk-UA" w:eastAsia="ru-RU"/>
        </w:rPr>
        <w:t>надає</w:t>
      </w:r>
      <w:r w:rsidRPr="000721A8">
        <w:rPr>
          <w:sz w:val="28"/>
          <w:szCs w:val="28"/>
          <w:lang w:val="uk-UA" w:eastAsia="ru-RU"/>
        </w:rPr>
        <w:t xml:space="preserve"> додаткову інформацію і є необхідною передумовою для діагностики </w:t>
      </w:r>
      <w:proofErr w:type="spellStart"/>
      <w:r w:rsidRPr="000721A8">
        <w:rPr>
          <w:sz w:val="28"/>
          <w:szCs w:val="28"/>
          <w:lang w:val="uk-UA" w:eastAsia="ru-RU"/>
        </w:rPr>
        <w:t>діастолічної</w:t>
      </w:r>
      <w:proofErr w:type="spellEnd"/>
      <w:r w:rsidRPr="000721A8">
        <w:rPr>
          <w:sz w:val="28"/>
          <w:szCs w:val="28"/>
          <w:lang w:val="uk-UA" w:eastAsia="ru-RU"/>
        </w:rPr>
        <w:t xml:space="preserve"> </w:t>
      </w:r>
      <w:proofErr w:type="spellStart"/>
      <w:r w:rsidRPr="000721A8">
        <w:rPr>
          <w:sz w:val="28"/>
          <w:szCs w:val="28"/>
          <w:lang w:val="uk-UA" w:eastAsia="ru-RU"/>
        </w:rPr>
        <w:t>дисфункції</w:t>
      </w:r>
      <w:proofErr w:type="spellEnd"/>
      <w:r w:rsidRPr="000721A8">
        <w:rPr>
          <w:sz w:val="28"/>
          <w:szCs w:val="28"/>
          <w:lang w:val="uk-UA" w:eastAsia="ru-RU"/>
        </w:rPr>
        <w:t xml:space="preserve">. Розмір лівого передсердя найкраще оцінювати по його індексованому </w:t>
      </w:r>
      <w:r w:rsidR="002611CA" w:rsidRPr="000721A8">
        <w:rPr>
          <w:sz w:val="28"/>
          <w:szCs w:val="28"/>
          <w:lang w:val="uk-UA" w:eastAsia="ru-RU"/>
        </w:rPr>
        <w:t>об</w:t>
      </w:r>
      <w:r w:rsidR="002611CA">
        <w:rPr>
          <w:sz w:val="28"/>
          <w:szCs w:val="28"/>
          <w:lang w:val="uk-UA" w:eastAsia="ru-RU"/>
        </w:rPr>
        <w:t>’єму</w:t>
      </w:r>
      <w:r w:rsidRPr="000721A8">
        <w:rPr>
          <w:sz w:val="28"/>
          <w:szCs w:val="28"/>
          <w:lang w:val="uk-UA" w:eastAsia="ru-RU"/>
        </w:rPr>
        <w:t xml:space="preserve">, або </w:t>
      </w:r>
      <w:proofErr w:type="spellStart"/>
      <w:r w:rsidRPr="000721A8">
        <w:rPr>
          <w:sz w:val="28"/>
          <w:szCs w:val="28"/>
          <w:lang w:val="uk-UA" w:eastAsia="ru-RU"/>
        </w:rPr>
        <w:t>іОЛП</w:t>
      </w:r>
      <w:proofErr w:type="spellEnd"/>
      <w:r w:rsidR="002611CA">
        <w:rPr>
          <w:sz w:val="28"/>
          <w:szCs w:val="28"/>
          <w:lang w:val="uk-UA" w:eastAsia="ru-RU"/>
        </w:rPr>
        <w:t xml:space="preserve">, значення якого </w:t>
      </w:r>
      <w:r w:rsidRPr="000721A8">
        <w:rPr>
          <w:sz w:val="28"/>
          <w:szCs w:val="28"/>
          <w:lang w:val="uk-UA" w:eastAsia="ru-RU"/>
        </w:rPr>
        <w:t>&gt;34 мл/м</w:t>
      </w:r>
      <w:r w:rsidRPr="000721A8">
        <w:rPr>
          <w:sz w:val="28"/>
          <w:szCs w:val="28"/>
          <w:vertAlign w:val="superscript"/>
          <w:lang w:val="uk-UA" w:eastAsia="ru-RU"/>
        </w:rPr>
        <w:t>2</w:t>
      </w:r>
      <w:r w:rsidRPr="000721A8">
        <w:rPr>
          <w:sz w:val="28"/>
          <w:szCs w:val="28"/>
          <w:lang w:val="uk-UA" w:eastAsia="ru-RU"/>
        </w:rPr>
        <w:t xml:space="preserve"> є незалежним </w:t>
      </w:r>
      <w:proofErr w:type="spellStart"/>
      <w:r w:rsidRPr="000721A8">
        <w:rPr>
          <w:sz w:val="28"/>
          <w:szCs w:val="28"/>
          <w:lang w:val="uk-UA" w:eastAsia="ru-RU"/>
        </w:rPr>
        <w:t>предиктором</w:t>
      </w:r>
      <w:proofErr w:type="spellEnd"/>
      <w:r w:rsidRPr="000721A8">
        <w:rPr>
          <w:sz w:val="28"/>
          <w:szCs w:val="28"/>
          <w:lang w:val="uk-UA" w:eastAsia="ru-RU"/>
        </w:rPr>
        <w:t xml:space="preserve"> смерті, серцевої недостатності, фібриляції передсердь й ішемічного інсульту.</w:t>
      </w:r>
    </w:p>
    <w:p w:rsidR="000721A8" w:rsidRPr="000721A8" w:rsidRDefault="000721A8" w:rsidP="0094356E">
      <w:pPr>
        <w:autoSpaceDE w:val="0"/>
        <w:autoSpaceDN w:val="0"/>
        <w:adjustRightInd w:val="0"/>
        <w:spacing w:line="360" w:lineRule="auto"/>
        <w:jc w:val="both"/>
        <w:rPr>
          <w:sz w:val="28"/>
          <w:szCs w:val="28"/>
          <w:lang w:val="uk-UA" w:eastAsia="ru-RU"/>
        </w:rPr>
      </w:pPr>
      <w:r w:rsidRPr="000721A8">
        <w:rPr>
          <w:sz w:val="28"/>
          <w:szCs w:val="28"/>
          <w:lang w:val="uk-UA" w:eastAsia="ru-RU"/>
        </w:rPr>
        <w:t xml:space="preserve">Діапазони нормальних значень і критерії діагностики гіпертонічної ураження серця за </w:t>
      </w:r>
      <w:proofErr w:type="spellStart"/>
      <w:r w:rsidRPr="000721A8">
        <w:rPr>
          <w:sz w:val="28"/>
          <w:szCs w:val="28"/>
          <w:lang w:val="uk-UA" w:eastAsia="ru-RU"/>
        </w:rPr>
        <w:t>ехокардіографічними</w:t>
      </w:r>
      <w:proofErr w:type="spellEnd"/>
      <w:r w:rsidRPr="000721A8">
        <w:rPr>
          <w:sz w:val="28"/>
          <w:szCs w:val="28"/>
          <w:lang w:val="uk-UA" w:eastAsia="ru-RU"/>
        </w:rPr>
        <w:t xml:space="preserve"> пока</w:t>
      </w:r>
      <w:r w:rsidR="00FC1407">
        <w:rPr>
          <w:sz w:val="28"/>
          <w:szCs w:val="28"/>
          <w:lang w:val="uk-UA" w:eastAsia="ru-RU"/>
        </w:rPr>
        <w:t>зниками представлено в таблиці 2</w:t>
      </w:r>
      <w:r w:rsidRPr="000721A8">
        <w:rPr>
          <w:sz w:val="28"/>
          <w:szCs w:val="28"/>
          <w:lang w:val="uk-UA" w:eastAsia="ru-RU"/>
        </w:rPr>
        <w:t>.</w:t>
      </w:r>
    </w:p>
    <w:p w:rsidR="000721A8" w:rsidRPr="000721A8" w:rsidRDefault="00FC1407" w:rsidP="000721A8">
      <w:pPr>
        <w:autoSpaceDE w:val="0"/>
        <w:autoSpaceDN w:val="0"/>
        <w:adjustRightInd w:val="0"/>
        <w:spacing w:line="360" w:lineRule="auto"/>
        <w:ind w:left="57" w:right="57"/>
        <w:jc w:val="both"/>
        <w:rPr>
          <w:sz w:val="28"/>
          <w:szCs w:val="28"/>
          <w:lang w:val="uk-UA" w:eastAsia="ru-RU"/>
        </w:rPr>
      </w:pPr>
      <w:r>
        <w:rPr>
          <w:b/>
          <w:i/>
          <w:sz w:val="28"/>
          <w:szCs w:val="28"/>
          <w:lang w:val="uk-UA" w:eastAsia="ru-RU"/>
        </w:rPr>
        <w:lastRenderedPageBreak/>
        <w:t>Таблиця 2</w:t>
      </w:r>
      <w:r w:rsidR="000721A8" w:rsidRPr="000721A8">
        <w:rPr>
          <w:b/>
          <w:i/>
          <w:sz w:val="28"/>
          <w:szCs w:val="28"/>
          <w:lang w:val="uk-UA" w:eastAsia="ru-RU"/>
        </w:rPr>
        <w:t>.</w:t>
      </w:r>
      <w:r w:rsidR="000721A8" w:rsidRPr="000721A8">
        <w:rPr>
          <w:sz w:val="28"/>
          <w:szCs w:val="28"/>
          <w:lang w:val="uk-UA" w:eastAsia="ru-RU"/>
        </w:rPr>
        <w:t xml:space="preserve"> </w:t>
      </w:r>
      <w:r w:rsidR="002611CA">
        <w:rPr>
          <w:sz w:val="28"/>
          <w:szCs w:val="28"/>
          <w:lang w:val="uk-UA" w:eastAsia="ru-RU"/>
        </w:rPr>
        <w:t>П</w:t>
      </w:r>
      <w:r w:rsidR="000721A8" w:rsidRPr="000721A8">
        <w:rPr>
          <w:sz w:val="28"/>
          <w:szCs w:val="28"/>
          <w:lang w:val="uk-UA" w:eastAsia="ru-RU"/>
        </w:rPr>
        <w:t>араметр</w:t>
      </w:r>
      <w:r w:rsidR="002611CA">
        <w:rPr>
          <w:sz w:val="28"/>
          <w:szCs w:val="28"/>
          <w:lang w:val="uk-UA" w:eastAsia="ru-RU"/>
        </w:rPr>
        <w:t>и</w:t>
      </w:r>
      <w:r w:rsidR="000721A8" w:rsidRPr="000721A8">
        <w:rPr>
          <w:sz w:val="28"/>
          <w:szCs w:val="28"/>
          <w:lang w:val="uk-UA" w:eastAsia="ru-RU"/>
        </w:rPr>
        <w:t xml:space="preserve">, </w:t>
      </w:r>
      <w:r w:rsidR="002611CA">
        <w:rPr>
          <w:sz w:val="28"/>
          <w:szCs w:val="28"/>
          <w:lang w:val="uk-UA" w:eastAsia="ru-RU"/>
        </w:rPr>
        <w:t>що використовуються</w:t>
      </w:r>
      <w:r w:rsidR="000721A8" w:rsidRPr="000721A8">
        <w:rPr>
          <w:sz w:val="28"/>
          <w:szCs w:val="28"/>
          <w:lang w:val="uk-UA" w:eastAsia="ru-RU"/>
        </w:rPr>
        <w:t xml:space="preserve"> для оцінки </w:t>
      </w:r>
      <w:proofErr w:type="spellStart"/>
      <w:r w:rsidR="000721A8" w:rsidRPr="000721A8">
        <w:rPr>
          <w:sz w:val="28"/>
          <w:szCs w:val="28"/>
          <w:lang w:val="uk-UA" w:eastAsia="ru-RU"/>
        </w:rPr>
        <w:t>ремоделювання</w:t>
      </w:r>
      <w:proofErr w:type="spellEnd"/>
      <w:r w:rsidR="000721A8" w:rsidRPr="000721A8">
        <w:rPr>
          <w:sz w:val="28"/>
          <w:szCs w:val="28"/>
          <w:lang w:val="uk-UA" w:eastAsia="ru-RU"/>
        </w:rPr>
        <w:t xml:space="preserve"> лівого шлуночка й </w:t>
      </w:r>
      <w:proofErr w:type="spellStart"/>
      <w:r w:rsidR="000721A8" w:rsidRPr="000721A8">
        <w:rPr>
          <w:sz w:val="28"/>
          <w:szCs w:val="28"/>
          <w:lang w:val="uk-UA" w:eastAsia="ru-RU"/>
        </w:rPr>
        <w:t>діастолічної</w:t>
      </w:r>
      <w:proofErr w:type="spellEnd"/>
      <w:r w:rsidR="000721A8" w:rsidRPr="000721A8">
        <w:rPr>
          <w:sz w:val="28"/>
          <w:szCs w:val="28"/>
          <w:lang w:val="uk-UA" w:eastAsia="ru-RU"/>
        </w:rPr>
        <w:t xml:space="preserve"> функції у хворих АГ. (За </w:t>
      </w:r>
      <w:proofErr w:type="spellStart"/>
      <w:r w:rsidR="000721A8" w:rsidRPr="000721A8">
        <w:rPr>
          <w:sz w:val="28"/>
          <w:szCs w:val="28"/>
          <w:lang w:val="uk-UA" w:eastAsia="ru-RU"/>
        </w:rPr>
        <w:t>Lang</w:t>
      </w:r>
      <w:proofErr w:type="spellEnd"/>
      <w:r w:rsidR="000721A8" w:rsidRPr="000721A8">
        <w:rPr>
          <w:sz w:val="28"/>
          <w:szCs w:val="28"/>
          <w:lang w:val="uk-UA" w:eastAsia="ru-RU"/>
        </w:rPr>
        <w:t xml:space="preserve"> </w:t>
      </w:r>
      <w:proofErr w:type="spellStart"/>
      <w:r w:rsidR="000721A8" w:rsidRPr="000721A8">
        <w:rPr>
          <w:sz w:val="28"/>
          <w:szCs w:val="28"/>
          <w:lang w:val="uk-UA" w:eastAsia="ru-RU"/>
        </w:rPr>
        <w:t>et</w:t>
      </w:r>
      <w:proofErr w:type="spellEnd"/>
      <w:r w:rsidR="000721A8" w:rsidRPr="000721A8">
        <w:rPr>
          <w:sz w:val="28"/>
          <w:szCs w:val="28"/>
          <w:lang w:val="uk-UA" w:eastAsia="ru-RU"/>
        </w:rPr>
        <w:t xml:space="preserve"> </w:t>
      </w:r>
      <w:proofErr w:type="spellStart"/>
      <w:r w:rsidR="000721A8" w:rsidRPr="000721A8">
        <w:rPr>
          <w:sz w:val="28"/>
          <w:szCs w:val="28"/>
          <w:lang w:val="uk-UA" w:eastAsia="ru-RU"/>
        </w:rPr>
        <w:t>al</w:t>
      </w:r>
      <w:proofErr w:type="spellEnd"/>
      <w:r w:rsidR="000721A8" w:rsidRPr="000721A8">
        <w:rPr>
          <w:sz w:val="28"/>
          <w:szCs w:val="28"/>
          <w:lang w:val="uk-UA" w:eastAsia="ru-RU"/>
        </w:rPr>
        <w:t xml:space="preserve">. і </w:t>
      </w:r>
      <w:proofErr w:type="spellStart"/>
      <w:r w:rsidR="000721A8" w:rsidRPr="000721A8">
        <w:rPr>
          <w:sz w:val="28"/>
          <w:szCs w:val="28"/>
          <w:lang w:val="uk-UA" w:eastAsia="ru-RU"/>
        </w:rPr>
        <w:t>Nagueh</w:t>
      </w:r>
      <w:proofErr w:type="spellEnd"/>
      <w:r w:rsidR="000721A8" w:rsidRPr="000721A8">
        <w:rPr>
          <w:sz w:val="28"/>
          <w:szCs w:val="28"/>
          <w:lang w:val="uk-UA" w:eastAsia="ru-RU"/>
        </w:rPr>
        <w:t xml:space="preserve"> </w:t>
      </w:r>
      <w:proofErr w:type="spellStart"/>
      <w:r w:rsidR="000721A8" w:rsidRPr="000721A8">
        <w:rPr>
          <w:sz w:val="28"/>
          <w:szCs w:val="28"/>
          <w:lang w:val="uk-UA" w:eastAsia="ru-RU"/>
        </w:rPr>
        <w:t>et</w:t>
      </w:r>
      <w:proofErr w:type="spellEnd"/>
      <w:r w:rsidR="000721A8" w:rsidRPr="000721A8">
        <w:rPr>
          <w:sz w:val="28"/>
          <w:szCs w:val="28"/>
          <w:lang w:val="uk-UA" w:eastAsia="ru-RU"/>
        </w:rPr>
        <w:t xml:space="preserve"> </w:t>
      </w:r>
      <w:proofErr w:type="spellStart"/>
      <w:r w:rsidR="000721A8" w:rsidRPr="000721A8">
        <w:rPr>
          <w:sz w:val="28"/>
          <w:szCs w:val="28"/>
          <w:lang w:val="uk-UA" w:eastAsia="ru-RU"/>
        </w:rPr>
        <w:t>al</w:t>
      </w:r>
      <w:proofErr w:type="spellEnd"/>
      <w:r w:rsidR="000721A8" w:rsidRPr="000721A8">
        <w:rPr>
          <w:sz w:val="28"/>
          <w:szCs w:val="28"/>
          <w:lang w:val="uk-UA" w:eastAsia="ru-RU"/>
        </w:rPr>
        <w:t xml:space="preserve">.) </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118"/>
      </w:tblGrid>
      <w:tr w:rsidR="000721A8" w:rsidRPr="000721A8" w:rsidTr="00FC1407">
        <w:tc>
          <w:tcPr>
            <w:tcW w:w="640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b/>
                <w:sz w:val="28"/>
                <w:szCs w:val="28"/>
                <w:lang w:val="uk-UA" w:eastAsia="ru-RU"/>
              </w:rPr>
            </w:pPr>
            <w:r w:rsidRPr="000721A8">
              <w:rPr>
                <w:b/>
                <w:sz w:val="28"/>
                <w:szCs w:val="28"/>
                <w:lang w:val="uk-UA" w:eastAsia="ru-RU"/>
              </w:rPr>
              <w:t>Показник</w:t>
            </w:r>
          </w:p>
        </w:tc>
        <w:tc>
          <w:tcPr>
            <w:tcW w:w="311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b/>
                <w:sz w:val="28"/>
                <w:szCs w:val="28"/>
                <w:lang w:val="uk-UA" w:eastAsia="ru-RU"/>
              </w:rPr>
            </w:pPr>
            <w:r w:rsidRPr="000721A8">
              <w:rPr>
                <w:b/>
                <w:sz w:val="28"/>
                <w:szCs w:val="28"/>
                <w:lang w:val="uk-UA" w:eastAsia="ru-RU"/>
              </w:rPr>
              <w:t>Відхилення від норми</w:t>
            </w:r>
          </w:p>
        </w:tc>
      </w:tr>
      <w:tr w:rsidR="000721A8" w:rsidRPr="000721A8" w:rsidTr="00FC1407">
        <w:tc>
          <w:tcPr>
            <w:tcW w:w="640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sz w:val="28"/>
                <w:szCs w:val="28"/>
                <w:lang w:val="uk-UA" w:eastAsia="ru-RU"/>
              </w:rPr>
            </w:pPr>
            <w:r w:rsidRPr="000721A8">
              <w:rPr>
                <w:sz w:val="28"/>
                <w:szCs w:val="28"/>
                <w:lang w:val="uk-UA" w:eastAsia="ru-RU"/>
              </w:rPr>
              <w:t>Індекс маси лівого шлуночка (г/м</w:t>
            </w:r>
            <w:r w:rsidRPr="000721A8">
              <w:rPr>
                <w:sz w:val="28"/>
                <w:szCs w:val="28"/>
                <w:vertAlign w:val="superscript"/>
                <w:lang w:val="uk-UA" w:eastAsia="ru-RU"/>
              </w:rPr>
              <w:t>2</w:t>
            </w:r>
            <w:r w:rsidRPr="000721A8">
              <w:rPr>
                <w:sz w:val="28"/>
                <w:szCs w:val="28"/>
                <w:lang w:val="uk-UA"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sz w:val="28"/>
                <w:szCs w:val="28"/>
                <w:lang w:val="uk-UA" w:eastAsia="ru-RU"/>
              </w:rPr>
            </w:pPr>
            <w:r w:rsidRPr="000721A8">
              <w:rPr>
                <w:sz w:val="28"/>
                <w:szCs w:val="28"/>
                <w:lang w:val="uk-UA" w:eastAsia="ru-RU"/>
              </w:rPr>
              <w:t xml:space="preserve"> &gt;95 (жінки)</w:t>
            </w:r>
          </w:p>
          <w:p w:rsidR="000721A8" w:rsidRPr="000721A8" w:rsidRDefault="000721A8" w:rsidP="00FC1407">
            <w:pPr>
              <w:autoSpaceDE w:val="0"/>
              <w:autoSpaceDN w:val="0"/>
              <w:adjustRightInd w:val="0"/>
              <w:ind w:left="57" w:right="57"/>
              <w:rPr>
                <w:sz w:val="28"/>
                <w:szCs w:val="28"/>
                <w:lang w:val="uk-UA" w:eastAsia="ru-RU"/>
              </w:rPr>
            </w:pPr>
            <w:r w:rsidRPr="000721A8">
              <w:rPr>
                <w:sz w:val="28"/>
                <w:szCs w:val="28"/>
                <w:lang w:val="uk-UA" w:eastAsia="ru-RU"/>
              </w:rPr>
              <w:t>&gt; 115 (чоловіка</w:t>
            </w:r>
          </w:p>
        </w:tc>
      </w:tr>
      <w:tr w:rsidR="000721A8" w:rsidRPr="000721A8" w:rsidTr="00FC1407">
        <w:tc>
          <w:tcPr>
            <w:tcW w:w="640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sz w:val="28"/>
                <w:szCs w:val="28"/>
                <w:lang w:val="uk-UA" w:eastAsia="ru-RU"/>
              </w:rPr>
            </w:pPr>
            <w:r w:rsidRPr="000721A8">
              <w:rPr>
                <w:sz w:val="28"/>
                <w:szCs w:val="28"/>
                <w:lang w:val="uk-UA" w:eastAsia="ru-RU"/>
              </w:rPr>
              <w:t xml:space="preserve">Відносна товщина стінки </w:t>
            </w:r>
          </w:p>
        </w:tc>
        <w:tc>
          <w:tcPr>
            <w:tcW w:w="311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sz w:val="28"/>
                <w:szCs w:val="28"/>
                <w:lang w:val="uk-UA" w:eastAsia="ru-RU"/>
              </w:rPr>
            </w:pPr>
            <w:r w:rsidRPr="000721A8">
              <w:rPr>
                <w:sz w:val="28"/>
                <w:szCs w:val="28"/>
                <w:lang w:val="uk-UA" w:eastAsia="ru-RU"/>
              </w:rPr>
              <w:t xml:space="preserve"> &gt;0.42</w:t>
            </w:r>
          </w:p>
        </w:tc>
      </w:tr>
      <w:tr w:rsidR="000721A8" w:rsidRPr="000721A8" w:rsidTr="00FC1407">
        <w:tc>
          <w:tcPr>
            <w:tcW w:w="640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sz w:val="28"/>
                <w:szCs w:val="28"/>
                <w:lang w:val="uk-UA" w:eastAsia="ru-RU"/>
              </w:rPr>
            </w:pPr>
            <w:proofErr w:type="spellStart"/>
            <w:r w:rsidRPr="000721A8">
              <w:rPr>
                <w:sz w:val="28"/>
                <w:szCs w:val="28"/>
                <w:lang w:val="uk-UA" w:eastAsia="ru-RU"/>
              </w:rPr>
              <w:t>Діастолічна</w:t>
            </w:r>
            <w:proofErr w:type="spellEnd"/>
            <w:r w:rsidRPr="000721A8">
              <w:rPr>
                <w:sz w:val="28"/>
                <w:szCs w:val="28"/>
                <w:lang w:val="uk-UA" w:eastAsia="ru-RU"/>
              </w:rPr>
              <w:t xml:space="preserve"> функція:</w:t>
            </w:r>
          </w:p>
        </w:tc>
        <w:tc>
          <w:tcPr>
            <w:tcW w:w="3118" w:type="dxa"/>
            <w:tcBorders>
              <w:top w:val="single" w:sz="4" w:space="0" w:color="auto"/>
              <w:left w:val="single" w:sz="4" w:space="0" w:color="auto"/>
              <w:bottom w:val="single" w:sz="4" w:space="0" w:color="auto"/>
              <w:right w:val="single" w:sz="4" w:space="0" w:color="auto"/>
            </w:tcBorders>
          </w:tcPr>
          <w:p w:rsidR="000721A8" w:rsidRPr="000721A8" w:rsidRDefault="000721A8" w:rsidP="00FC1407">
            <w:pPr>
              <w:autoSpaceDE w:val="0"/>
              <w:autoSpaceDN w:val="0"/>
              <w:adjustRightInd w:val="0"/>
              <w:ind w:left="57" w:right="57"/>
              <w:rPr>
                <w:sz w:val="28"/>
                <w:szCs w:val="28"/>
                <w:lang w:val="uk-UA" w:eastAsia="ru-RU"/>
              </w:rPr>
            </w:pPr>
          </w:p>
        </w:tc>
      </w:tr>
      <w:tr w:rsidR="000721A8" w:rsidRPr="000721A8" w:rsidTr="00FC1407">
        <w:tc>
          <w:tcPr>
            <w:tcW w:w="640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sz w:val="28"/>
                <w:szCs w:val="28"/>
                <w:lang w:val="uk-UA" w:eastAsia="ru-RU"/>
              </w:rPr>
            </w:pPr>
            <w:proofErr w:type="spellStart"/>
            <w:r w:rsidRPr="000721A8">
              <w:rPr>
                <w:sz w:val="28"/>
                <w:szCs w:val="28"/>
                <w:lang w:val="uk-UA" w:eastAsia="ru-RU"/>
              </w:rPr>
              <w:t>Септальна</w:t>
            </w:r>
            <w:proofErr w:type="spellEnd"/>
            <w:r w:rsidRPr="000721A8">
              <w:rPr>
                <w:sz w:val="28"/>
                <w:szCs w:val="28"/>
                <w:lang w:val="uk-UA" w:eastAsia="ru-RU"/>
              </w:rPr>
              <w:t xml:space="preserve"> швидкість e’ (см/</w:t>
            </w:r>
            <w:proofErr w:type="spellStart"/>
            <w:r w:rsidRPr="000721A8">
              <w:rPr>
                <w:sz w:val="28"/>
                <w:szCs w:val="28"/>
                <w:lang w:val="uk-UA" w:eastAsia="ru-RU"/>
              </w:rPr>
              <w:t>сек</w:t>
            </w:r>
            <w:proofErr w:type="spellEnd"/>
            <w:r w:rsidRPr="000721A8">
              <w:rPr>
                <w:sz w:val="28"/>
                <w:szCs w:val="28"/>
                <w:lang w:val="uk-UA"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sz w:val="28"/>
                <w:szCs w:val="28"/>
                <w:lang w:val="uk-UA" w:eastAsia="ru-RU"/>
              </w:rPr>
            </w:pPr>
            <w:r w:rsidRPr="000721A8">
              <w:rPr>
                <w:sz w:val="28"/>
                <w:szCs w:val="28"/>
                <w:lang w:val="uk-UA" w:eastAsia="ru-RU"/>
              </w:rPr>
              <w:t>&lt;8</w:t>
            </w:r>
          </w:p>
        </w:tc>
      </w:tr>
      <w:tr w:rsidR="000721A8" w:rsidRPr="000721A8" w:rsidTr="00FC1407">
        <w:tc>
          <w:tcPr>
            <w:tcW w:w="640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sz w:val="28"/>
                <w:szCs w:val="28"/>
                <w:lang w:val="uk-UA" w:eastAsia="ru-RU"/>
              </w:rPr>
            </w:pPr>
            <w:r w:rsidRPr="000721A8">
              <w:rPr>
                <w:sz w:val="28"/>
                <w:szCs w:val="28"/>
                <w:lang w:val="uk-UA" w:eastAsia="ru-RU"/>
              </w:rPr>
              <w:t>Латеральна швидкість е' (см/</w:t>
            </w:r>
            <w:proofErr w:type="spellStart"/>
            <w:r w:rsidRPr="000721A8">
              <w:rPr>
                <w:sz w:val="28"/>
                <w:szCs w:val="28"/>
                <w:lang w:val="uk-UA" w:eastAsia="ru-RU"/>
              </w:rPr>
              <w:t>сек</w:t>
            </w:r>
            <w:proofErr w:type="spellEnd"/>
            <w:r w:rsidRPr="000721A8">
              <w:rPr>
                <w:sz w:val="28"/>
                <w:szCs w:val="28"/>
                <w:lang w:val="uk-UA"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sz w:val="28"/>
                <w:szCs w:val="28"/>
                <w:lang w:val="uk-UA" w:eastAsia="ru-RU"/>
              </w:rPr>
            </w:pPr>
            <w:r w:rsidRPr="000721A8">
              <w:rPr>
                <w:sz w:val="28"/>
                <w:szCs w:val="28"/>
                <w:lang w:val="uk-UA" w:eastAsia="ru-RU"/>
              </w:rPr>
              <w:t>&lt;10</w:t>
            </w:r>
          </w:p>
        </w:tc>
      </w:tr>
      <w:tr w:rsidR="000721A8" w:rsidRPr="000721A8" w:rsidTr="00FC1407">
        <w:tc>
          <w:tcPr>
            <w:tcW w:w="640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108"/>
              <w:rPr>
                <w:sz w:val="28"/>
                <w:szCs w:val="28"/>
                <w:lang w:val="uk-UA" w:eastAsia="ru-RU"/>
              </w:rPr>
            </w:pPr>
            <w:r w:rsidRPr="000721A8">
              <w:rPr>
                <w:sz w:val="28"/>
                <w:szCs w:val="28"/>
                <w:lang w:val="uk-UA" w:eastAsia="ru-RU"/>
              </w:rPr>
              <w:t>Об'ємний індекс лівого передсердя (мл/м</w:t>
            </w:r>
            <w:r w:rsidRPr="000721A8">
              <w:rPr>
                <w:sz w:val="28"/>
                <w:szCs w:val="28"/>
                <w:vertAlign w:val="superscript"/>
                <w:lang w:val="uk-UA" w:eastAsia="ru-RU"/>
              </w:rPr>
              <w:t>2</w:t>
            </w:r>
            <w:r w:rsidRPr="000721A8">
              <w:rPr>
                <w:sz w:val="28"/>
                <w:szCs w:val="28"/>
                <w:lang w:val="uk-UA"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sz w:val="28"/>
                <w:szCs w:val="28"/>
                <w:lang w:val="uk-UA" w:eastAsia="ru-RU"/>
              </w:rPr>
            </w:pPr>
            <w:r w:rsidRPr="000721A8">
              <w:rPr>
                <w:sz w:val="28"/>
                <w:szCs w:val="28"/>
                <w:lang w:val="uk-UA" w:eastAsia="ru-RU"/>
              </w:rPr>
              <w:t>≥34</w:t>
            </w:r>
          </w:p>
        </w:tc>
      </w:tr>
      <w:tr w:rsidR="000721A8" w:rsidRPr="000721A8" w:rsidTr="00FC1407">
        <w:tc>
          <w:tcPr>
            <w:tcW w:w="640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sz w:val="28"/>
                <w:szCs w:val="28"/>
                <w:lang w:val="uk-UA" w:eastAsia="ru-RU"/>
              </w:rPr>
            </w:pPr>
            <w:r w:rsidRPr="000721A8">
              <w:rPr>
                <w:sz w:val="28"/>
                <w:szCs w:val="28"/>
                <w:lang w:val="uk-UA" w:eastAsia="ru-RU"/>
              </w:rPr>
              <w:t>Тиск наповнення лівого шлуночка:</w:t>
            </w:r>
          </w:p>
        </w:tc>
        <w:tc>
          <w:tcPr>
            <w:tcW w:w="3118" w:type="dxa"/>
            <w:tcBorders>
              <w:top w:val="single" w:sz="4" w:space="0" w:color="auto"/>
              <w:left w:val="single" w:sz="4" w:space="0" w:color="auto"/>
              <w:bottom w:val="single" w:sz="4" w:space="0" w:color="auto"/>
              <w:right w:val="single" w:sz="4" w:space="0" w:color="auto"/>
            </w:tcBorders>
          </w:tcPr>
          <w:p w:rsidR="000721A8" w:rsidRPr="000721A8" w:rsidRDefault="000721A8" w:rsidP="00FC1407">
            <w:pPr>
              <w:autoSpaceDE w:val="0"/>
              <w:autoSpaceDN w:val="0"/>
              <w:adjustRightInd w:val="0"/>
              <w:ind w:left="57" w:right="57"/>
              <w:rPr>
                <w:sz w:val="28"/>
                <w:szCs w:val="28"/>
                <w:lang w:val="uk-UA" w:eastAsia="ru-RU"/>
              </w:rPr>
            </w:pPr>
          </w:p>
        </w:tc>
      </w:tr>
      <w:tr w:rsidR="000721A8" w:rsidRPr="000721A8" w:rsidTr="00FC1407">
        <w:tc>
          <w:tcPr>
            <w:tcW w:w="640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sz w:val="28"/>
                <w:szCs w:val="28"/>
                <w:lang w:val="uk-UA" w:eastAsia="ru-RU"/>
              </w:rPr>
            </w:pPr>
            <w:r w:rsidRPr="000721A8">
              <w:rPr>
                <w:sz w:val="28"/>
                <w:szCs w:val="28"/>
                <w:lang w:val="uk-UA" w:eastAsia="ru-RU"/>
              </w:rPr>
              <w:t>Середнє відношення Е/e’</w:t>
            </w:r>
          </w:p>
        </w:tc>
        <w:tc>
          <w:tcPr>
            <w:tcW w:w="3118" w:type="dxa"/>
            <w:tcBorders>
              <w:top w:val="single" w:sz="4" w:space="0" w:color="auto"/>
              <w:left w:val="single" w:sz="4" w:space="0" w:color="auto"/>
              <w:bottom w:val="single" w:sz="4" w:space="0" w:color="auto"/>
              <w:right w:val="single" w:sz="4" w:space="0" w:color="auto"/>
            </w:tcBorders>
            <w:hideMark/>
          </w:tcPr>
          <w:p w:rsidR="000721A8" w:rsidRPr="000721A8" w:rsidRDefault="000721A8" w:rsidP="00FC1407">
            <w:pPr>
              <w:autoSpaceDE w:val="0"/>
              <w:autoSpaceDN w:val="0"/>
              <w:adjustRightInd w:val="0"/>
              <w:ind w:left="57" w:right="57"/>
              <w:rPr>
                <w:sz w:val="28"/>
                <w:szCs w:val="28"/>
                <w:lang w:val="uk-UA" w:eastAsia="ru-RU"/>
              </w:rPr>
            </w:pPr>
            <w:r w:rsidRPr="000721A8">
              <w:rPr>
                <w:sz w:val="28"/>
                <w:szCs w:val="28"/>
                <w:lang w:val="uk-UA" w:eastAsia="ru-RU"/>
              </w:rPr>
              <w:t>≥13</w:t>
            </w:r>
          </w:p>
        </w:tc>
      </w:tr>
    </w:tbl>
    <w:p w:rsidR="000721A8" w:rsidRPr="000721A8" w:rsidRDefault="000721A8" w:rsidP="000721A8">
      <w:pPr>
        <w:autoSpaceDE w:val="0"/>
        <w:autoSpaceDN w:val="0"/>
        <w:adjustRightInd w:val="0"/>
        <w:spacing w:line="360" w:lineRule="auto"/>
        <w:ind w:left="57" w:right="57"/>
        <w:rPr>
          <w:sz w:val="28"/>
          <w:szCs w:val="28"/>
          <w:lang w:val="uk-UA" w:eastAsia="ru-RU"/>
        </w:rPr>
      </w:pPr>
    </w:p>
    <w:p w:rsidR="000721A8" w:rsidRPr="000721A8" w:rsidRDefault="008E21D0" w:rsidP="002611CA">
      <w:pPr>
        <w:autoSpaceDE w:val="0"/>
        <w:autoSpaceDN w:val="0"/>
        <w:adjustRightInd w:val="0"/>
        <w:spacing w:line="360" w:lineRule="auto"/>
        <w:ind w:right="57"/>
        <w:jc w:val="both"/>
        <w:outlineLvl w:val="0"/>
        <w:rPr>
          <w:b/>
          <w:sz w:val="28"/>
          <w:szCs w:val="28"/>
          <w:lang w:val="uk-UA" w:eastAsia="ru-RU"/>
        </w:rPr>
      </w:pPr>
      <w:r>
        <w:rPr>
          <w:b/>
          <w:sz w:val="28"/>
          <w:szCs w:val="28"/>
          <w:lang w:val="uk-UA" w:eastAsia="ru-RU"/>
        </w:rPr>
        <w:t>Для діагностики безсимптомного ураження к</w:t>
      </w:r>
      <w:r w:rsidR="000721A8" w:rsidRPr="000721A8">
        <w:rPr>
          <w:b/>
          <w:sz w:val="28"/>
          <w:szCs w:val="28"/>
          <w:lang w:val="uk-UA" w:eastAsia="ru-RU"/>
        </w:rPr>
        <w:t>ровоносн</w:t>
      </w:r>
      <w:r>
        <w:rPr>
          <w:b/>
          <w:sz w:val="28"/>
          <w:szCs w:val="28"/>
          <w:lang w:val="uk-UA" w:eastAsia="ru-RU"/>
        </w:rPr>
        <w:t>их</w:t>
      </w:r>
      <w:r w:rsidR="000721A8" w:rsidRPr="000721A8">
        <w:rPr>
          <w:b/>
          <w:sz w:val="28"/>
          <w:szCs w:val="28"/>
          <w:lang w:val="uk-UA" w:eastAsia="ru-RU"/>
        </w:rPr>
        <w:t xml:space="preserve"> судини</w:t>
      </w:r>
      <w:r>
        <w:rPr>
          <w:b/>
          <w:sz w:val="28"/>
          <w:szCs w:val="28"/>
          <w:lang w:val="uk-UA" w:eastAsia="ru-RU"/>
        </w:rPr>
        <w:t xml:space="preserve"> використовують ультразвукове </w:t>
      </w:r>
      <w:proofErr w:type="spellStart"/>
      <w:r>
        <w:rPr>
          <w:b/>
          <w:sz w:val="28"/>
          <w:szCs w:val="28"/>
          <w:lang w:val="uk-UA" w:eastAsia="ru-RU"/>
        </w:rPr>
        <w:t>доплерометричне</w:t>
      </w:r>
      <w:proofErr w:type="spellEnd"/>
      <w:r>
        <w:rPr>
          <w:b/>
          <w:sz w:val="28"/>
          <w:szCs w:val="28"/>
          <w:lang w:val="uk-UA" w:eastAsia="ru-RU"/>
        </w:rPr>
        <w:t xml:space="preserve"> дослідження  з визначення </w:t>
      </w:r>
      <w:r w:rsidR="00B85738">
        <w:rPr>
          <w:b/>
          <w:sz w:val="28"/>
          <w:szCs w:val="28"/>
          <w:lang w:val="uk-UA" w:eastAsia="ru-RU"/>
        </w:rPr>
        <w:t>структурно-</w:t>
      </w:r>
      <w:proofErr w:type="spellStart"/>
      <w:r w:rsidR="00B85738">
        <w:rPr>
          <w:b/>
          <w:sz w:val="28"/>
          <w:szCs w:val="28"/>
          <w:lang w:val="uk-UA" w:eastAsia="ru-RU"/>
        </w:rPr>
        <w:t>фунціональних</w:t>
      </w:r>
      <w:proofErr w:type="spellEnd"/>
      <w:r w:rsidR="00B85738">
        <w:rPr>
          <w:b/>
          <w:sz w:val="28"/>
          <w:szCs w:val="28"/>
          <w:lang w:val="uk-UA" w:eastAsia="ru-RU"/>
        </w:rPr>
        <w:t xml:space="preserve"> параметрів</w:t>
      </w:r>
      <w:r>
        <w:rPr>
          <w:b/>
          <w:sz w:val="28"/>
          <w:szCs w:val="28"/>
          <w:lang w:val="uk-UA" w:eastAsia="ru-RU"/>
        </w:rPr>
        <w:t xml:space="preserve"> сонних артерій, швидкості пульсової хвилі, </w:t>
      </w:r>
      <w:proofErr w:type="spellStart"/>
      <w:r>
        <w:rPr>
          <w:b/>
          <w:sz w:val="28"/>
          <w:szCs w:val="28"/>
          <w:lang w:val="uk-UA" w:eastAsia="ru-RU"/>
        </w:rPr>
        <w:t>плечо</w:t>
      </w:r>
      <w:proofErr w:type="spellEnd"/>
      <w:r>
        <w:rPr>
          <w:b/>
          <w:sz w:val="28"/>
          <w:szCs w:val="28"/>
          <w:lang w:val="uk-UA" w:eastAsia="ru-RU"/>
        </w:rPr>
        <w:t>-гомілкового індексу</w:t>
      </w:r>
      <w:r w:rsidR="00B85738">
        <w:rPr>
          <w:b/>
          <w:sz w:val="28"/>
          <w:szCs w:val="28"/>
          <w:lang w:val="uk-UA" w:eastAsia="ru-RU"/>
        </w:rPr>
        <w:t>.</w:t>
      </w:r>
    </w:p>
    <w:p w:rsidR="000721A8" w:rsidRPr="000721A8" w:rsidRDefault="000721A8" w:rsidP="0094356E">
      <w:pPr>
        <w:autoSpaceDE w:val="0"/>
        <w:autoSpaceDN w:val="0"/>
        <w:adjustRightInd w:val="0"/>
        <w:spacing w:line="360" w:lineRule="auto"/>
        <w:jc w:val="both"/>
        <w:rPr>
          <w:sz w:val="28"/>
          <w:szCs w:val="28"/>
          <w:lang w:val="uk-UA" w:eastAsia="ru-RU"/>
        </w:rPr>
      </w:pPr>
      <w:r w:rsidRPr="008E21D0">
        <w:rPr>
          <w:b/>
          <w:i/>
          <w:sz w:val="28"/>
          <w:szCs w:val="28"/>
          <w:lang w:val="uk-UA" w:eastAsia="ru-RU"/>
        </w:rPr>
        <w:t>Ультразвукове дослідження сонних артерій</w:t>
      </w:r>
      <w:r w:rsidRPr="000721A8">
        <w:rPr>
          <w:sz w:val="28"/>
          <w:szCs w:val="28"/>
          <w:lang w:val="uk-UA" w:eastAsia="ru-RU"/>
        </w:rPr>
        <w:t xml:space="preserve"> з виміром товщини комплексу інтиму-медіа (КІМ) і оцінкою наявності бляшок дозволяє прогнозувати </w:t>
      </w:r>
      <w:r w:rsidR="00864E13">
        <w:rPr>
          <w:sz w:val="28"/>
          <w:szCs w:val="28"/>
          <w:lang w:val="uk-UA" w:eastAsia="ru-RU"/>
        </w:rPr>
        <w:t>і</w:t>
      </w:r>
      <w:r w:rsidRPr="000721A8">
        <w:rPr>
          <w:sz w:val="28"/>
          <w:szCs w:val="28"/>
          <w:lang w:val="uk-UA" w:eastAsia="ru-RU"/>
        </w:rPr>
        <w:t>нсульт</w:t>
      </w:r>
      <w:r w:rsidR="00864E13">
        <w:rPr>
          <w:sz w:val="28"/>
          <w:szCs w:val="28"/>
          <w:lang w:val="uk-UA" w:eastAsia="ru-RU"/>
        </w:rPr>
        <w:t xml:space="preserve"> і інфаркт міокарду</w:t>
      </w:r>
      <w:r w:rsidRPr="000721A8">
        <w:rPr>
          <w:sz w:val="28"/>
          <w:szCs w:val="28"/>
          <w:lang w:val="uk-UA" w:eastAsia="ru-RU"/>
        </w:rPr>
        <w:t xml:space="preserve">, незалежно від традиційних серцево-судинних факторів ризику. КІМ вимірюють на рівні біфуркації сонної артерії (що відображає головним чином атеросклероз), і на рівні загальної сонної артерії (що відображає в основному судинну гіпертрофію). КІМ сонної артерії &gt;0.9 мм розглядається як критерій </w:t>
      </w:r>
      <w:proofErr w:type="spellStart"/>
      <w:r w:rsidRPr="000721A8">
        <w:rPr>
          <w:sz w:val="28"/>
          <w:szCs w:val="28"/>
          <w:lang w:val="uk-UA" w:eastAsia="ru-RU"/>
        </w:rPr>
        <w:t>безсимтомного</w:t>
      </w:r>
      <w:proofErr w:type="spellEnd"/>
      <w:r w:rsidRPr="000721A8">
        <w:rPr>
          <w:sz w:val="28"/>
          <w:szCs w:val="28"/>
          <w:lang w:val="uk-UA" w:eastAsia="ru-RU"/>
        </w:rPr>
        <w:t xml:space="preserve"> ураження сонних артерій і відображає процеси патологічного </w:t>
      </w:r>
      <w:proofErr w:type="spellStart"/>
      <w:r w:rsidRPr="000721A8">
        <w:rPr>
          <w:sz w:val="28"/>
          <w:szCs w:val="28"/>
          <w:lang w:val="uk-UA" w:eastAsia="ru-RU"/>
        </w:rPr>
        <w:t>ремоделювання</w:t>
      </w:r>
      <w:proofErr w:type="spellEnd"/>
      <w:r w:rsidRPr="000721A8">
        <w:rPr>
          <w:sz w:val="28"/>
          <w:szCs w:val="28"/>
          <w:lang w:val="uk-UA" w:eastAsia="ru-RU"/>
        </w:rPr>
        <w:t xml:space="preserve"> судин при АГ.</w:t>
      </w:r>
      <w:r w:rsidR="00864E13">
        <w:rPr>
          <w:sz w:val="28"/>
          <w:szCs w:val="28"/>
          <w:lang w:val="uk-UA" w:eastAsia="ru-RU"/>
        </w:rPr>
        <w:t xml:space="preserve"> </w:t>
      </w:r>
      <w:r w:rsidRPr="000721A8">
        <w:rPr>
          <w:sz w:val="28"/>
          <w:szCs w:val="28"/>
          <w:lang w:val="uk-UA" w:eastAsia="ru-RU"/>
        </w:rPr>
        <w:t xml:space="preserve">Про наявність бляшки говорить КІМ &gt;1.5 мм або локальне збільшення товщини на 0.5 мм або на 50%, у порівнянні зі значенням КІМ у прилеглих ділянках сонної артерії. Атеросклеротична бляшка є </w:t>
      </w:r>
      <w:proofErr w:type="spellStart"/>
      <w:r w:rsidR="00864E13">
        <w:rPr>
          <w:sz w:val="28"/>
          <w:szCs w:val="28"/>
          <w:lang w:val="uk-UA" w:eastAsia="ru-RU"/>
        </w:rPr>
        <w:t>валідним</w:t>
      </w:r>
      <w:proofErr w:type="spellEnd"/>
      <w:r w:rsidR="00864E13">
        <w:rPr>
          <w:sz w:val="28"/>
          <w:szCs w:val="28"/>
          <w:lang w:val="uk-UA" w:eastAsia="ru-RU"/>
        </w:rPr>
        <w:t xml:space="preserve"> </w:t>
      </w:r>
      <w:r w:rsidRPr="000721A8">
        <w:rPr>
          <w:sz w:val="28"/>
          <w:szCs w:val="28"/>
          <w:lang w:val="uk-UA" w:eastAsia="ru-RU"/>
        </w:rPr>
        <w:t xml:space="preserve">незалежним </w:t>
      </w:r>
      <w:proofErr w:type="spellStart"/>
      <w:r w:rsidRPr="000721A8">
        <w:rPr>
          <w:sz w:val="28"/>
          <w:szCs w:val="28"/>
          <w:lang w:val="uk-UA" w:eastAsia="ru-RU"/>
        </w:rPr>
        <w:t>предиктором</w:t>
      </w:r>
      <w:proofErr w:type="spellEnd"/>
      <w:r w:rsidRPr="000721A8">
        <w:rPr>
          <w:sz w:val="28"/>
          <w:szCs w:val="28"/>
          <w:lang w:val="uk-UA" w:eastAsia="ru-RU"/>
        </w:rPr>
        <w:t xml:space="preserve"> серцево-судинних подій.</w:t>
      </w:r>
    </w:p>
    <w:p w:rsidR="000721A8" w:rsidRPr="000721A8" w:rsidRDefault="008E21D0" w:rsidP="0094356E">
      <w:pPr>
        <w:autoSpaceDE w:val="0"/>
        <w:autoSpaceDN w:val="0"/>
        <w:adjustRightInd w:val="0"/>
        <w:spacing w:line="360" w:lineRule="auto"/>
        <w:jc w:val="both"/>
        <w:rPr>
          <w:sz w:val="28"/>
          <w:szCs w:val="28"/>
          <w:lang w:val="uk-UA" w:eastAsia="ru-RU"/>
        </w:rPr>
      </w:pPr>
      <w:r w:rsidRPr="008E21D0">
        <w:rPr>
          <w:b/>
          <w:i/>
          <w:sz w:val="28"/>
          <w:szCs w:val="28"/>
          <w:lang w:val="uk-UA" w:eastAsia="ru-RU"/>
        </w:rPr>
        <w:t xml:space="preserve">Феномен </w:t>
      </w:r>
      <w:r w:rsidR="000721A8" w:rsidRPr="008E21D0">
        <w:rPr>
          <w:b/>
          <w:i/>
          <w:sz w:val="28"/>
          <w:szCs w:val="28"/>
          <w:lang w:val="uk-UA" w:eastAsia="ru-RU"/>
        </w:rPr>
        <w:t>жорсткості великих артерій і відбиття пульсової хвилі</w:t>
      </w:r>
      <w:r w:rsidR="000721A8" w:rsidRPr="000721A8">
        <w:rPr>
          <w:sz w:val="28"/>
          <w:szCs w:val="28"/>
          <w:lang w:val="uk-UA" w:eastAsia="ru-RU"/>
        </w:rPr>
        <w:t xml:space="preserve"> є найважливішими патофізіологічними детермінантами </w:t>
      </w:r>
      <w:r w:rsidR="00864E13">
        <w:rPr>
          <w:sz w:val="28"/>
          <w:szCs w:val="28"/>
          <w:lang w:val="uk-UA" w:eastAsia="ru-RU"/>
        </w:rPr>
        <w:t>ізольованої систолічної артеріальної гіпертензії (</w:t>
      </w:r>
      <w:r w:rsidR="000721A8" w:rsidRPr="000721A8">
        <w:rPr>
          <w:sz w:val="28"/>
          <w:szCs w:val="28"/>
          <w:lang w:val="uk-UA" w:eastAsia="ru-RU"/>
        </w:rPr>
        <w:t>ІСАГ</w:t>
      </w:r>
      <w:r w:rsidR="00864E13">
        <w:rPr>
          <w:sz w:val="28"/>
          <w:szCs w:val="28"/>
          <w:lang w:val="uk-UA" w:eastAsia="ru-RU"/>
        </w:rPr>
        <w:t>)</w:t>
      </w:r>
      <w:r w:rsidR="000721A8" w:rsidRPr="000721A8">
        <w:rPr>
          <w:sz w:val="28"/>
          <w:szCs w:val="28"/>
          <w:lang w:val="uk-UA" w:eastAsia="ru-RU"/>
        </w:rPr>
        <w:t xml:space="preserve"> і </w:t>
      </w:r>
      <w:proofErr w:type="spellStart"/>
      <w:r>
        <w:rPr>
          <w:sz w:val="28"/>
          <w:szCs w:val="28"/>
          <w:lang w:val="uk-UA" w:eastAsia="ru-RU"/>
        </w:rPr>
        <w:t>верифікується</w:t>
      </w:r>
      <w:proofErr w:type="spellEnd"/>
      <w:r>
        <w:rPr>
          <w:sz w:val="28"/>
          <w:szCs w:val="28"/>
          <w:lang w:val="uk-UA" w:eastAsia="ru-RU"/>
        </w:rPr>
        <w:t xml:space="preserve"> </w:t>
      </w:r>
      <w:r w:rsidR="000721A8" w:rsidRPr="000721A8">
        <w:rPr>
          <w:sz w:val="28"/>
          <w:szCs w:val="28"/>
          <w:lang w:val="uk-UA" w:eastAsia="ru-RU"/>
        </w:rPr>
        <w:t xml:space="preserve">зростання пульсового тиску при старінні. Швидкість </w:t>
      </w:r>
      <w:proofErr w:type="spellStart"/>
      <w:r w:rsidR="000721A8" w:rsidRPr="000721A8">
        <w:rPr>
          <w:sz w:val="28"/>
          <w:szCs w:val="28"/>
          <w:lang w:val="uk-UA" w:eastAsia="ru-RU"/>
        </w:rPr>
        <w:t>каротидно-феморальної</w:t>
      </w:r>
      <w:proofErr w:type="spellEnd"/>
      <w:r w:rsidR="000721A8" w:rsidRPr="000721A8">
        <w:rPr>
          <w:sz w:val="28"/>
          <w:szCs w:val="28"/>
          <w:lang w:val="uk-UA" w:eastAsia="ru-RU"/>
        </w:rPr>
        <w:t xml:space="preserve"> пульсової хвилі (ШПХ) – це «золотий стандарт» виміру аортальної жорсткості. Граничне значення ШПХ до 10 м/</w:t>
      </w:r>
      <w:proofErr w:type="spellStart"/>
      <w:r w:rsidR="000721A8" w:rsidRPr="000721A8">
        <w:rPr>
          <w:sz w:val="28"/>
          <w:szCs w:val="28"/>
          <w:lang w:val="uk-UA" w:eastAsia="ru-RU"/>
        </w:rPr>
        <w:t>сек</w:t>
      </w:r>
      <w:proofErr w:type="spellEnd"/>
      <w:r w:rsidR="000721A8" w:rsidRPr="000721A8">
        <w:rPr>
          <w:sz w:val="28"/>
          <w:szCs w:val="28"/>
          <w:lang w:val="uk-UA" w:eastAsia="ru-RU"/>
        </w:rPr>
        <w:t xml:space="preserve"> </w:t>
      </w:r>
      <w:r w:rsidR="000721A8" w:rsidRPr="000721A8">
        <w:rPr>
          <w:sz w:val="28"/>
          <w:szCs w:val="28"/>
          <w:lang w:val="uk-UA" w:eastAsia="ru-RU"/>
        </w:rPr>
        <w:lastRenderedPageBreak/>
        <w:t>розглядається як показник жорсткості великих артерій.</w:t>
      </w:r>
      <w:r>
        <w:rPr>
          <w:sz w:val="28"/>
          <w:szCs w:val="28"/>
          <w:lang w:val="uk-UA" w:eastAsia="ru-RU"/>
        </w:rPr>
        <w:t xml:space="preserve"> </w:t>
      </w:r>
      <w:r w:rsidR="000721A8" w:rsidRPr="000721A8">
        <w:rPr>
          <w:sz w:val="28"/>
          <w:szCs w:val="28"/>
          <w:lang w:val="uk-UA" w:eastAsia="ru-RU"/>
        </w:rPr>
        <w:t>Аортальна жорсткість має незалежну прогностичну значимість у відношенні фатальних і нефатальних серцево-судинних подій у хворих АГ. У ряді д</w:t>
      </w:r>
      <w:r w:rsidR="002611CA">
        <w:rPr>
          <w:sz w:val="28"/>
          <w:szCs w:val="28"/>
          <w:lang w:val="uk-UA" w:eastAsia="ru-RU"/>
        </w:rPr>
        <w:t>осліджень було кількісно оцінено</w:t>
      </w:r>
      <w:r w:rsidR="000721A8" w:rsidRPr="000721A8">
        <w:rPr>
          <w:sz w:val="28"/>
          <w:szCs w:val="28"/>
          <w:lang w:val="uk-UA" w:eastAsia="ru-RU"/>
        </w:rPr>
        <w:t xml:space="preserve"> значення ШПХ, на додаток до традиційних факторів ризику, включаючи SCORE і </w:t>
      </w:r>
      <w:proofErr w:type="spellStart"/>
      <w:r w:rsidR="000721A8" w:rsidRPr="000721A8">
        <w:rPr>
          <w:sz w:val="28"/>
          <w:szCs w:val="28"/>
          <w:lang w:val="uk-UA" w:eastAsia="ru-RU"/>
        </w:rPr>
        <w:t>Фремінгемський</w:t>
      </w:r>
      <w:proofErr w:type="spellEnd"/>
      <w:r w:rsidR="000721A8" w:rsidRPr="000721A8">
        <w:rPr>
          <w:sz w:val="28"/>
          <w:szCs w:val="28"/>
          <w:lang w:val="uk-UA" w:eastAsia="ru-RU"/>
        </w:rPr>
        <w:t xml:space="preserve"> бал ризику. За результатами виміру жорсткості артерій значна частина хворих із групи середнього ризику може бути </w:t>
      </w:r>
      <w:proofErr w:type="spellStart"/>
      <w:r w:rsidR="000721A8" w:rsidRPr="000721A8">
        <w:rPr>
          <w:sz w:val="28"/>
          <w:szCs w:val="28"/>
          <w:lang w:val="uk-UA" w:eastAsia="ru-RU"/>
        </w:rPr>
        <w:t>рекласифікована</w:t>
      </w:r>
      <w:proofErr w:type="spellEnd"/>
      <w:r w:rsidR="000721A8" w:rsidRPr="000721A8">
        <w:rPr>
          <w:sz w:val="28"/>
          <w:szCs w:val="28"/>
          <w:lang w:val="uk-UA" w:eastAsia="ru-RU"/>
        </w:rPr>
        <w:t xml:space="preserve"> в групи більш високого або більш низького серцево-судинного ризику.</w:t>
      </w:r>
    </w:p>
    <w:p w:rsidR="000721A8" w:rsidRPr="000721A8" w:rsidRDefault="008E21D0" w:rsidP="0094356E">
      <w:pPr>
        <w:autoSpaceDE w:val="0"/>
        <w:autoSpaceDN w:val="0"/>
        <w:adjustRightInd w:val="0"/>
        <w:spacing w:line="360" w:lineRule="auto"/>
        <w:jc w:val="both"/>
        <w:outlineLvl w:val="0"/>
        <w:rPr>
          <w:sz w:val="28"/>
          <w:szCs w:val="28"/>
          <w:lang w:val="uk-UA" w:eastAsia="ru-RU"/>
        </w:rPr>
      </w:pPr>
      <w:proofErr w:type="spellStart"/>
      <w:r w:rsidRPr="008E21D0">
        <w:rPr>
          <w:b/>
          <w:i/>
          <w:sz w:val="28"/>
          <w:szCs w:val="28"/>
          <w:lang w:val="uk-UA" w:eastAsia="ru-RU"/>
        </w:rPr>
        <w:t>Плечо</w:t>
      </w:r>
      <w:proofErr w:type="spellEnd"/>
      <w:r w:rsidRPr="008E21D0">
        <w:rPr>
          <w:b/>
          <w:i/>
          <w:sz w:val="28"/>
          <w:szCs w:val="28"/>
          <w:lang w:val="uk-UA" w:eastAsia="ru-RU"/>
        </w:rPr>
        <w:t>-гомілковий</w:t>
      </w:r>
      <w:r w:rsidR="000721A8" w:rsidRPr="008E21D0">
        <w:rPr>
          <w:b/>
          <w:i/>
          <w:sz w:val="28"/>
          <w:szCs w:val="28"/>
          <w:lang w:val="uk-UA" w:eastAsia="ru-RU"/>
        </w:rPr>
        <w:t xml:space="preserve"> індекс (</w:t>
      </w:r>
      <w:r w:rsidRPr="008E21D0">
        <w:rPr>
          <w:b/>
          <w:i/>
          <w:sz w:val="28"/>
          <w:szCs w:val="28"/>
          <w:lang w:val="uk-UA" w:eastAsia="ru-RU"/>
        </w:rPr>
        <w:t>ПГІ</w:t>
      </w:r>
      <w:r w:rsidR="000721A8" w:rsidRPr="008E21D0">
        <w:rPr>
          <w:b/>
          <w:i/>
          <w:sz w:val="28"/>
          <w:szCs w:val="28"/>
          <w:lang w:val="uk-UA" w:eastAsia="ru-RU"/>
        </w:rPr>
        <w:t>)</w:t>
      </w:r>
      <w:r w:rsidR="000721A8" w:rsidRPr="000721A8">
        <w:rPr>
          <w:sz w:val="28"/>
          <w:szCs w:val="28"/>
          <w:lang w:val="uk-UA" w:eastAsia="ru-RU"/>
        </w:rPr>
        <w:t xml:space="preserve"> може допомогою </w:t>
      </w:r>
      <w:proofErr w:type="spellStart"/>
      <w:r w:rsidR="000721A8" w:rsidRPr="000721A8">
        <w:rPr>
          <w:sz w:val="28"/>
          <w:szCs w:val="28"/>
          <w:lang w:val="uk-UA" w:eastAsia="ru-RU"/>
        </w:rPr>
        <w:t>доплерометра</w:t>
      </w:r>
      <w:proofErr w:type="spellEnd"/>
      <w:r w:rsidR="000721A8" w:rsidRPr="000721A8">
        <w:rPr>
          <w:sz w:val="28"/>
          <w:szCs w:val="28"/>
          <w:lang w:val="uk-UA" w:eastAsia="ru-RU"/>
        </w:rPr>
        <w:t xml:space="preserve"> з безперервною хвилею й сфігмоманометра для виміру АТ. Низький </w:t>
      </w:r>
      <w:r>
        <w:rPr>
          <w:sz w:val="28"/>
          <w:szCs w:val="28"/>
          <w:lang w:val="uk-UA" w:eastAsia="ru-RU"/>
        </w:rPr>
        <w:t>ПГІ</w:t>
      </w:r>
      <w:r w:rsidR="000721A8" w:rsidRPr="000721A8">
        <w:rPr>
          <w:sz w:val="28"/>
          <w:szCs w:val="28"/>
          <w:lang w:val="uk-UA" w:eastAsia="ru-RU"/>
        </w:rPr>
        <w:t xml:space="preserve"> (&lt;0.9) указує на </w:t>
      </w:r>
      <w:r>
        <w:rPr>
          <w:sz w:val="28"/>
          <w:szCs w:val="28"/>
          <w:lang w:val="uk-UA" w:eastAsia="ru-RU"/>
        </w:rPr>
        <w:t>ураження</w:t>
      </w:r>
      <w:r w:rsidR="000721A8" w:rsidRPr="000721A8">
        <w:rPr>
          <w:sz w:val="28"/>
          <w:szCs w:val="28"/>
          <w:lang w:val="uk-UA" w:eastAsia="ru-RU"/>
        </w:rPr>
        <w:t xml:space="preserve"> периферичних артерій і на виражений атеросклероз у цілому і є </w:t>
      </w:r>
      <w:proofErr w:type="spellStart"/>
      <w:r w:rsidR="000721A8" w:rsidRPr="000721A8">
        <w:rPr>
          <w:sz w:val="28"/>
          <w:szCs w:val="28"/>
          <w:lang w:val="uk-UA" w:eastAsia="ru-RU"/>
        </w:rPr>
        <w:t>предиктором</w:t>
      </w:r>
      <w:proofErr w:type="spellEnd"/>
      <w:r w:rsidR="000721A8" w:rsidRPr="000721A8">
        <w:rPr>
          <w:sz w:val="28"/>
          <w:szCs w:val="28"/>
          <w:lang w:val="uk-UA" w:eastAsia="ru-RU"/>
        </w:rPr>
        <w:t xml:space="preserve"> серцево-судинних подій </w:t>
      </w:r>
      <w:r>
        <w:rPr>
          <w:sz w:val="28"/>
          <w:szCs w:val="28"/>
          <w:lang w:val="uk-UA" w:eastAsia="ru-RU"/>
        </w:rPr>
        <w:t>та</w:t>
      </w:r>
      <w:r w:rsidR="000721A8" w:rsidRPr="000721A8">
        <w:rPr>
          <w:sz w:val="28"/>
          <w:szCs w:val="28"/>
          <w:lang w:val="uk-UA" w:eastAsia="ru-RU"/>
        </w:rPr>
        <w:t xml:space="preserve"> асоційований приблизно із дворазовим збільшенням серцево-судинної смертності й частоти основних коронарних подій, у порівнянні із загальними показниками в кожн</w:t>
      </w:r>
      <w:r>
        <w:rPr>
          <w:sz w:val="28"/>
          <w:szCs w:val="28"/>
          <w:lang w:val="uk-UA" w:eastAsia="ru-RU"/>
        </w:rPr>
        <w:t>ій</w:t>
      </w:r>
      <w:r w:rsidR="000721A8" w:rsidRPr="000721A8">
        <w:rPr>
          <w:sz w:val="28"/>
          <w:szCs w:val="28"/>
          <w:lang w:val="uk-UA" w:eastAsia="ru-RU"/>
        </w:rPr>
        <w:t xml:space="preserve"> категорії ризику. Крім того, у </w:t>
      </w:r>
      <w:proofErr w:type="spellStart"/>
      <w:r w:rsidR="000721A8" w:rsidRPr="000721A8">
        <w:rPr>
          <w:sz w:val="28"/>
          <w:szCs w:val="28"/>
          <w:lang w:val="uk-UA" w:eastAsia="ru-RU"/>
        </w:rPr>
        <w:t>проспективних</w:t>
      </w:r>
      <w:proofErr w:type="spellEnd"/>
      <w:r w:rsidR="000721A8" w:rsidRPr="000721A8">
        <w:rPr>
          <w:sz w:val="28"/>
          <w:szCs w:val="28"/>
          <w:lang w:val="uk-UA" w:eastAsia="ru-RU"/>
        </w:rPr>
        <w:t xml:space="preserve"> дослідженнях встановлено, що навіть безсимптомне ураження периферичних артерій (</w:t>
      </w:r>
      <w:r>
        <w:rPr>
          <w:sz w:val="28"/>
          <w:szCs w:val="28"/>
          <w:lang w:val="uk-UA" w:eastAsia="ru-RU"/>
        </w:rPr>
        <w:t>БУ</w:t>
      </w:r>
      <w:r w:rsidR="000721A8" w:rsidRPr="000721A8">
        <w:rPr>
          <w:sz w:val="28"/>
          <w:szCs w:val="28"/>
          <w:lang w:val="uk-UA" w:eastAsia="ru-RU"/>
        </w:rPr>
        <w:t xml:space="preserve">ПА), </w:t>
      </w:r>
      <w:proofErr w:type="spellStart"/>
      <w:r w:rsidR="000721A8" w:rsidRPr="000721A8">
        <w:rPr>
          <w:sz w:val="28"/>
          <w:szCs w:val="28"/>
          <w:lang w:val="uk-UA" w:eastAsia="ru-RU"/>
        </w:rPr>
        <w:t>діагностован</w:t>
      </w:r>
      <w:r>
        <w:rPr>
          <w:sz w:val="28"/>
          <w:szCs w:val="28"/>
          <w:lang w:val="uk-UA" w:eastAsia="ru-RU"/>
        </w:rPr>
        <w:t>е</w:t>
      </w:r>
      <w:proofErr w:type="spellEnd"/>
      <w:r w:rsidR="000721A8" w:rsidRPr="000721A8">
        <w:rPr>
          <w:sz w:val="28"/>
          <w:szCs w:val="28"/>
          <w:lang w:val="uk-UA" w:eastAsia="ru-RU"/>
        </w:rPr>
        <w:t xml:space="preserve"> за низьким </w:t>
      </w:r>
      <w:r>
        <w:rPr>
          <w:sz w:val="28"/>
          <w:szCs w:val="28"/>
          <w:lang w:val="uk-UA" w:eastAsia="ru-RU"/>
        </w:rPr>
        <w:t>ПГІ</w:t>
      </w:r>
      <w:r w:rsidR="000721A8" w:rsidRPr="000721A8">
        <w:rPr>
          <w:sz w:val="28"/>
          <w:szCs w:val="28"/>
          <w:lang w:val="uk-UA" w:eastAsia="ru-RU"/>
        </w:rPr>
        <w:t xml:space="preserve"> у чоловіків супроводжується </w:t>
      </w:r>
      <w:r>
        <w:rPr>
          <w:sz w:val="28"/>
          <w:szCs w:val="28"/>
          <w:lang w:val="uk-UA" w:eastAsia="ru-RU"/>
        </w:rPr>
        <w:t xml:space="preserve">збільшенням на </w:t>
      </w:r>
      <w:r w:rsidR="000721A8" w:rsidRPr="000721A8">
        <w:rPr>
          <w:sz w:val="28"/>
          <w:szCs w:val="28"/>
          <w:lang w:val="uk-UA" w:eastAsia="ru-RU"/>
        </w:rPr>
        <w:t xml:space="preserve">20% серцево-судинної захворюваності й смертності в найближчі 10 років. </w:t>
      </w:r>
    </w:p>
    <w:p w:rsidR="000721A8" w:rsidRPr="000721A8" w:rsidRDefault="001805D9" w:rsidP="0094356E">
      <w:pPr>
        <w:autoSpaceDE w:val="0"/>
        <w:autoSpaceDN w:val="0"/>
        <w:adjustRightInd w:val="0"/>
        <w:spacing w:line="360" w:lineRule="auto"/>
        <w:jc w:val="both"/>
        <w:rPr>
          <w:sz w:val="28"/>
          <w:szCs w:val="28"/>
          <w:lang w:val="uk-UA" w:eastAsia="ru-RU"/>
        </w:rPr>
      </w:pPr>
      <w:r w:rsidRPr="0094356E">
        <w:rPr>
          <w:b/>
          <w:sz w:val="28"/>
          <w:szCs w:val="28"/>
          <w:lang w:val="uk-UA" w:eastAsia="ru-RU"/>
        </w:rPr>
        <w:t>Діагностика</w:t>
      </w:r>
      <w:r w:rsidR="00B85738" w:rsidRPr="0094356E">
        <w:rPr>
          <w:b/>
          <w:sz w:val="28"/>
          <w:szCs w:val="28"/>
          <w:lang w:val="uk-UA" w:eastAsia="ru-RU"/>
        </w:rPr>
        <w:t xml:space="preserve"> безсимптомного ураження нирок </w:t>
      </w:r>
      <w:r w:rsidR="00AB783D" w:rsidRPr="0094356E">
        <w:rPr>
          <w:b/>
          <w:sz w:val="28"/>
          <w:szCs w:val="28"/>
          <w:lang w:val="uk-UA" w:eastAsia="ru-RU"/>
        </w:rPr>
        <w:t>при АГ</w:t>
      </w:r>
      <w:r w:rsidR="000721A8" w:rsidRPr="000721A8">
        <w:rPr>
          <w:sz w:val="28"/>
          <w:szCs w:val="28"/>
          <w:lang w:val="uk-UA" w:eastAsia="ru-RU"/>
        </w:rPr>
        <w:t xml:space="preserve"> ґрунтується на виявленні зниженої функції нирок і/або підвищеної екскреції альбуміну із сечею. </w:t>
      </w:r>
      <w:r>
        <w:rPr>
          <w:sz w:val="28"/>
          <w:szCs w:val="28"/>
          <w:lang w:val="uk-UA" w:eastAsia="ru-RU"/>
        </w:rPr>
        <w:t>Хронічну хворобу нирок (ХХ</w:t>
      </w:r>
      <w:r w:rsidR="000721A8" w:rsidRPr="000721A8">
        <w:rPr>
          <w:sz w:val="28"/>
          <w:szCs w:val="28"/>
          <w:lang w:val="uk-UA" w:eastAsia="ru-RU"/>
        </w:rPr>
        <w:t>Н</w:t>
      </w:r>
      <w:r>
        <w:rPr>
          <w:sz w:val="28"/>
          <w:szCs w:val="28"/>
          <w:lang w:val="uk-UA" w:eastAsia="ru-RU"/>
        </w:rPr>
        <w:t xml:space="preserve">) </w:t>
      </w:r>
      <w:r w:rsidR="000721A8" w:rsidRPr="000721A8">
        <w:rPr>
          <w:sz w:val="28"/>
          <w:szCs w:val="28"/>
          <w:lang w:val="uk-UA" w:eastAsia="ru-RU"/>
        </w:rPr>
        <w:t xml:space="preserve">класифікують залежно від </w:t>
      </w:r>
      <w:proofErr w:type="spellStart"/>
      <w:r w:rsidR="000721A8" w:rsidRPr="000721A8">
        <w:rPr>
          <w:sz w:val="28"/>
          <w:szCs w:val="28"/>
          <w:lang w:val="uk-UA" w:eastAsia="ru-RU"/>
        </w:rPr>
        <w:t>рШКФ</w:t>
      </w:r>
      <w:proofErr w:type="spellEnd"/>
      <w:r w:rsidR="000721A8" w:rsidRPr="000721A8">
        <w:rPr>
          <w:sz w:val="28"/>
          <w:szCs w:val="28"/>
          <w:lang w:val="uk-UA" w:eastAsia="ru-RU"/>
        </w:rPr>
        <w:t xml:space="preserve"> (швидкості </w:t>
      </w:r>
      <w:proofErr w:type="spellStart"/>
      <w:r w:rsidR="000721A8" w:rsidRPr="000721A8">
        <w:rPr>
          <w:sz w:val="28"/>
          <w:szCs w:val="28"/>
          <w:lang w:val="uk-UA" w:eastAsia="ru-RU"/>
        </w:rPr>
        <w:t>клубочкової</w:t>
      </w:r>
      <w:proofErr w:type="spellEnd"/>
      <w:r w:rsidR="000721A8" w:rsidRPr="000721A8">
        <w:rPr>
          <w:sz w:val="28"/>
          <w:szCs w:val="28"/>
          <w:lang w:val="uk-UA" w:eastAsia="ru-RU"/>
        </w:rPr>
        <w:t xml:space="preserve"> фільтрації), яку розраховують по скороченій формулі MDRD</w:t>
      </w:r>
      <w:r w:rsidR="002611CA">
        <w:rPr>
          <w:sz w:val="28"/>
          <w:szCs w:val="28"/>
          <w:lang w:val="uk-UA" w:eastAsia="ru-RU"/>
        </w:rPr>
        <w:t xml:space="preserve">, по формулі </w:t>
      </w:r>
      <w:proofErr w:type="spellStart"/>
      <w:r w:rsidR="002611CA">
        <w:rPr>
          <w:sz w:val="28"/>
          <w:szCs w:val="28"/>
          <w:lang w:val="uk-UA" w:eastAsia="ru-RU"/>
        </w:rPr>
        <w:t>Кокрофта-Голта</w:t>
      </w:r>
      <w:proofErr w:type="spellEnd"/>
      <w:r w:rsidR="002611CA">
        <w:rPr>
          <w:sz w:val="28"/>
          <w:szCs w:val="28"/>
          <w:lang w:val="uk-UA" w:eastAsia="ru-RU"/>
        </w:rPr>
        <w:t xml:space="preserve"> або</w:t>
      </w:r>
      <w:r w:rsidR="000721A8" w:rsidRPr="000721A8">
        <w:rPr>
          <w:sz w:val="28"/>
          <w:szCs w:val="28"/>
          <w:lang w:val="uk-UA" w:eastAsia="ru-RU"/>
        </w:rPr>
        <w:t xml:space="preserve"> за формулою CKD-EPI, для чого потрібно знати вік, стать, расу й рівень креатиніну сироватки. При </w:t>
      </w:r>
      <w:proofErr w:type="spellStart"/>
      <w:r w:rsidR="000721A8" w:rsidRPr="000721A8">
        <w:rPr>
          <w:sz w:val="28"/>
          <w:szCs w:val="28"/>
          <w:lang w:val="uk-UA" w:eastAsia="ru-RU"/>
        </w:rPr>
        <w:t>рШКФ</w:t>
      </w:r>
      <w:proofErr w:type="spellEnd"/>
      <w:r w:rsidR="000721A8" w:rsidRPr="000721A8">
        <w:rPr>
          <w:sz w:val="28"/>
          <w:szCs w:val="28"/>
          <w:lang w:val="uk-UA" w:eastAsia="ru-RU"/>
        </w:rPr>
        <w:t xml:space="preserve"> менш 60 мл/хв/1.73 м</w:t>
      </w:r>
      <w:r w:rsidR="000721A8" w:rsidRPr="000721A8">
        <w:rPr>
          <w:sz w:val="28"/>
          <w:szCs w:val="28"/>
          <w:vertAlign w:val="superscript"/>
          <w:lang w:val="uk-UA" w:eastAsia="ru-RU"/>
        </w:rPr>
        <w:t>2</w:t>
      </w:r>
      <w:r w:rsidR="000721A8" w:rsidRPr="000721A8">
        <w:rPr>
          <w:sz w:val="28"/>
          <w:szCs w:val="28"/>
          <w:lang w:val="uk-UA" w:eastAsia="ru-RU"/>
        </w:rPr>
        <w:t xml:space="preserve"> виділяють три стадії ХЗН: 3 стадію (ШКФ 30–60 мл/хв/1.73 м</w:t>
      </w:r>
      <w:r w:rsidR="000721A8" w:rsidRPr="000721A8">
        <w:rPr>
          <w:sz w:val="28"/>
          <w:szCs w:val="28"/>
          <w:vertAlign w:val="superscript"/>
          <w:lang w:val="uk-UA" w:eastAsia="ru-RU"/>
        </w:rPr>
        <w:t>2</w:t>
      </w:r>
      <w:r w:rsidR="000721A8" w:rsidRPr="000721A8">
        <w:rPr>
          <w:sz w:val="28"/>
          <w:szCs w:val="28"/>
          <w:lang w:val="uk-UA" w:eastAsia="ru-RU"/>
        </w:rPr>
        <w:t>) і 4 і 5 стадії (ШКФ менш 30 і 15 мл/хв/1.73 м</w:t>
      </w:r>
      <w:r w:rsidR="000721A8" w:rsidRPr="000721A8">
        <w:rPr>
          <w:sz w:val="28"/>
          <w:szCs w:val="28"/>
          <w:vertAlign w:val="superscript"/>
          <w:lang w:val="uk-UA" w:eastAsia="ru-RU"/>
        </w:rPr>
        <w:t>2</w:t>
      </w:r>
      <w:r w:rsidR="000721A8" w:rsidRPr="000721A8">
        <w:rPr>
          <w:sz w:val="28"/>
          <w:szCs w:val="28"/>
          <w:lang w:val="uk-UA" w:eastAsia="ru-RU"/>
        </w:rPr>
        <w:t>, відповідно). Ці формули допомагають виявити легкий ступінь порушення функції нирок, коли показники креатиніну ще залишаються в межах норми.</w:t>
      </w:r>
    </w:p>
    <w:p w:rsidR="000721A8" w:rsidRPr="000721A8" w:rsidRDefault="000721A8" w:rsidP="000721A8">
      <w:pPr>
        <w:autoSpaceDE w:val="0"/>
        <w:autoSpaceDN w:val="0"/>
        <w:adjustRightInd w:val="0"/>
        <w:spacing w:line="360" w:lineRule="auto"/>
        <w:ind w:firstLine="284"/>
        <w:jc w:val="both"/>
        <w:rPr>
          <w:sz w:val="28"/>
          <w:szCs w:val="28"/>
          <w:lang w:val="uk-UA" w:eastAsia="ru-RU"/>
        </w:rPr>
      </w:pPr>
      <w:r w:rsidRPr="000721A8">
        <w:rPr>
          <w:sz w:val="28"/>
          <w:szCs w:val="28"/>
          <w:lang w:val="uk-UA" w:eastAsia="ru-RU"/>
        </w:rPr>
        <w:t xml:space="preserve">Підвищення концентрації креатиніну в сироватці або зниження </w:t>
      </w:r>
      <w:proofErr w:type="spellStart"/>
      <w:r w:rsidRPr="000721A8">
        <w:rPr>
          <w:sz w:val="28"/>
          <w:szCs w:val="28"/>
          <w:lang w:val="uk-UA" w:eastAsia="ru-RU"/>
        </w:rPr>
        <w:t>рШКФ</w:t>
      </w:r>
      <w:proofErr w:type="spellEnd"/>
      <w:r w:rsidRPr="000721A8">
        <w:rPr>
          <w:sz w:val="28"/>
          <w:szCs w:val="28"/>
          <w:lang w:val="uk-UA" w:eastAsia="ru-RU"/>
        </w:rPr>
        <w:t xml:space="preserve"> </w:t>
      </w:r>
      <w:r w:rsidR="002611CA">
        <w:rPr>
          <w:sz w:val="28"/>
          <w:szCs w:val="28"/>
          <w:lang w:val="uk-UA" w:eastAsia="ru-RU"/>
        </w:rPr>
        <w:t>свідчать про</w:t>
      </w:r>
      <w:r w:rsidRPr="000721A8">
        <w:rPr>
          <w:sz w:val="28"/>
          <w:szCs w:val="28"/>
          <w:lang w:val="uk-UA" w:eastAsia="ru-RU"/>
        </w:rPr>
        <w:t xml:space="preserve"> погіршення функції нирок, підвищення сечової екскреції альбуміну</w:t>
      </w:r>
      <w:r w:rsidR="00AC0B05">
        <w:rPr>
          <w:sz w:val="28"/>
          <w:szCs w:val="28"/>
          <w:lang w:val="uk-UA" w:eastAsia="ru-RU"/>
        </w:rPr>
        <w:t>/</w:t>
      </w:r>
      <w:r w:rsidRPr="000721A8">
        <w:rPr>
          <w:sz w:val="28"/>
          <w:szCs w:val="28"/>
          <w:lang w:val="uk-UA" w:eastAsia="ru-RU"/>
        </w:rPr>
        <w:t xml:space="preserve"> або білка вказує на ураження фільтраційного бар'єра клубочків. </w:t>
      </w:r>
      <w:r w:rsidR="00AC0B05">
        <w:rPr>
          <w:sz w:val="28"/>
          <w:szCs w:val="28"/>
          <w:lang w:val="uk-UA" w:eastAsia="ru-RU"/>
        </w:rPr>
        <w:t>Доведено</w:t>
      </w:r>
      <w:r w:rsidRPr="000721A8">
        <w:rPr>
          <w:sz w:val="28"/>
          <w:szCs w:val="28"/>
          <w:lang w:val="uk-UA" w:eastAsia="ru-RU"/>
        </w:rPr>
        <w:t xml:space="preserve">, що </w:t>
      </w:r>
      <w:proofErr w:type="spellStart"/>
      <w:r w:rsidRPr="000721A8">
        <w:rPr>
          <w:sz w:val="28"/>
          <w:szCs w:val="28"/>
          <w:lang w:val="uk-UA" w:eastAsia="ru-RU"/>
        </w:rPr>
        <w:lastRenderedPageBreak/>
        <w:t>мікроальбумінурія</w:t>
      </w:r>
      <w:proofErr w:type="spellEnd"/>
      <w:r w:rsidRPr="000721A8">
        <w:rPr>
          <w:sz w:val="28"/>
          <w:szCs w:val="28"/>
          <w:lang w:val="uk-UA" w:eastAsia="ru-RU"/>
        </w:rPr>
        <w:t xml:space="preserve"> служить </w:t>
      </w:r>
      <w:proofErr w:type="spellStart"/>
      <w:r w:rsidRPr="000721A8">
        <w:rPr>
          <w:sz w:val="28"/>
          <w:szCs w:val="28"/>
          <w:lang w:val="uk-UA" w:eastAsia="ru-RU"/>
        </w:rPr>
        <w:t>предиктором</w:t>
      </w:r>
      <w:proofErr w:type="spellEnd"/>
      <w:r w:rsidRPr="000721A8">
        <w:rPr>
          <w:sz w:val="28"/>
          <w:szCs w:val="28"/>
          <w:lang w:val="uk-UA" w:eastAsia="ru-RU"/>
        </w:rPr>
        <w:t xml:space="preserve"> розвитку діабетичної нефропатії, у той час як наявність </w:t>
      </w:r>
      <w:proofErr w:type="spellStart"/>
      <w:r w:rsidRPr="000721A8">
        <w:rPr>
          <w:sz w:val="28"/>
          <w:szCs w:val="28"/>
          <w:lang w:val="uk-UA" w:eastAsia="ru-RU"/>
        </w:rPr>
        <w:t>протеінурії</w:t>
      </w:r>
      <w:proofErr w:type="spellEnd"/>
      <w:r w:rsidRPr="000721A8">
        <w:rPr>
          <w:sz w:val="28"/>
          <w:szCs w:val="28"/>
          <w:lang w:val="uk-UA" w:eastAsia="ru-RU"/>
        </w:rPr>
        <w:t xml:space="preserve"> вказує на вже сформоване ураження паренхіми нирок. Було показано, що у хворих АГ з діабетом і без нього </w:t>
      </w:r>
      <w:proofErr w:type="spellStart"/>
      <w:r w:rsidRPr="000721A8">
        <w:rPr>
          <w:sz w:val="28"/>
          <w:szCs w:val="28"/>
          <w:lang w:val="uk-UA" w:eastAsia="ru-RU"/>
        </w:rPr>
        <w:t>мікроальбумінурія</w:t>
      </w:r>
      <w:proofErr w:type="spellEnd"/>
      <w:r w:rsidRPr="000721A8">
        <w:rPr>
          <w:sz w:val="28"/>
          <w:szCs w:val="28"/>
          <w:lang w:val="uk-UA" w:eastAsia="ru-RU"/>
        </w:rPr>
        <w:t xml:space="preserve">, що навіть не перевищує звичайні граничні значення є </w:t>
      </w:r>
      <w:proofErr w:type="spellStart"/>
      <w:r w:rsidRPr="000721A8">
        <w:rPr>
          <w:sz w:val="28"/>
          <w:szCs w:val="28"/>
          <w:lang w:val="uk-UA" w:eastAsia="ru-RU"/>
        </w:rPr>
        <w:t>предиктором</w:t>
      </w:r>
      <w:proofErr w:type="spellEnd"/>
      <w:r w:rsidRPr="000721A8">
        <w:rPr>
          <w:sz w:val="28"/>
          <w:szCs w:val="28"/>
          <w:lang w:val="uk-UA" w:eastAsia="ru-RU"/>
        </w:rPr>
        <w:t xml:space="preserve"> серцево-</w:t>
      </w:r>
      <w:r w:rsidRPr="00776E48">
        <w:rPr>
          <w:sz w:val="28"/>
          <w:szCs w:val="28"/>
          <w:lang w:val="uk-UA" w:eastAsia="ru-RU"/>
        </w:rPr>
        <w:t>судинних подій</w:t>
      </w:r>
      <w:r w:rsidR="00DB5891" w:rsidRPr="00776E48">
        <w:rPr>
          <w:sz w:val="28"/>
          <w:szCs w:val="28"/>
          <w:lang w:val="uk-UA" w:eastAsia="ru-RU"/>
        </w:rPr>
        <w:t xml:space="preserve"> (</w:t>
      </w:r>
      <w:proofErr w:type="spellStart"/>
      <w:r w:rsidR="00DB5891" w:rsidRPr="00776E48">
        <w:rPr>
          <w:rFonts w:eastAsiaTheme="minorHAnsi"/>
          <w:sz w:val="28"/>
          <w:szCs w:val="28"/>
          <w:lang w:val="en-US"/>
        </w:rPr>
        <w:t>Clase</w:t>
      </w:r>
      <w:proofErr w:type="spellEnd"/>
      <w:r w:rsidR="00DB5891" w:rsidRPr="00776E48">
        <w:rPr>
          <w:rFonts w:eastAsiaTheme="minorHAnsi"/>
          <w:sz w:val="28"/>
          <w:szCs w:val="28"/>
          <w:lang w:val="uk-UA"/>
        </w:rPr>
        <w:t xml:space="preserve"> </w:t>
      </w:r>
      <w:r w:rsidR="00DB5891" w:rsidRPr="00776E48">
        <w:rPr>
          <w:rFonts w:eastAsiaTheme="minorHAnsi"/>
          <w:sz w:val="28"/>
          <w:szCs w:val="28"/>
          <w:lang w:val="en-US"/>
        </w:rPr>
        <w:t>C</w:t>
      </w:r>
      <w:r w:rsidR="00DB5891" w:rsidRPr="00776E48">
        <w:rPr>
          <w:rFonts w:eastAsiaTheme="minorHAnsi"/>
          <w:sz w:val="28"/>
          <w:szCs w:val="28"/>
          <w:lang w:val="uk-UA"/>
        </w:rPr>
        <w:t>.</w:t>
      </w:r>
      <w:r w:rsidR="00DB5891" w:rsidRPr="00776E48">
        <w:rPr>
          <w:rFonts w:eastAsiaTheme="minorHAnsi"/>
          <w:sz w:val="28"/>
          <w:szCs w:val="28"/>
          <w:lang w:val="en-US"/>
        </w:rPr>
        <w:t>M</w:t>
      </w:r>
      <w:r w:rsidR="00DB5891" w:rsidRPr="00776E48">
        <w:rPr>
          <w:rFonts w:eastAsiaTheme="minorHAnsi"/>
          <w:sz w:val="28"/>
          <w:szCs w:val="28"/>
          <w:lang w:val="uk-UA"/>
        </w:rPr>
        <w:t>.</w:t>
      </w:r>
      <w:r w:rsidR="00DB5891" w:rsidRPr="00776E48">
        <w:rPr>
          <w:rFonts w:eastAsiaTheme="minorHAnsi"/>
          <w:sz w:val="28"/>
          <w:szCs w:val="28"/>
          <w:lang w:val="uk-UA"/>
        </w:rPr>
        <w:t xml:space="preserve"> </w:t>
      </w:r>
      <w:r w:rsidR="00DB5891" w:rsidRPr="00776E48">
        <w:rPr>
          <w:rFonts w:eastAsiaTheme="minorHAnsi"/>
          <w:sz w:val="28"/>
          <w:szCs w:val="28"/>
          <w:lang w:val="en-US"/>
        </w:rPr>
        <w:t>et</w:t>
      </w:r>
      <w:r w:rsidR="00DB5891" w:rsidRPr="00776E48">
        <w:rPr>
          <w:rFonts w:eastAsiaTheme="minorHAnsi"/>
          <w:sz w:val="28"/>
          <w:szCs w:val="28"/>
          <w:lang w:val="uk-UA"/>
        </w:rPr>
        <w:t xml:space="preserve"> </w:t>
      </w:r>
      <w:r w:rsidR="00DB5891" w:rsidRPr="00776E48">
        <w:rPr>
          <w:rFonts w:eastAsiaTheme="minorHAnsi"/>
          <w:sz w:val="28"/>
          <w:szCs w:val="28"/>
          <w:lang w:val="en-US"/>
        </w:rPr>
        <w:t>al</w:t>
      </w:r>
      <w:r w:rsidR="00DB5891" w:rsidRPr="00776E48">
        <w:rPr>
          <w:rFonts w:eastAsiaTheme="minorHAnsi"/>
          <w:sz w:val="28"/>
          <w:szCs w:val="28"/>
          <w:lang w:val="uk-UA"/>
        </w:rPr>
        <w:t>.,</w:t>
      </w:r>
      <w:r w:rsidR="00DB5891" w:rsidRPr="00776E48">
        <w:rPr>
          <w:rFonts w:eastAsiaTheme="minorHAnsi"/>
          <w:sz w:val="28"/>
          <w:szCs w:val="28"/>
          <w:lang w:val="uk-UA"/>
        </w:rPr>
        <w:t>2017)</w:t>
      </w:r>
      <w:r w:rsidRPr="00776E48">
        <w:rPr>
          <w:sz w:val="28"/>
          <w:szCs w:val="28"/>
          <w:lang w:val="uk-UA" w:eastAsia="ru-RU"/>
        </w:rPr>
        <w:t>. Як у загальній популяції, так і у хворих діабетом одночасне збільшення екскреції білка із сечею</w:t>
      </w:r>
      <w:r w:rsidRPr="000721A8">
        <w:rPr>
          <w:sz w:val="28"/>
          <w:szCs w:val="28"/>
          <w:lang w:val="uk-UA" w:eastAsia="ru-RU"/>
        </w:rPr>
        <w:t xml:space="preserve"> й зниження </w:t>
      </w:r>
      <w:proofErr w:type="spellStart"/>
      <w:r w:rsidRPr="000721A8">
        <w:rPr>
          <w:sz w:val="28"/>
          <w:szCs w:val="28"/>
          <w:lang w:val="uk-UA" w:eastAsia="ru-RU"/>
        </w:rPr>
        <w:t>рШКФ</w:t>
      </w:r>
      <w:proofErr w:type="spellEnd"/>
      <w:r w:rsidRPr="000721A8">
        <w:rPr>
          <w:sz w:val="28"/>
          <w:szCs w:val="28"/>
          <w:lang w:val="uk-UA" w:eastAsia="ru-RU"/>
        </w:rPr>
        <w:t xml:space="preserve"> указує на більший ризик серцево-судинних і ниркових подій, ніж кожна аномалія окремо; таким чином, ці фактори ризику є незалежними й кумулятивними. Граничне значення </w:t>
      </w:r>
      <w:proofErr w:type="spellStart"/>
      <w:r w:rsidRPr="000721A8">
        <w:rPr>
          <w:sz w:val="28"/>
          <w:szCs w:val="28"/>
          <w:lang w:val="uk-UA" w:eastAsia="ru-RU"/>
        </w:rPr>
        <w:t>мікроальбумінурії</w:t>
      </w:r>
      <w:proofErr w:type="spellEnd"/>
      <w:r w:rsidRPr="000721A8">
        <w:rPr>
          <w:sz w:val="28"/>
          <w:szCs w:val="28"/>
          <w:lang w:val="uk-UA" w:eastAsia="ru-RU"/>
        </w:rPr>
        <w:t xml:space="preserve"> обрано на рівні 30- 300 мг/г. Виявлення порушеної функції нирок у хворого АГ, що виражається у вигляді </w:t>
      </w:r>
      <w:r w:rsidR="00AC0B05">
        <w:rPr>
          <w:sz w:val="28"/>
          <w:szCs w:val="28"/>
          <w:lang w:val="uk-UA" w:eastAsia="ru-RU"/>
        </w:rPr>
        <w:t>вищенаведених</w:t>
      </w:r>
      <w:r w:rsidRPr="000721A8">
        <w:rPr>
          <w:sz w:val="28"/>
          <w:szCs w:val="28"/>
          <w:lang w:val="uk-UA" w:eastAsia="ru-RU"/>
        </w:rPr>
        <w:t xml:space="preserve"> порушень, являє собою дуже поту</w:t>
      </w:r>
      <w:r w:rsidR="00AC0B05">
        <w:rPr>
          <w:sz w:val="28"/>
          <w:szCs w:val="28"/>
          <w:lang w:val="uk-UA" w:eastAsia="ru-RU"/>
        </w:rPr>
        <w:t xml:space="preserve">жний і частий </w:t>
      </w:r>
      <w:proofErr w:type="spellStart"/>
      <w:r w:rsidR="00AC0B05">
        <w:rPr>
          <w:sz w:val="28"/>
          <w:szCs w:val="28"/>
          <w:lang w:val="uk-UA" w:eastAsia="ru-RU"/>
        </w:rPr>
        <w:t>предиктор</w:t>
      </w:r>
      <w:proofErr w:type="spellEnd"/>
      <w:r w:rsidRPr="000721A8">
        <w:rPr>
          <w:sz w:val="28"/>
          <w:szCs w:val="28"/>
          <w:lang w:val="uk-UA" w:eastAsia="ru-RU"/>
        </w:rPr>
        <w:t xml:space="preserve"> майбутньої серцево-судинної захворюваності й смертності, тому розраховувати ШКФ і визначати </w:t>
      </w:r>
      <w:proofErr w:type="spellStart"/>
      <w:r w:rsidRPr="000721A8">
        <w:rPr>
          <w:sz w:val="28"/>
          <w:szCs w:val="28"/>
          <w:lang w:val="uk-UA" w:eastAsia="ru-RU"/>
        </w:rPr>
        <w:t>мікроальбумінурію</w:t>
      </w:r>
      <w:proofErr w:type="spellEnd"/>
      <w:r w:rsidRPr="000721A8">
        <w:rPr>
          <w:sz w:val="28"/>
          <w:szCs w:val="28"/>
          <w:lang w:val="uk-UA" w:eastAsia="ru-RU"/>
        </w:rPr>
        <w:t xml:space="preserve"> рекомендується у всіх хворих АГ. </w:t>
      </w:r>
    </w:p>
    <w:p w:rsidR="000721A8" w:rsidRPr="002611CA" w:rsidRDefault="00AC0B05" w:rsidP="0094356E">
      <w:pPr>
        <w:autoSpaceDE w:val="0"/>
        <w:autoSpaceDN w:val="0"/>
        <w:adjustRightInd w:val="0"/>
        <w:spacing w:line="360" w:lineRule="auto"/>
        <w:jc w:val="both"/>
        <w:rPr>
          <w:b/>
          <w:sz w:val="28"/>
          <w:szCs w:val="28"/>
          <w:lang w:val="uk-UA" w:eastAsia="ru-RU"/>
        </w:rPr>
      </w:pPr>
      <w:r w:rsidRPr="002611CA">
        <w:rPr>
          <w:b/>
          <w:sz w:val="28"/>
          <w:szCs w:val="28"/>
          <w:lang w:val="uk-UA" w:eastAsia="ru-RU"/>
        </w:rPr>
        <w:t xml:space="preserve">Діагностика </w:t>
      </w:r>
      <w:proofErr w:type="spellStart"/>
      <w:r w:rsidRPr="002611CA">
        <w:rPr>
          <w:b/>
          <w:sz w:val="28"/>
          <w:szCs w:val="28"/>
          <w:lang w:val="uk-UA" w:eastAsia="ru-RU"/>
        </w:rPr>
        <w:t>безсимптомної</w:t>
      </w:r>
      <w:proofErr w:type="spellEnd"/>
      <w:r w:rsidRPr="002611CA">
        <w:rPr>
          <w:b/>
          <w:sz w:val="28"/>
          <w:szCs w:val="28"/>
          <w:lang w:val="uk-UA" w:eastAsia="ru-RU"/>
        </w:rPr>
        <w:t xml:space="preserve"> ретинопатії при АГ </w:t>
      </w:r>
      <w:r w:rsidR="0094356E">
        <w:rPr>
          <w:b/>
          <w:sz w:val="28"/>
          <w:szCs w:val="28"/>
          <w:lang w:val="uk-UA" w:eastAsia="ru-RU"/>
        </w:rPr>
        <w:t xml:space="preserve">у </w:t>
      </w:r>
      <w:r w:rsidRPr="002611CA">
        <w:rPr>
          <w:b/>
          <w:sz w:val="28"/>
          <w:szCs w:val="28"/>
          <w:lang w:val="uk-UA" w:eastAsia="ru-RU"/>
        </w:rPr>
        <w:t>відношенні ЗССР</w:t>
      </w:r>
      <w:r w:rsidR="0094356E">
        <w:rPr>
          <w:b/>
          <w:sz w:val="28"/>
          <w:szCs w:val="28"/>
          <w:lang w:val="uk-UA" w:eastAsia="ru-RU"/>
        </w:rPr>
        <w:t xml:space="preserve"> має</w:t>
      </w:r>
      <w:r w:rsidR="0094356E" w:rsidRPr="0094356E">
        <w:rPr>
          <w:b/>
          <w:sz w:val="28"/>
          <w:szCs w:val="28"/>
          <w:lang w:val="uk-UA" w:eastAsia="ru-RU"/>
        </w:rPr>
        <w:t xml:space="preserve"> </w:t>
      </w:r>
      <w:r w:rsidR="0094356E" w:rsidRPr="002611CA">
        <w:rPr>
          <w:b/>
          <w:sz w:val="28"/>
          <w:szCs w:val="28"/>
          <w:lang w:val="uk-UA" w:eastAsia="ru-RU"/>
        </w:rPr>
        <w:t>різний прогностичний потенціал</w:t>
      </w:r>
      <w:r w:rsidRPr="002611CA">
        <w:rPr>
          <w:b/>
          <w:sz w:val="28"/>
          <w:szCs w:val="28"/>
          <w:lang w:val="uk-UA" w:eastAsia="ru-RU"/>
        </w:rPr>
        <w:t>, в основу якого покладено ступені</w:t>
      </w:r>
      <w:r w:rsidR="0094356E">
        <w:rPr>
          <w:b/>
          <w:sz w:val="28"/>
          <w:szCs w:val="28"/>
          <w:lang w:val="uk-UA" w:eastAsia="ru-RU"/>
        </w:rPr>
        <w:t xml:space="preserve"> (тяжкості)</w:t>
      </w:r>
      <w:bookmarkStart w:id="0" w:name="_GoBack"/>
      <w:bookmarkEnd w:id="0"/>
      <w:r w:rsidRPr="002611CA">
        <w:rPr>
          <w:b/>
          <w:sz w:val="28"/>
          <w:szCs w:val="28"/>
          <w:lang w:val="uk-UA" w:eastAsia="ru-RU"/>
        </w:rPr>
        <w:t xml:space="preserve"> ураження очного </w:t>
      </w:r>
      <w:proofErr w:type="spellStart"/>
      <w:r w:rsidRPr="002611CA">
        <w:rPr>
          <w:b/>
          <w:sz w:val="28"/>
          <w:szCs w:val="28"/>
          <w:lang w:val="uk-UA" w:eastAsia="ru-RU"/>
        </w:rPr>
        <w:t>дна</w:t>
      </w:r>
      <w:proofErr w:type="spellEnd"/>
      <w:r w:rsidR="0094356E" w:rsidRPr="0094356E">
        <w:rPr>
          <w:b/>
          <w:sz w:val="28"/>
          <w:szCs w:val="28"/>
          <w:lang w:eastAsia="ru-RU"/>
        </w:rPr>
        <w:t xml:space="preserve"> </w:t>
      </w:r>
      <w:r w:rsidRPr="002611CA">
        <w:rPr>
          <w:b/>
          <w:sz w:val="28"/>
          <w:szCs w:val="28"/>
          <w:lang w:val="uk-UA" w:eastAsia="ru-RU"/>
        </w:rPr>
        <w:t xml:space="preserve"> </w:t>
      </w:r>
    </w:p>
    <w:p w:rsidR="000721A8" w:rsidRPr="000721A8" w:rsidRDefault="00AC0B05" w:rsidP="000721A8">
      <w:pPr>
        <w:autoSpaceDE w:val="0"/>
        <w:autoSpaceDN w:val="0"/>
        <w:adjustRightInd w:val="0"/>
        <w:spacing w:line="360" w:lineRule="auto"/>
        <w:ind w:firstLine="284"/>
        <w:jc w:val="both"/>
        <w:rPr>
          <w:sz w:val="28"/>
          <w:szCs w:val="28"/>
          <w:lang w:val="uk-UA" w:eastAsia="ru-RU"/>
        </w:rPr>
      </w:pPr>
      <w:r>
        <w:rPr>
          <w:sz w:val="28"/>
          <w:szCs w:val="28"/>
          <w:lang w:val="uk-UA" w:eastAsia="ru-RU"/>
        </w:rPr>
        <w:t>Так, р</w:t>
      </w:r>
      <w:r w:rsidR="000721A8" w:rsidRPr="000721A8">
        <w:rPr>
          <w:sz w:val="28"/>
          <w:szCs w:val="28"/>
          <w:lang w:val="uk-UA" w:eastAsia="ru-RU"/>
        </w:rPr>
        <w:t xml:space="preserve">етинопатія III ступеню (крововиливи в сітківку, </w:t>
      </w:r>
      <w:proofErr w:type="spellStart"/>
      <w:r w:rsidR="000721A8" w:rsidRPr="000721A8">
        <w:rPr>
          <w:sz w:val="28"/>
          <w:szCs w:val="28"/>
          <w:lang w:val="uk-UA" w:eastAsia="ru-RU"/>
        </w:rPr>
        <w:t>мікроаневризми</w:t>
      </w:r>
      <w:proofErr w:type="spellEnd"/>
      <w:r w:rsidR="000721A8" w:rsidRPr="000721A8">
        <w:rPr>
          <w:sz w:val="28"/>
          <w:szCs w:val="28"/>
          <w:lang w:val="uk-UA" w:eastAsia="ru-RU"/>
        </w:rPr>
        <w:t xml:space="preserve">, тверді ексудати, м'які, або «ватяні», ексудати) і IV ступеню (симптоми III ступеню й набряк соска зорового нерву й/або </w:t>
      </w:r>
      <w:proofErr w:type="spellStart"/>
      <w:r w:rsidR="000721A8" w:rsidRPr="000721A8">
        <w:rPr>
          <w:sz w:val="28"/>
          <w:szCs w:val="28"/>
          <w:lang w:val="uk-UA" w:eastAsia="ru-RU"/>
        </w:rPr>
        <w:t>макулярний</w:t>
      </w:r>
      <w:proofErr w:type="spellEnd"/>
      <w:r w:rsidR="000721A8" w:rsidRPr="000721A8">
        <w:rPr>
          <w:sz w:val="28"/>
          <w:szCs w:val="28"/>
          <w:lang w:val="uk-UA" w:eastAsia="ru-RU"/>
        </w:rPr>
        <w:t xml:space="preserve"> набряк) указує на важку гіпертонічну ретинопатію, яка є сильним </w:t>
      </w:r>
      <w:proofErr w:type="spellStart"/>
      <w:r w:rsidR="000721A8" w:rsidRPr="000721A8">
        <w:rPr>
          <w:sz w:val="28"/>
          <w:szCs w:val="28"/>
          <w:lang w:val="uk-UA" w:eastAsia="ru-RU"/>
        </w:rPr>
        <w:t>предиктором</w:t>
      </w:r>
      <w:proofErr w:type="spellEnd"/>
      <w:r w:rsidR="000721A8" w:rsidRPr="000721A8">
        <w:rPr>
          <w:sz w:val="28"/>
          <w:szCs w:val="28"/>
          <w:lang w:val="uk-UA" w:eastAsia="ru-RU"/>
        </w:rPr>
        <w:t xml:space="preserve"> смертності. Зміни I ступеню (фокальне або розповсюджене звуження артеріол) і II ступеню (симптом артеріовенозного перехреста) говорять про ранню стадію гіпертонічної ретинопатії; її прогностичне значення для серцево-судинної смертності в цілому менше.</w:t>
      </w:r>
    </w:p>
    <w:p w:rsidR="000721A8" w:rsidRPr="000721A8" w:rsidRDefault="000721A8" w:rsidP="000721A8">
      <w:pPr>
        <w:autoSpaceDE w:val="0"/>
        <w:autoSpaceDN w:val="0"/>
        <w:adjustRightInd w:val="0"/>
        <w:spacing w:line="360" w:lineRule="auto"/>
        <w:ind w:firstLine="284"/>
        <w:jc w:val="both"/>
        <w:rPr>
          <w:sz w:val="28"/>
          <w:szCs w:val="28"/>
          <w:lang w:val="uk-UA" w:eastAsia="ru-RU"/>
        </w:rPr>
      </w:pPr>
      <w:r w:rsidRPr="000721A8">
        <w:rPr>
          <w:sz w:val="28"/>
          <w:szCs w:val="28"/>
          <w:lang w:val="uk-UA" w:eastAsia="ru-RU"/>
        </w:rPr>
        <w:t xml:space="preserve">Зв'язок між калібром судин сітківки й майбутніми інсультами була проаналізована в систематичному огляді й мета-аналізі: розширення </w:t>
      </w:r>
      <w:proofErr w:type="spellStart"/>
      <w:r w:rsidRPr="000721A8">
        <w:rPr>
          <w:sz w:val="28"/>
          <w:szCs w:val="28"/>
          <w:lang w:val="uk-UA" w:eastAsia="ru-RU"/>
        </w:rPr>
        <w:t>венул</w:t>
      </w:r>
      <w:proofErr w:type="spellEnd"/>
      <w:r w:rsidRPr="000721A8">
        <w:rPr>
          <w:sz w:val="28"/>
          <w:szCs w:val="28"/>
          <w:lang w:val="uk-UA" w:eastAsia="ru-RU"/>
        </w:rPr>
        <w:t xml:space="preserve"> сітківки було </w:t>
      </w:r>
      <w:proofErr w:type="spellStart"/>
      <w:r w:rsidRPr="000721A8">
        <w:rPr>
          <w:sz w:val="28"/>
          <w:szCs w:val="28"/>
          <w:lang w:val="uk-UA" w:eastAsia="ru-RU"/>
        </w:rPr>
        <w:t>предиктором</w:t>
      </w:r>
      <w:proofErr w:type="spellEnd"/>
      <w:r w:rsidRPr="000721A8">
        <w:rPr>
          <w:sz w:val="28"/>
          <w:szCs w:val="28"/>
          <w:lang w:val="uk-UA" w:eastAsia="ru-RU"/>
        </w:rPr>
        <w:t xml:space="preserve"> </w:t>
      </w:r>
      <w:r w:rsidRPr="00DB5891">
        <w:rPr>
          <w:sz w:val="28"/>
          <w:szCs w:val="28"/>
          <w:lang w:val="uk-UA" w:eastAsia="ru-RU"/>
        </w:rPr>
        <w:t>інсульту, у той час як калібр артеріол сітківки не був асоційований з інсультом</w:t>
      </w:r>
      <w:r w:rsidR="00DB5891" w:rsidRPr="00DB5891">
        <w:rPr>
          <w:sz w:val="28"/>
          <w:szCs w:val="28"/>
          <w:lang w:val="uk-UA" w:eastAsia="ru-RU"/>
        </w:rPr>
        <w:t xml:space="preserve"> (</w:t>
      </w:r>
      <w:proofErr w:type="spellStart"/>
      <w:r w:rsidR="00DB5891" w:rsidRPr="00DB5891">
        <w:rPr>
          <w:rFonts w:eastAsiaTheme="minorHAnsi"/>
          <w:sz w:val="28"/>
          <w:szCs w:val="28"/>
          <w:lang w:val="en-US"/>
        </w:rPr>
        <w:t>Sairenchi</w:t>
      </w:r>
      <w:proofErr w:type="spellEnd"/>
      <w:r w:rsidR="00DB5891" w:rsidRPr="00DB5891">
        <w:rPr>
          <w:rFonts w:eastAsiaTheme="minorHAnsi"/>
          <w:sz w:val="28"/>
          <w:szCs w:val="28"/>
          <w:lang w:val="uk-UA"/>
        </w:rPr>
        <w:t xml:space="preserve"> </w:t>
      </w:r>
      <w:r w:rsidR="00DB5891" w:rsidRPr="00DB5891">
        <w:rPr>
          <w:rFonts w:eastAsiaTheme="minorHAnsi"/>
          <w:sz w:val="28"/>
          <w:szCs w:val="28"/>
          <w:lang w:val="en-US"/>
        </w:rPr>
        <w:t>T</w:t>
      </w:r>
      <w:r w:rsidR="00DB5891" w:rsidRPr="00DB5891">
        <w:rPr>
          <w:rFonts w:eastAsiaTheme="minorHAnsi"/>
          <w:sz w:val="28"/>
          <w:szCs w:val="28"/>
          <w:lang w:val="uk-UA"/>
        </w:rPr>
        <w:t xml:space="preserve">. </w:t>
      </w:r>
      <w:proofErr w:type="gramStart"/>
      <w:r w:rsidR="00DB5891" w:rsidRPr="00DB5891">
        <w:rPr>
          <w:rFonts w:eastAsiaTheme="minorHAnsi"/>
          <w:sz w:val="28"/>
          <w:szCs w:val="28"/>
          <w:lang w:val="en-US"/>
        </w:rPr>
        <w:t>et</w:t>
      </w:r>
      <w:proofErr w:type="gramEnd"/>
      <w:r w:rsidR="00DB5891" w:rsidRPr="00DB5891">
        <w:rPr>
          <w:rFonts w:eastAsiaTheme="minorHAnsi"/>
          <w:sz w:val="28"/>
          <w:szCs w:val="28"/>
          <w:lang w:val="uk-UA"/>
        </w:rPr>
        <w:t xml:space="preserve"> </w:t>
      </w:r>
      <w:r w:rsidR="00DB5891" w:rsidRPr="00DB5891">
        <w:rPr>
          <w:rFonts w:eastAsiaTheme="minorHAnsi"/>
          <w:sz w:val="28"/>
          <w:szCs w:val="28"/>
          <w:lang w:val="en-US"/>
        </w:rPr>
        <w:t>al</w:t>
      </w:r>
      <w:r w:rsidR="00DB5891" w:rsidRPr="00DB5891">
        <w:rPr>
          <w:rFonts w:eastAsiaTheme="minorHAnsi"/>
          <w:sz w:val="28"/>
          <w:szCs w:val="28"/>
          <w:lang w:val="uk-UA"/>
        </w:rPr>
        <w:t>.</w:t>
      </w:r>
      <w:r w:rsidR="00DB5891" w:rsidRPr="00DB5891">
        <w:rPr>
          <w:rFonts w:eastAsiaTheme="minorHAnsi"/>
          <w:sz w:val="28"/>
          <w:szCs w:val="28"/>
          <w:lang w:val="uk-UA"/>
        </w:rPr>
        <w:t>,</w:t>
      </w:r>
      <w:r w:rsidR="00DB5891" w:rsidRPr="00DB5891">
        <w:rPr>
          <w:rFonts w:eastAsiaTheme="minorHAnsi"/>
          <w:sz w:val="28"/>
          <w:szCs w:val="28"/>
          <w:lang w:val="uk-UA"/>
        </w:rPr>
        <w:t>2011)</w:t>
      </w:r>
      <w:r w:rsidRPr="00DB5891">
        <w:rPr>
          <w:sz w:val="28"/>
          <w:szCs w:val="28"/>
          <w:lang w:val="uk-UA" w:eastAsia="ru-RU"/>
        </w:rPr>
        <w:t>.</w:t>
      </w:r>
      <w:r w:rsidRPr="000721A8">
        <w:rPr>
          <w:sz w:val="28"/>
          <w:szCs w:val="28"/>
          <w:lang w:val="uk-UA" w:eastAsia="ru-RU"/>
        </w:rPr>
        <w:t xml:space="preserve"> Звуження артеріол і </w:t>
      </w:r>
      <w:proofErr w:type="spellStart"/>
      <w:r w:rsidRPr="000721A8">
        <w:rPr>
          <w:sz w:val="28"/>
          <w:szCs w:val="28"/>
          <w:lang w:val="uk-UA" w:eastAsia="ru-RU"/>
        </w:rPr>
        <w:t>венул</w:t>
      </w:r>
      <w:proofErr w:type="spellEnd"/>
      <w:r w:rsidRPr="000721A8">
        <w:rPr>
          <w:sz w:val="28"/>
          <w:szCs w:val="28"/>
          <w:lang w:val="uk-UA" w:eastAsia="ru-RU"/>
        </w:rPr>
        <w:t xml:space="preserve"> сітківки, як і зміни капілярів в інших відділах судинного русла, може бути раннім структурним порушенням при АГ.У цей час вивчаються нові підходи до оцінки </w:t>
      </w:r>
      <w:r w:rsidRPr="000721A8">
        <w:rPr>
          <w:sz w:val="28"/>
          <w:szCs w:val="28"/>
          <w:lang w:val="uk-UA" w:eastAsia="ru-RU"/>
        </w:rPr>
        <w:lastRenderedPageBreak/>
        <w:t xml:space="preserve">співвідношення «стінка – просвіт» артеріол сітківки, які допомагають безпосередньо виміряти ступінь судинного </w:t>
      </w:r>
      <w:proofErr w:type="spellStart"/>
      <w:r w:rsidRPr="000721A8">
        <w:rPr>
          <w:sz w:val="28"/>
          <w:szCs w:val="28"/>
          <w:lang w:val="uk-UA" w:eastAsia="ru-RU"/>
        </w:rPr>
        <w:t>ремоделювання</w:t>
      </w:r>
      <w:proofErr w:type="spellEnd"/>
      <w:r w:rsidRPr="000721A8">
        <w:rPr>
          <w:sz w:val="28"/>
          <w:szCs w:val="28"/>
          <w:lang w:val="uk-UA" w:eastAsia="ru-RU"/>
        </w:rPr>
        <w:t xml:space="preserve"> на ранніх і пізніх стадіях АГ.</w:t>
      </w:r>
    </w:p>
    <w:p w:rsidR="000721A8" w:rsidRPr="000721A8" w:rsidRDefault="00AC0B05" w:rsidP="000721A8">
      <w:pPr>
        <w:autoSpaceDE w:val="0"/>
        <w:autoSpaceDN w:val="0"/>
        <w:adjustRightInd w:val="0"/>
        <w:spacing w:line="360" w:lineRule="auto"/>
        <w:ind w:firstLine="284"/>
        <w:jc w:val="both"/>
        <w:rPr>
          <w:sz w:val="28"/>
          <w:szCs w:val="28"/>
          <w:lang w:val="uk-UA" w:eastAsia="ru-RU"/>
        </w:rPr>
      </w:pPr>
      <w:r w:rsidRPr="002611CA">
        <w:rPr>
          <w:b/>
          <w:sz w:val="28"/>
          <w:szCs w:val="28"/>
          <w:lang w:val="uk-UA" w:eastAsia="ru-RU"/>
        </w:rPr>
        <w:t xml:space="preserve">АГ є </w:t>
      </w:r>
      <w:proofErr w:type="spellStart"/>
      <w:r w:rsidRPr="002611CA">
        <w:rPr>
          <w:b/>
          <w:sz w:val="28"/>
          <w:szCs w:val="28"/>
          <w:lang w:val="uk-UA" w:eastAsia="ru-RU"/>
        </w:rPr>
        <w:t>валідним</w:t>
      </w:r>
      <w:proofErr w:type="spellEnd"/>
      <w:r w:rsidRPr="002611CA">
        <w:rPr>
          <w:b/>
          <w:sz w:val="28"/>
          <w:szCs w:val="28"/>
          <w:lang w:val="uk-UA" w:eastAsia="ru-RU"/>
        </w:rPr>
        <w:t xml:space="preserve"> фактором</w:t>
      </w:r>
      <w:r w:rsidR="000721A8" w:rsidRPr="002611CA">
        <w:rPr>
          <w:b/>
          <w:sz w:val="28"/>
          <w:szCs w:val="28"/>
          <w:lang w:val="uk-UA" w:eastAsia="ru-RU"/>
        </w:rPr>
        <w:t xml:space="preserve"> клінічно </w:t>
      </w:r>
      <w:proofErr w:type="spellStart"/>
      <w:r w:rsidR="000721A8" w:rsidRPr="002611CA">
        <w:rPr>
          <w:b/>
          <w:sz w:val="28"/>
          <w:szCs w:val="28"/>
          <w:lang w:val="uk-UA" w:eastAsia="ru-RU"/>
        </w:rPr>
        <w:t>маніфестного</w:t>
      </w:r>
      <w:proofErr w:type="spellEnd"/>
      <w:r w:rsidR="000721A8" w:rsidRPr="002611CA">
        <w:rPr>
          <w:b/>
          <w:sz w:val="28"/>
          <w:szCs w:val="28"/>
          <w:lang w:val="uk-UA" w:eastAsia="ru-RU"/>
        </w:rPr>
        <w:t xml:space="preserve"> інсульту, </w:t>
      </w:r>
      <w:r w:rsidRPr="002611CA">
        <w:rPr>
          <w:b/>
          <w:sz w:val="28"/>
          <w:szCs w:val="28"/>
          <w:lang w:val="uk-UA" w:eastAsia="ru-RU"/>
        </w:rPr>
        <w:t xml:space="preserve">але разом з тим, АГ </w:t>
      </w:r>
      <w:r w:rsidR="000721A8" w:rsidRPr="002611CA">
        <w:rPr>
          <w:b/>
          <w:sz w:val="28"/>
          <w:szCs w:val="28"/>
          <w:lang w:val="uk-UA" w:eastAsia="ru-RU"/>
        </w:rPr>
        <w:t>також супроводжується ризиком безсимптомного ураження головного мозку</w:t>
      </w:r>
      <w:r w:rsidR="000721A8" w:rsidRPr="002611CA">
        <w:rPr>
          <w:sz w:val="28"/>
          <w:szCs w:val="28"/>
          <w:lang w:val="uk-UA" w:eastAsia="ru-RU"/>
        </w:rPr>
        <w:t xml:space="preserve">, </w:t>
      </w:r>
      <w:r w:rsidR="000721A8" w:rsidRPr="000721A8">
        <w:rPr>
          <w:sz w:val="28"/>
          <w:szCs w:val="28"/>
          <w:lang w:val="uk-UA" w:eastAsia="ru-RU"/>
        </w:rPr>
        <w:t xml:space="preserve">яке виявляється тільки при проведенні МРТ головного мозку, особливо в осіб літнього й старечого віку. Найбільш типовими проявами ураження мозку є вогнища підвищеної інтенсивності в білій речовині, які виявляються майже у всіх літніх хворих </w:t>
      </w:r>
      <w:r>
        <w:rPr>
          <w:sz w:val="28"/>
          <w:szCs w:val="28"/>
          <w:lang w:val="uk-UA" w:eastAsia="ru-RU"/>
        </w:rPr>
        <w:t xml:space="preserve">на </w:t>
      </w:r>
      <w:r w:rsidR="000721A8" w:rsidRPr="000721A8">
        <w:rPr>
          <w:sz w:val="28"/>
          <w:szCs w:val="28"/>
          <w:lang w:val="uk-UA" w:eastAsia="ru-RU"/>
        </w:rPr>
        <w:t xml:space="preserve">АГ, хоча й на різних рівнях, а також приховані інфаркти, більшість із яких мають невеликі розміри й розташовуються в глибоких відділах мозку (лакунарні інфаркти). Частота таких інфарктів варіює від 10% до 30% . Недавно були ідентифіковані вогнища іншого типу, які являють собою </w:t>
      </w:r>
      <w:proofErr w:type="spellStart"/>
      <w:r w:rsidR="000721A8" w:rsidRPr="000721A8">
        <w:rPr>
          <w:sz w:val="28"/>
          <w:szCs w:val="28"/>
          <w:lang w:val="uk-UA" w:eastAsia="ru-RU"/>
        </w:rPr>
        <w:t>мікрокрововиливи</w:t>
      </w:r>
      <w:proofErr w:type="spellEnd"/>
      <w:r w:rsidR="000721A8" w:rsidRPr="000721A8">
        <w:rPr>
          <w:sz w:val="28"/>
          <w:szCs w:val="28"/>
          <w:lang w:val="uk-UA" w:eastAsia="ru-RU"/>
        </w:rPr>
        <w:t xml:space="preserve"> й виявляються приблизно в 5% пацієнтів. Наявність </w:t>
      </w:r>
      <w:proofErr w:type="spellStart"/>
      <w:r w:rsidR="000721A8" w:rsidRPr="000721A8">
        <w:rPr>
          <w:sz w:val="28"/>
          <w:szCs w:val="28"/>
          <w:lang w:val="uk-UA" w:eastAsia="ru-RU"/>
        </w:rPr>
        <w:t>гіперінтенсивних</w:t>
      </w:r>
      <w:proofErr w:type="spellEnd"/>
      <w:r w:rsidR="000721A8" w:rsidRPr="000721A8">
        <w:rPr>
          <w:sz w:val="28"/>
          <w:szCs w:val="28"/>
          <w:lang w:val="uk-UA" w:eastAsia="ru-RU"/>
        </w:rPr>
        <w:t xml:space="preserve"> вогнищ у білій речовині й прихованих мозкових інфарктів супроводжується підвищенням ризику інсульту, когнітивних порушень і деменції. МРТ, виконане хворим АГ без явних серцево-судинних захворювань, показало, що приховані </w:t>
      </w:r>
      <w:proofErr w:type="spellStart"/>
      <w:r w:rsidR="000721A8" w:rsidRPr="000721A8">
        <w:rPr>
          <w:sz w:val="28"/>
          <w:szCs w:val="28"/>
          <w:lang w:val="uk-UA" w:eastAsia="ru-RU"/>
        </w:rPr>
        <w:t>цереброваскулярні</w:t>
      </w:r>
      <w:proofErr w:type="spellEnd"/>
      <w:r w:rsidR="000721A8" w:rsidRPr="000721A8">
        <w:rPr>
          <w:sz w:val="28"/>
          <w:szCs w:val="28"/>
          <w:lang w:val="uk-UA" w:eastAsia="ru-RU"/>
        </w:rPr>
        <w:t xml:space="preserve"> вогнища зустрічаються навіть частіше (44%), чому субклінічне ураження серця (21%) і </w:t>
      </w:r>
      <w:r w:rsidR="000721A8" w:rsidRPr="00776E48">
        <w:rPr>
          <w:sz w:val="28"/>
          <w:szCs w:val="28"/>
          <w:lang w:val="uk-UA" w:eastAsia="ru-RU"/>
        </w:rPr>
        <w:t>нирок (26%), і нерідко виявляються під час відсутності ознак ураження інших органів</w:t>
      </w:r>
      <w:r w:rsidR="00DB5891" w:rsidRPr="00776E48">
        <w:rPr>
          <w:rFonts w:eastAsiaTheme="minorHAnsi"/>
          <w:sz w:val="28"/>
          <w:szCs w:val="28"/>
          <w:lang w:val="uk-UA"/>
        </w:rPr>
        <w:t xml:space="preserve"> (</w:t>
      </w:r>
      <w:proofErr w:type="spellStart"/>
      <w:r w:rsidR="00DB5891" w:rsidRPr="00776E48">
        <w:rPr>
          <w:rFonts w:eastAsiaTheme="minorHAnsi"/>
          <w:sz w:val="28"/>
          <w:szCs w:val="28"/>
          <w:lang w:val="en-US"/>
        </w:rPr>
        <w:t>Tsoi</w:t>
      </w:r>
      <w:proofErr w:type="spellEnd"/>
      <w:r w:rsidR="00DB5891" w:rsidRPr="00776E48">
        <w:rPr>
          <w:rFonts w:eastAsiaTheme="minorHAnsi"/>
          <w:sz w:val="28"/>
          <w:szCs w:val="28"/>
          <w:lang w:val="uk-UA"/>
        </w:rPr>
        <w:t xml:space="preserve"> </w:t>
      </w:r>
      <w:r w:rsidR="00DB5891" w:rsidRPr="00776E48">
        <w:rPr>
          <w:rFonts w:eastAsiaTheme="minorHAnsi"/>
          <w:sz w:val="28"/>
          <w:szCs w:val="28"/>
          <w:lang w:val="en-US"/>
        </w:rPr>
        <w:t>K</w:t>
      </w:r>
      <w:r w:rsidR="00DB5891" w:rsidRPr="00776E48">
        <w:rPr>
          <w:rFonts w:eastAsiaTheme="minorHAnsi"/>
          <w:sz w:val="28"/>
          <w:szCs w:val="28"/>
          <w:lang w:val="uk-UA"/>
        </w:rPr>
        <w:t>.</w:t>
      </w:r>
      <w:r w:rsidR="00DB5891" w:rsidRPr="00776E48">
        <w:rPr>
          <w:rFonts w:eastAsiaTheme="minorHAnsi"/>
          <w:sz w:val="28"/>
          <w:szCs w:val="28"/>
          <w:lang w:val="en-US"/>
        </w:rPr>
        <w:t>K</w:t>
      </w:r>
      <w:r w:rsidR="00DB5891" w:rsidRPr="00776E48">
        <w:rPr>
          <w:rFonts w:eastAsiaTheme="minorHAnsi"/>
          <w:sz w:val="28"/>
          <w:szCs w:val="28"/>
          <w:lang w:val="uk-UA"/>
        </w:rPr>
        <w:t xml:space="preserve">. </w:t>
      </w:r>
      <w:r w:rsidR="00DB5891" w:rsidRPr="00776E48">
        <w:rPr>
          <w:rFonts w:eastAsiaTheme="minorHAnsi"/>
          <w:sz w:val="28"/>
          <w:szCs w:val="28"/>
          <w:lang w:val="en-US"/>
        </w:rPr>
        <w:t>et</w:t>
      </w:r>
      <w:r w:rsidR="00DB5891" w:rsidRPr="00776E48">
        <w:rPr>
          <w:rFonts w:eastAsiaTheme="minorHAnsi"/>
          <w:sz w:val="28"/>
          <w:szCs w:val="28"/>
          <w:lang w:val="uk-UA"/>
        </w:rPr>
        <w:t xml:space="preserve"> </w:t>
      </w:r>
      <w:r w:rsidR="00DB5891" w:rsidRPr="00776E48">
        <w:rPr>
          <w:rFonts w:eastAsiaTheme="minorHAnsi"/>
          <w:sz w:val="28"/>
          <w:szCs w:val="28"/>
          <w:lang w:val="en-US"/>
        </w:rPr>
        <w:t>al</w:t>
      </w:r>
      <w:r w:rsidR="00DB5891" w:rsidRPr="00776E48">
        <w:rPr>
          <w:rFonts w:eastAsiaTheme="minorHAnsi"/>
          <w:sz w:val="28"/>
          <w:szCs w:val="28"/>
          <w:lang w:val="uk-UA"/>
        </w:rPr>
        <w:t>.</w:t>
      </w:r>
      <w:r w:rsidR="00776E48" w:rsidRPr="00776E48">
        <w:rPr>
          <w:rFonts w:eastAsiaTheme="minorHAnsi"/>
          <w:sz w:val="28"/>
          <w:szCs w:val="28"/>
          <w:lang w:val="uk-UA"/>
        </w:rPr>
        <w:t xml:space="preserve"> ,</w:t>
      </w:r>
      <w:r w:rsidR="00DB5891" w:rsidRPr="00776E48">
        <w:rPr>
          <w:rFonts w:eastAsiaTheme="minorHAnsi"/>
          <w:sz w:val="28"/>
          <w:szCs w:val="28"/>
          <w:lang w:val="uk-UA"/>
        </w:rPr>
        <w:t>2015)</w:t>
      </w:r>
      <w:r w:rsidR="000721A8" w:rsidRPr="00776E48">
        <w:rPr>
          <w:sz w:val="28"/>
          <w:szCs w:val="28"/>
          <w:lang w:val="uk-UA" w:eastAsia="ru-RU"/>
        </w:rPr>
        <w:t>. Недостатня</w:t>
      </w:r>
      <w:r w:rsidR="000721A8" w:rsidRPr="000721A8">
        <w:rPr>
          <w:sz w:val="28"/>
          <w:szCs w:val="28"/>
          <w:lang w:val="uk-UA" w:eastAsia="ru-RU"/>
        </w:rPr>
        <w:t xml:space="preserve"> доступність і висока вартість не дозволяють широко застосовувати МРТ для обстеження літніх хворих АГ</w:t>
      </w:r>
      <w:r w:rsidR="00DB5891">
        <w:rPr>
          <w:sz w:val="28"/>
          <w:szCs w:val="28"/>
          <w:lang w:val="uk-UA" w:eastAsia="ru-RU"/>
        </w:rPr>
        <w:t xml:space="preserve"> </w:t>
      </w:r>
      <w:r w:rsidR="000721A8" w:rsidRPr="000721A8">
        <w:rPr>
          <w:sz w:val="28"/>
          <w:szCs w:val="28"/>
          <w:lang w:val="uk-UA" w:eastAsia="ru-RU"/>
        </w:rPr>
        <w:t xml:space="preserve">. Однак у всіх хворих АГ з неврологічними порушеннями й, зокрема, з погіршенням пам'яті, слід шукати </w:t>
      </w:r>
      <w:proofErr w:type="spellStart"/>
      <w:r w:rsidR="000721A8" w:rsidRPr="000721A8">
        <w:rPr>
          <w:sz w:val="28"/>
          <w:szCs w:val="28"/>
          <w:lang w:val="uk-UA" w:eastAsia="ru-RU"/>
        </w:rPr>
        <w:t>гіперінтенсивні</w:t>
      </w:r>
      <w:proofErr w:type="spellEnd"/>
      <w:r w:rsidR="000721A8" w:rsidRPr="000721A8">
        <w:rPr>
          <w:sz w:val="28"/>
          <w:szCs w:val="28"/>
          <w:lang w:val="uk-UA" w:eastAsia="ru-RU"/>
        </w:rPr>
        <w:t xml:space="preserve"> вогнища в білій речовині й приховані мозкові інфаркти. Оскільки когнітивні порушення в літньому й старечого віці, принаймні, почасти, пов'язані з АГ у ході клінічного обстеження хворого АГ літнього й старечого віку слід застосовувати відповідні тести для оцінки когнітивних функцій.</w:t>
      </w:r>
    </w:p>
    <w:p w:rsidR="000721A8" w:rsidRPr="002611CA" w:rsidRDefault="00AC0B05" w:rsidP="000721A8">
      <w:pPr>
        <w:autoSpaceDE w:val="0"/>
        <w:autoSpaceDN w:val="0"/>
        <w:adjustRightInd w:val="0"/>
        <w:spacing w:line="360" w:lineRule="auto"/>
        <w:ind w:firstLine="284"/>
        <w:jc w:val="both"/>
        <w:outlineLvl w:val="0"/>
        <w:rPr>
          <w:b/>
          <w:sz w:val="28"/>
          <w:szCs w:val="28"/>
          <w:lang w:val="uk-UA" w:eastAsia="ru-RU"/>
        </w:rPr>
      </w:pPr>
      <w:r w:rsidRPr="002611CA">
        <w:rPr>
          <w:b/>
          <w:sz w:val="28"/>
          <w:szCs w:val="28"/>
          <w:lang w:val="uk-UA" w:eastAsia="ru-RU"/>
        </w:rPr>
        <w:t xml:space="preserve">Таким чином, з метою </w:t>
      </w:r>
      <w:r w:rsidR="000721A8" w:rsidRPr="002611CA">
        <w:rPr>
          <w:b/>
          <w:sz w:val="28"/>
          <w:szCs w:val="28"/>
          <w:lang w:val="uk-UA" w:eastAsia="ru-RU"/>
        </w:rPr>
        <w:t>виявлення безсимптомного ураження органів-мішеней</w:t>
      </w:r>
      <w:r w:rsidRPr="002611CA">
        <w:rPr>
          <w:b/>
          <w:sz w:val="28"/>
          <w:szCs w:val="28"/>
          <w:lang w:val="uk-UA" w:eastAsia="ru-RU"/>
        </w:rPr>
        <w:t xml:space="preserve"> при АГ</w:t>
      </w:r>
      <w:r w:rsidR="00C15186" w:rsidRPr="002611CA">
        <w:rPr>
          <w:b/>
          <w:sz w:val="28"/>
          <w:szCs w:val="28"/>
          <w:lang w:val="uk-UA" w:eastAsia="ru-RU"/>
        </w:rPr>
        <w:t xml:space="preserve"> </w:t>
      </w:r>
      <w:r w:rsidR="006A2D69" w:rsidRPr="002611CA">
        <w:rPr>
          <w:b/>
          <w:sz w:val="28"/>
          <w:szCs w:val="28"/>
          <w:lang w:val="uk-UA" w:eastAsia="ru-RU"/>
        </w:rPr>
        <w:t>доцільно проводити обстеження наступних органів</w:t>
      </w:r>
      <w:r w:rsidR="00DB5891" w:rsidRPr="002611CA">
        <w:rPr>
          <w:b/>
          <w:sz w:val="28"/>
          <w:szCs w:val="28"/>
          <w:lang w:val="uk-UA" w:eastAsia="ru-RU"/>
        </w:rPr>
        <w:t xml:space="preserve"> (</w:t>
      </w:r>
      <w:r w:rsidR="00DB5891" w:rsidRPr="002611CA">
        <w:rPr>
          <w:b/>
          <w:sz w:val="28"/>
          <w:szCs w:val="28"/>
          <w:lang w:val="en-US"/>
        </w:rPr>
        <w:t>ESC</w:t>
      </w:r>
      <w:r w:rsidR="00DB5891" w:rsidRPr="002611CA">
        <w:rPr>
          <w:b/>
          <w:sz w:val="28"/>
          <w:szCs w:val="28"/>
          <w:lang w:val="uk-UA"/>
        </w:rPr>
        <w:t>/</w:t>
      </w:r>
      <w:r w:rsidR="00DB5891" w:rsidRPr="002611CA">
        <w:rPr>
          <w:b/>
          <w:sz w:val="28"/>
          <w:szCs w:val="28"/>
          <w:lang w:val="en-US"/>
        </w:rPr>
        <w:t>ESH</w:t>
      </w:r>
      <w:r w:rsidR="00DB5891" w:rsidRPr="002611CA">
        <w:rPr>
          <w:b/>
          <w:sz w:val="28"/>
          <w:szCs w:val="28"/>
          <w:lang w:val="uk-UA"/>
        </w:rPr>
        <w:t xml:space="preserve"> </w:t>
      </w:r>
      <w:r w:rsidR="00DB5891" w:rsidRPr="002611CA">
        <w:rPr>
          <w:b/>
          <w:sz w:val="28"/>
          <w:szCs w:val="28"/>
          <w:lang w:val="en-US"/>
        </w:rPr>
        <w:t>Guidelines</w:t>
      </w:r>
      <w:r w:rsidR="00DB5891" w:rsidRPr="002611CA">
        <w:rPr>
          <w:b/>
          <w:sz w:val="28"/>
          <w:szCs w:val="28"/>
          <w:lang w:val="uk-UA"/>
        </w:rPr>
        <w:t xml:space="preserve"> </w:t>
      </w:r>
      <w:r w:rsidR="00DB5891" w:rsidRPr="002611CA">
        <w:rPr>
          <w:b/>
          <w:sz w:val="28"/>
          <w:szCs w:val="28"/>
          <w:lang w:val="en-US"/>
        </w:rPr>
        <w:t>for</w:t>
      </w:r>
      <w:r w:rsidR="00DB5891" w:rsidRPr="002611CA">
        <w:rPr>
          <w:b/>
          <w:sz w:val="28"/>
          <w:szCs w:val="28"/>
          <w:lang w:val="uk-UA"/>
        </w:rPr>
        <w:t xml:space="preserve"> </w:t>
      </w:r>
      <w:r w:rsidR="00DB5891" w:rsidRPr="002611CA">
        <w:rPr>
          <w:b/>
          <w:sz w:val="28"/>
          <w:szCs w:val="28"/>
          <w:lang w:val="en-US"/>
        </w:rPr>
        <w:t>the</w:t>
      </w:r>
      <w:r w:rsidR="00DB5891" w:rsidRPr="002611CA">
        <w:rPr>
          <w:b/>
          <w:sz w:val="28"/>
          <w:szCs w:val="28"/>
          <w:lang w:val="uk-UA"/>
        </w:rPr>
        <w:t xml:space="preserve"> </w:t>
      </w:r>
      <w:r w:rsidR="00DB5891" w:rsidRPr="002611CA">
        <w:rPr>
          <w:b/>
          <w:sz w:val="28"/>
          <w:szCs w:val="28"/>
          <w:lang w:val="en-US"/>
        </w:rPr>
        <w:t>management</w:t>
      </w:r>
      <w:r w:rsidR="00DB5891" w:rsidRPr="002611CA">
        <w:rPr>
          <w:b/>
          <w:sz w:val="28"/>
          <w:szCs w:val="28"/>
          <w:lang w:val="uk-UA"/>
        </w:rPr>
        <w:t xml:space="preserve"> </w:t>
      </w:r>
      <w:r w:rsidR="00DB5891" w:rsidRPr="002611CA">
        <w:rPr>
          <w:b/>
          <w:sz w:val="28"/>
          <w:szCs w:val="28"/>
          <w:lang w:val="en-US"/>
        </w:rPr>
        <w:t>of</w:t>
      </w:r>
      <w:r w:rsidR="00DB5891" w:rsidRPr="002611CA">
        <w:rPr>
          <w:b/>
          <w:sz w:val="28"/>
          <w:szCs w:val="28"/>
          <w:lang w:val="uk-UA"/>
        </w:rPr>
        <w:t xml:space="preserve"> </w:t>
      </w:r>
      <w:r w:rsidR="00DB5891" w:rsidRPr="002611CA">
        <w:rPr>
          <w:b/>
          <w:sz w:val="28"/>
          <w:szCs w:val="28"/>
          <w:lang w:val="en-US"/>
        </w:rPr>
        <w:t>arterial</w:t>
      </w:r>
      <w:r w:rsidR="00DB5891" w:rsidRPr="002611CA">
        <w:rPr>
          <w:b/>
          <w:sz w:val="28"/>
          <w:szCs w:val="28"/>
          <w:lang w:val="uk-UA"/>
        </w:rPr>
        <w:t xml:space="preserve"> </w:t>
      </w:r>
      <w:r w:rsidR="00DB5891" w:rsidRPr="002611CA">
        <w:rPr>
          <w:b/>
          <w:sz w:val="28"/>
          <w:szCs w:val="28"/>
          <w:lang w:val="en-US"/>
        </w:rPr>
        <w:t>hypertension</w:t>
      </w:r>
      <w:r w:rsidR="00DB5891" w:rsidRPr="002611CA">
        <w:rPr>
          <w:b/>
          <w:sz w:val="28"/>
          <w:szCs w:val="28"/>
          <w:lang w:val="uk-UA"/>
        </w:rPr>
        <w:t>,</w:t>
      </w:r>
      <w:r w:rsidR="002611CA">
        <w:rPr>
          <w:b/>
          <w:sz w:val="28"/>
          <w:szCs w:val="28"/>
          <w:lang w:val="uk-UA"/>
        </w:rPr>
        <w:t xml:space="preserve"> </w:t>
      </w:r>
      <w:r w:rsidR="00DB5891" w:rsidRPr="002611CA">
        <w:rPr>
          <w:b/>
          <w:sz w:val="28"/>
          <w:szCs w:val="28"/>
          <w:lang w:val="uk-UA"/>
        </w:rPr>
        <w:t>2018)</w:t>
      </w:r>
      <w:r w:rsidR="00C15186" w:rsidRPr="002611CA">
        <w:rPr>
          <w:b/>
          <w:sz w:val="28"/>
          <w:szCs w:val="28"/>
          <w:lang w:val="uk-UA" w:eastAsia="ru-RU"/>
        </w:rPr>
        <w:t>:</w:t>
      </w:r>
    </w:p>
    <w:p w:rsidR="000721A8" w:rsidRPr="000721A8" w:rsidRDefault="000721A8" w:rsidP="000721A8">
      <w:pPr>
        <w:autoSpaceDE w:val="0"/>
        <w:autoSpaceDN w:val="0"/>
        <w:adjustRightInd w:val="0"/>
        <w:spacing w:line="360" w:lineRule="auto"/>
        <w:ind w:firstLine="284"/>
        <w:rPr>
          <w:b/>
          <w:bCs/>
          <w:sz w:val="28"/>
          <w:szCs w:val="28"/>
          <w:lang w:val="uk-UA" w:eastAsia="ru-RU"/>
        </w:rPr>
      </w:pPr>
      <w:r w:rsidRPr="000721A8">
        <w:rPr>
          <w:b/>
          <w:bCs/>
          <w:sz w:val="28"/>
          <w:szCs w:val="28"/>
          <w:lang w:val="uk-UA" w:eastAsia="ru-RU"/>
        </w:rPr>
        <w:t>Серце</w:t>
      </w:r>
    </w:p>
    <w:p w:rsidR="000721A8" w:rsidRPr="000721A8" w:rsidRDefault="000721A8" w:rsidP="000721A8">
      <w:pPr>
        <w:autoSpaceDE w:val="0"/>
        <w:autoSpaceDN w:val="0"/>
        <w:adjustRightInd w:val="0"/>
        <w:spacing w:line="360" w:lineRule="auto"/>
        <w:ind w:left="284"/>
        <w:jc w:val="both"/>
        <w:rPr>
          <w:sz w:val="28"/>
          <w:szCs w:val="28"/>
          <w:lang w:val="uk-UA" w:eastAsia="ru-RU"/>
        </w:rPr>
      </w:pPr>
      <w:r w:rsidRPr="000721A8">
        <w:rPr>
          <w:sz w:val="28"/>
          <w:szCs w:val="28"/>
          <w:lang w:val="uk-UA" w:eastAsia="ru-RU"/>
        </w:rPr>
        <w:lastRenderedPageBreak/>
        <w:t>– ЕКГ рекомендується всім хворим АГ для виявлення ГЛШ, дилатації лівого передсердя, аритмій або супутніх захворювань серця - рівень доказовості B</w:t>
      </w:r>
      <w:r w:rsidR="002611CA">
        <w:rPr>
          <w:sz w:val="28"/>
          <w:szCs w:val="28"/>
          <w:lang w:val="uk-UA" w:eastAsia="ru-RU"/>
        </w:rPr>
        <w:t>,</w:t>
      </w:r>
    </w:p>
    <w:p w:rsidR="000721A8" w:rsidRPr="000721A8" w:rsidRDefault="000721A8" w:rsidP="000721A8">
      <w:pPr>
        <w:autoSpaceDE w:val="0"/>
        <w:autoSpaceDN w:val="0"/>
        <w:adjustRightInd w:val="0"/>
        <w:spacing w:line="360" w:lineRule="auto"/>
        <w:ind w:left="284"/>
        <w:jc w:val="both"/>
        <w:rPr>
          <w:bCs/>
          <w:sz w:val="28"/>
          <w:szCs w:val="28"/>
          <w:lang w:val="uk-UA" w:eastAsia="ru-RU"/>
        </w:rPr>
      </w:pPr>
      <w:r w:rsidRPr="000721A8">
        <w:rPr>
          <w:sz w:val="28"/>
          <w:szCs w:val="28"/>
          <w:lang w:val="uk-UA" w:eastAsia="ru-RU"/>
        </w:rPr>
        <w:t xml:space="preserve">– Усім хворих з анамнезом або даними </w:t>
      </w:r>
      <w:proofErr w:type="spellStart"/>
      <w:r w:rsidRPr="000721A8">
        <w:rPr>
          <w:sz w:val="28"/>
          <w:szCs w:val="28"/>
          <w:lang w:val="uk-UA" w:eastAsia="ru-RU"/>
        </w:rPr>
        <w:t>фізикального</w:t>
      </w:r>
      <w:proofErr w:type="spellEnd"/>
      <w:r w:rsidRPr="000721A8">
        <w:rPr>
          <w:sz w:val="28"/>
          <w:szCs w:val="28"/>
          <w:lang w:val="uk-UA" w:eastAsia="ru-RU"/>
        </w:rPr>
        <w:t xml:space="preserve"> обстеження, що вказують на значимі порушення ритму, доцільно виконувати тривале </w:t>
      </w:r>
      <w:proofErr w:type="spellStart"/>
      <w:r w:rsidRPr="000721A8">
        <w:rPr>
          <w:sz w:val="28"/>
          <w:szCs w:val="28"/>
          <w:lang w:val="uk-UA" w:eastAsia="ru-RU"/>
        </w:rPr>
        <w:t>моніторування</w:t>
      </w:r>
      <w:proofErr w:type="spellEnd"/>
      <w:r w:rsidRPr="000721A8">
        <w:rPr>
          <w:sz w:val="28"/>
          <w:szCs w:val="28"/>
          <w:lang w:val="uk-UA" w:eastAsia="ru-RU"/>
        </w:rPr>
        <w:t xml:space="preserve"> ЕКГ, а при підозрі на аритмії під час фізичного навантаження – ЕКГ-тести з фізичним нава</w:t>
      </w:r>
      <w:r w:rsidR="002F4F68">
        <w:rPr>
          <w:sz w:val="28"/>
          <w:szCs w:val="28"/>
          <w:lang w:val="uk-UA" w:eastAsia="ru-RU"/>
        </w:rPr>
        <w:t>нтаженням - рівень доказовості С</w:t>
      </w:r>
      <w:r w:rsidR="002611CA">
        <w:rPr>
          <w:sz w:val="28"/>
          <w:szCs w:val="28"/>
          <w:lang w:val="uk-UA" w:eastAsia="ru-RU"/>
        </w:rPr>
        <w:t>,</w:t>
      </w:r>
    </w:p>
    <w:p w:rsidR="000721A8" w:rsidRPr="000721A8" w:rsidRDefault="000721A8" w:rsidP="000721A8">
      <w:pPr>
        <w:autoSpaceDE w:val="0"/>
        <w:autoSpaceDN w:val="0"/>
        <w:adjustRightInd w:val="0"/>
        <w:spacing w:line="360" w:lineRule="auto"/>
        <w:ind w:left="284"/>
        <w:jc w:val="both"/>
        <w:rPr>
          <w:bCs/>
          <w:sz w:val="28"/>
          <w:szCs w:val="28"/>
          <w:lang w:val="uk-UA" w:eastAsia="ru-RU"/>
        </w:rPr>
      </w:pPr>
      <w:r w:rsidRPr="000721A8">
        <w:rPr>
          <w:sz w:val="28"/>
          <w:szCs w:val="28"/>
          <w:lang w:val="uk-UA" w:eastAsia="ru-RU"/>
        </w:rPr>
        <w:t xml:space="preserve">– </w:t>
      </w:r>
      <w:proofErr w:type="spellStart"/>
      <w:r w:rsidRPr="000721A8">
        <w:rPr>
          <w:sz w:val="28"/>
          <w:szCs w:val="28"/>
          <w:lang w:val="uk-UA" w:eastAsia="ru-RU"/>
        </w:rPr>
        <w:t>Ехокардіографію</w:t>
      </w:r>
      <w:proofErr w:type="spellEnd"/>
      <w:r w:rsidRPr="000721A8">
        <w:rPr>
          <w:sz w:val="28"/>
          <w:szCs w:val="28"/>
          <w:lang w:val="uk-UA" w:eastAsia="ru-RU"/>
        </w:rPr>
        <w:t xml:space="preserve"> доцільно виконувати для уточнення серцево-судинного ризику й підтвердження електрокардіографічного діагнозу ГЛШ, дилатації лівого передсердя або передбачуваних захворювань серця (при наявності підозри на них) - рівень доказовості B</w:t>
      </w:r>
      <w:r w:rsidR="002611CA">
        <w:rPr>
          <w:sz w:val="28"/>
          <w:szCs w:val="28"/>
          <w:lang w:val="uk-UA" w:eastAsia="ru-RU"/>
        </w:rPr>
        <w:t>,</w:t>
      </w:r>
    </w:p>
    <w:p w:rsidR="002611CA" w:rsidRDefault="000721A8" w:rsidP="002611CA">
      <w:pPr>
        <w:autoSpaceDE w:val="0"/>
        <w:autoSpaceDN w:val="0"/>
        <w:adjustRightInd w:val="0"/>
        <w:spacing w:line="360" w:lineRule="auto"/>
        <w:ind w:left="284"/>
        <w:jc w:val="both"/>
        <w:rPr>
          <w:sz w:val="28"/>
          <w:szCs w:val="28"/>
          <w:lang w:val="uk-UA" w:eastAsia="ru-RU"/>
        </w:rPr>
      </w:pPr>
      <w:r w:rsidRPr="000721A8">
        <w:rPr>
          <w:sz w:val="28"/>
          <w:szCs w:val="28"/>
          <w:lang w:val="uk-UA" w:eastAsia="ru-RU"/>
        </w:rPr>
        <w:t xml:space="preserve">– У всіх випадках, коли анамнез змушує припускати ішемію міокарда, рекомендується проведення ЕКГ-тестів з фізичним навантаженням; при позитивному або сумнівному результаті рекомендується проводити </w:t>
      </w:r>
      <w:r w:rsidR="002F4F68">
        <w:rPr>
          <w:sz w:val="28"/>
          <w:szCs w:val="28"/>
          <w:lang w:val="uk-UA" w:eastAsia="ru-RU"/>
        </w:rPr>
        <w:t>стрес-тести</w:t>
      </w:r>
      <w:r w:rsidRPr="000721A8">
        <w:rPr>
          <w:sz w:val="28"/>
          <w:szCs w:val="28"/>
          <w:lang w:val="uk-UA" w:eastAsia="ru-RU"/>
        </w:rPr>
        <w:t xml:space="preserve"> (стрес-</w:t>
      </w:r>
      <w:proofErr w:type="spellStart"/>
      <w:r w:rsidRPr="000721A8">
        <w:rPr>
          <w:sz w:val="28"/>
          <w:szCs w:val="28"/>
          <w:lang w:val="uk-UA" w:eastAsia="ru-RU"/>
        </w:rPr>
        <w:t>ехокардіографію</w:t>
      </w:r>
      <w:proofErr w:type="spellEnd"/>
      <w:r w:rsidRPr="000721A8">
        <w:rPr>
          <w:sz w:val="28"/>
          <w:szCs w:val="28"/>
          <w:lang w:val="uk-UA" w:eastAsia="ru-RU"/>
        </w:rPr>
        <w:t xml:space="preserve">, </w:t>
      </w:r>
      <w:proofErr w:type="spellStart"/>
      <w:r w:rsidRPr="000721A8">
        <w:rPr>
          <w:sz w:val="28"/>
          <w:szCs w:val="28"/>
          <w:lang w:val="uk-UA" w:eastAsia="ru-RU"/>
        </w:rPr>
        <w:t>стресс</w:t>
      </w:r>
      <w:proofErr w:type="spellEnd"/>
      <w:r w:rsidRPr="000721A8">
        <w:rPr>
          <w:sz w:val="28"/>
          <w:szCs w:val="28"/>
          <w:lang w:val="uk-UA" w:eastAsia="ru-RU"/>
        </w:rPr>
        <w:t xml:space="preserve">-МРТ або стрес-радіоізотопну </w:t>
      </w:r>
      <w:proofErr w:type="spellStart"/>
      <w:r w:rsidRPr="000721A8">
        <w:rPr>
          <w:sz w:val="28"/>
          <w:szCs w:val="28"/>
          <w:lang w:val="uk-UA" w:eastAsia="ru-RU"/>
        </w:rPr>
        <w:t>сцинтіграфію</w:t>
      </w:r>
      <w:proofErr w:type="spellEnd"/>
      <w:r w:rsidRPr="000721A8">
        <w:rPr>
          <w:sz w:val="28"/>
          <w:szCs w:val="28"/>
          <w:lang w:val="uk-UA" w:eastAsia="ru-RU"/>
        </w:rPr>
        <w:t xml:space="preserve"> серця) - рівень дока</w:t>
      </w:r>
      <w:r w:rsidR="002F4F68">
        <w:rPr>
          <w:sz w:val="28"/>
          <w:szCs w:val="28"/>
          <w:lang w:val="uk-UA" w:eastAsia="ru-RU"/>
        </w:rPr>
        <w:t>зовості С</w:t>
      </w:r>
      <w:r w:rsidR="002611CA">
        <w:rPr>
          <w:sz w:val="28"/>
          <w:szCs w:val="28"/>
          <w:lang w:val="uk-UA" w:eastAsia="ru-RU"/>
        </w:rPr>
        <w:t>.</w:t>
      </w:r>
    </w:p>
    <w:p w:rsidR="000721A8" w:rsidRPr="000721A8" w:rsidRDefault="000721A8" w:rsidP="002611CA">
      <w:pPr>
        <w:autoSpaceDE w:val="0"/>
        <w:autoSpaceDN w:val="0"/>
        <w:adjustRightInd w:val="0"/>
        <w:spacing w:line="360" w:lineRule="auto"/>
        <w:ind w:left="284"/>
        <w:jc w:val="both"/>
        <w:rPr>
          <w:b/>
          <w:sz w:val="28"/>
          <w:szCs w:val="28"/>
          <w:lang w:val="uk-UA" w:eastAsia="ru-RU"/>
        </w:rPr>
      </w:pPr>
      <w:r w:rsidRPr="000721A8">
        <w:rPr>
          <w:b/>
          <w:sz w:val="28"/>
          <w:szCs w:val="28"/>
          <w:lang w:val="uk-UA" w:eastAsia="ru-RU"/>
        </w:rPr>
        <w:t>Артерії</w:t>
      </w:r>
    </w:p>
    <w:p w:rsidR="000721A8" w:rsidRPr="000721A8" w:rsidRDefault="000721A8" w:rsidP="000721A8">
      <w:pPr>
        <w:pStyle w:val="a3"/>
        <w:numPr>
          <w:ilvl w:val="0"/>
          <w:numId w:val="1"/>
        </w:numPr>
        <w:autoSpaceDE w:val="0"/>
        <w:autoSpaceDN w:val="0"/>
        <w:adjustRightInd w:val="0"/>
        <w:spacing w:line="360" w:lineRule="auto"/>
        <w:ind w:left="284" w:firstLine="0"/>
        <w:jc w:val="both"/>
        <w:rPr>
          <w:sz w:val="28"/>
          <w:szCs w:val="28"/>
          <w:lang w:val="uk-UA" w:eastAsia="ru-RU"/>
        </w:rPr>
      </w:pPr>
      <w:r w:rsidRPr="000721A8">
        <w:rPr>
          <w:sz w:val="28"/>
          <w:szCs w:val="28"/>
          <w:lang w:val="uk-UA" w:eastAsia="ru-RU"/>
        </w:rPr>
        <w:t>Ультразвукове сканування доцільне для виявлення гіпертрофії судин або безсимптомного атеросклерозу, особливо у хворих літнього й старечого віку - рівень доказовості B</w:t>
      </w:r>
      <w:r w:rsidR="002611CA">
        <w:rPr>
          <w:sz w:val="28"/>
          <w:szCs w:val="28"/>
          <w:lang w:val="uk-UA" w:eastAsia="ru-RU"/>
        </w:rPr>
        <w:t>,</w:t>
      </w:r>
    </w:p>
    <w:p w:rsidR="000721A8" w:rsidRPr="000721A8" w:rsidRDefault="000721A8" w:rsidP="000721A8">
      <w:pPr>
        <w:pStyle w:val="a3"/>
        <w:numPr>
          <w:ilvl w:val="0"/>
          <w:numId w:val="1"/>
        </w:numPr>
        <w:autoSpaceDE w:val="0"/>
        <w:autoSpaceDN w:val="0"/>
        <w:adjustRightInd w:val="0"/>
        <w:spacing w:line="360" w:lineRule="auto"/>
        <w:ind w:left="284" w:firstLine="0"/>
        <w:jc w:val="both"/>
        <w:rPr>
          <w:sz w:val="28"/>
          <w:szCs w:val="28"/>
          <w:lang w:val="uk-UA" w:eastAsia="ru-RU"/>
        </w:rPr>
      </w:pPr>
      <w:r w:rsidRPr="000721A8">
        <w:rPr>
          <w:sz w:val="28"/>
          <w:szCs w:val="28"/>
          <w:lang w:val="uk-UA" w:eastAsia="ru-RU"/>
        </w:rPr>
        <w:t xml:space="preserve">Вимір </w:t>
      </w:r>
      <w:proofErr w:type="spellStart"/>
      <w:r w:rsidRPr="000721A8">
        <w:rPr>
          <w:sz w:val="28"/>
          <w:szCs w:val="28"/>
          <w:lang w:val="uk-UA" w:eastAsia="ru-RU"/>
        </w:rPr>
        <w:t>каротидно-феморальної</w:t>
      </w:r>
      <w:proofErr w:type="spellEnd"/>
      <w:r w:rsidRPr="000721A8">
        <w:rPr>
          <w:sz w:val="28"/>
          <w:szCs w:val="28"/>
          <w:lang w:val="uk-UA" w:eastAsia="ru-RU"/>
        </w:rPr>
        <w:t xml:space="preserve"> </w:t>
      </w:r>
      <w:r w:rsidR="002F4F68">
        <w:rPr>
          <w:sz w:val="28"/>
          <w:szCs w:val="28"/>
          <w:lang w:val="uk-UA" w:eastAsia="ru-RU"/>
        </w:rPr>
        <w:t xml:space="preserve">швидкості пульсової хвилі </w:t>
      </w:r>
      <w:r w:rsidRPr="000721A8">
        <w:rPr>
          <w:sz w:val="28"/>
          <w:szCs w:val="28"/>
          <w:lang w:val="uk-UA" w:eastAsia="ru-RU"/>
        </w:rPr>
        <w:t>доцільно для виявлення жорсткості великих артерій - рівень доказовості B</w:t>
      </w:r>
      <w:r w:rsidR="002611CA">
        <w:rPr>
          <w:sz w:val="28"/>
          <w:szCs w:val="28"/>
          <w:lang w:val="uk-UA" w:eastAsia="ru-RU"/>
        </w:rPr>
        <w:t>,</w:t>
      </w:r>
      <w:r w:rsidRPr="000721A8">
        <w:rPr>
          <w:sz w:val="28"/>
          <w:szCs w:val="28"/>
          <w:lang w:val="uk-UA" w:eastAsia="ru-RU"/>
        </w:rPr>
        <w:t xml:space="preserve"> </w:t>
      </w:r>
    </w:p>
    <w:p w:rsidR="000721A8" w:rsidRPr="000721A8" w:rsidRDefault="000721A8" w:rsidP="000721A8">
      <w:pPr>
        <w:pStyle w:val="a3"/>
        <w:numPr>
          <w:ilvl w:val="0"/>
          <w:numId w:val="1"/>
        </w:numPr>
        <w:autoSpaceDE w:val="0"/>
        <w:autoSpaceDN w:val="0"/>
        <w:adjustRightInd w:val="0"/>
        <w:spacing w:line="360" w:lineRule="auto"/>
        <w:ind w:left="284" w:firstLine="0"/>
        <w:jc w:val="both"/>
        <w:rPr>
          <w:sz w:val="28"/>
          <w:szCs w:val="28"/>
          <w:lang w:val="uk-UA" w:eastAsia="ru-RU"/>
        </w:rPr>
      </w:pPr>
      <w:r w:rsidRPr="000721A8">
        <w:rPr>
          <w:sz w:val="28"/>
          <w:szCs w:val="28"/>
          <w:lang w:val="uk-UA" w:eastAsia="ru-RU"/>
        </w:rPr>
        <w:t xml:space="preserve">Для діагностики </w:t>
      </w:r>
      <w:r w:rsidR="002F4F68" w:rsidRPr="000721A8">
        <w:rPr>
          <w:sz w:val="28"/>
          <w:szCs w:val="28"/>
          <w:lang w:val="uk-UA" w:eastAsia="ru-RU"/>
        </w:rPr>
        <w:t>ураження периферичних артерій</w:t>
      </w:r>
      <w:r w:rsidRPr="000721A8">
        <w:rPr>
          <w:sz w:val="28"/>
          <w:szCs w:val="28"/>
          <w:lang w:val="uk-UA" w:eastAsia="ru-RU"/>
        </w:rPr>
        <w:t xml:space="preserve"> доцільно визначити </w:t>
      </w:r>
      <w:proofErr w:type="spellStart"/>
      <w:r w:rsidR="002F4F68">
        <w:rPr>
          <w:sz w:val="28"/>
          <w:szCs w:val="28"/>
          <w:lang w:val="uk-UA" w:eastAsia="ru-RU"/>
        </w:rPr>
        <w:t>плечо</w:t>
      </w:r>
      <w:proofErr w:type="spellEnd"/>
      <w:r w:rsidR="002F4F68">
        <w:rPr>
          <w:sz w:val="28"/>
          <w:szCs w:val="28"/>
          <w:lang w:val="uk-UA" w:eastAsia="ru-RU"/>
        </w:rPr>
        <w:t>-гомілковий</w:t>
      </w:r>
      <w:r w:rsidRPr="000721A8">
        <w:rPr>
          <w:sz w:val="28"/>
          <w:szCs w:val="28"/>
          <w:lang w:val="uk-UA" w:eastAsia="ru-RU"/>
        </w:rPr>
        <w:t xml:space="preserve"> індекс- рівень доказовості B</w:t>
      </w:r>
      <w:r w:rsidR="002611CA">
        <w:rPr>
          <w:sz w:val="28"/>
          <w:szCs w:val="28"/>
          <w:lang w:val="uk-UA" w:eastAsia="ru-RU"/>
        </w:rPr>
        <w:t>.</w:t>
      </w:r>
    </w:p>
    <w:p w:rsidR="000721A8" w:rsidRPr="000721A8" w:rsidRDefault="000721A8" w:rsidP="000721A8">
      <w:pPr>
        <w:autoSpaceDE w:val="0"/>
        <w:autoSpaceDN w:val="0"/>
        <w:adjustRightInd w:val="0"/>
        <w:spacing w:line="360" w:lineRule="auto"/>
        <w:ind w:firstLine="284"/>
        <w:rPr>
          <w:sz w:val="28"/>
          <w:szCs w:val="28"/>
          <w:lang w:val="uk-UA" w:eastAsia="ru-RU"/>
        </w:rPr>
      </w:pPr>
      <w:r w:rsidRPr="000721A8">
        <w:rPr>
          <w:b/>
          <w:sz w:val="28"/>
          <w:szCs w:val="28"/>
          <w:lang w:val="uk-UA" w:eastAsia="ru-RU"/>
        </w:rPr>
        <w:t>Нирки</w:t>
      </w:r>
      <w:r w:rsidRPr="000721A8">
        <w:rPr>
          <w:sz w:val="28"/>
          <w:szCs w:val="28"/>
          <w:lang w:val="uk-UA" w:eastAsia="ru-RU"/>
        </w:rPr>
        <w:t xml:space="preserve"> </w:t>
      </w:r>
    </w:p>
    <w:p w:rsidR="000721A8" w:rsidRPr="000721A8" w:rsidRDefault="000721A8" w:rsidP="000721A8">
      <w:pPr>
        <w:pStyle w:val="a3"/>
        <w:numPr>
          <w:ilvl w:val="0"/>
          <w:numId w:val="2"/>
        </w:numPr>
        <w:autoSpaceDE w:val="0"/>
        <w:autoSpaceDN w:val="0"/>
        <w:adjustRightInd w:val="0"/>
        <w:spacing w:line="360" w:lineRule="auto"/>
        <w:ind w:left="284" w:firstLine="0"/>
        <w:jc w:val="both"/>
        <w:rPr>
          <w:sz w:val="28"/>
          <w:szCs w:val="28"/>
          <w:lang w:val="uk-UA" w:eastAsia="ru-RU"/>
        </w:rPr>
      </w:pPr>
      <w:r w:rsidRPr="000721A8">
        <w:rPr>
          <w:sz w:val="28"/>
          <w:szCs w:val="28"/>
          <w:lang w:val="uk-UA" w:eastAsia="ru-RU"/>
        </w:rPr>
        <w:t xml:space="preserve">Усім хворим АГ рекомендується визначати рівень креатиніну в сироватці й розраховувати </w:t>
      </w:r>
      <w:proofErr w:type="spellStart"/>
      <w:r w:rsidR="002F4F68">
        <w:rPr>
          <w:sz w:val="28"/>
          <w:szCs w:val="28"/>
          <w:lang w:val="uk-UA" w:eastAsia="ru-RU"/>
        </w:rPr>
        <w:t>швідкість</w:t>
      </w:r>
      <w:proofErr w:type="spellEnd"/>
      <w:r w:rsidR="002F4F68">
        <w:rPr>
          <w:sz w:val="28"/>
          <w:szCs w:val="28"/>
          <w:lang w:val="uk-UA" w:eastAsia="ru-RU"/>
        </w:rPr>
        <w:t xml:space="preserve"> </w:t>
      </w:r>
      <w:proofErr w:type="spellStart"/>
      <w:r w:rsidR="002F4F68">
        <w:rPr>
          <w:sz w:val="28"/>
          <w:szCs w:val="28"/>
          <w:lang w:val="uk-UA" w:eastAsia="ru-RU"/>
        </w:rPr>
        <w:t>клубочкової</w:t>
      </w:r>
      <w:proofErr w:type="spellEnd"/>
      <w:r w:rsidR="002F4F68">
        <w:rPr>
          <w:sz w:val="28"/>
          <w:szCs w:val="28"/>
          <w:lang w:val="uk-UA" w:eastAsia="ru-RU"/>
        </w:rPr>
        <w:t xml:space="preserve"> фільтрації </w:t>
      </w:r>
      <w:r w:rsidRPr="000721A8">
        <w:rPr>
          <w:sz w:val="28"/>
          <w:szCs w:val="28"/>
          <w:lang w:val="uk-UA" w:eastAsia="ru-RU"/>
        </w:rPr>
        <w:t>- рівень доказовості B</w:t>
      </w:r>
      <w:r w:rsidR="002611CA">
        <w:rPr>
          <w:sz w:val="28"/>
          <w:szCs w:val="28"/>
          <w:lang w:val="uk-UA" w:eastAsia="ru-RU"/>
        </w:rPr>
        <w:t>,</w:t>
      </w:r>
      <w:r w:rsidRPr="000721A8">
        <w:rPr>
          <w:sz w:val="28"/>
          <w:szCs w:val="28"/>
          <w:lang w:val="uk-UA" w:eastAsia="ru-RU"/>
        </w:rPr>
        <w:t xml:space="preserve"> </w:t>
      </w:r>
    </w:p>
    <w:p w:rsidR="000721A8" w:rsidRPr="000721A8" w:rsidRDefault="000721A8" w:rsidP="000721A8">
      <w:pPr>
        <w:pStyle w:val="a3"/>
        <w:numPr>
          <w:ilvl w:val="0"/>
          <w:numId w:val="2"/>
        </w:numPr>
        <w:autoSpaceDE w:val="0"/>
        <w:autoSpaceDN w:val="0"/>
        <w:adjustRightInd w:val="0"/>
        <w:spacing w:line="360" w:lineRule="auto"/>
        <w:ind w:left="284" w:firstLine="0"/>
        <w:jc w:val="both"/>
        <w:rPr>
          <w:sz w:val="28"/>
          <w:szCs w:val="28"/>
          <w:lang w:val="uk-UA" w:eastAsia="ru-RU"/>
        </w:rPr>
      </w:pPr>
      <w:r w:rsidRPr="000721A8">
        <w:rPr>
          <w:sz w:val="28"/>
          <w:szCs w:val="28"/>
          <w:lang w:val="uk-UA" w:eastAsia="ru-RU"/>
        </w:rPr>
        <w:t>Усім хворим АГ</w:t>
      </w:r>
      <w:r w:rsidR="002611CA">
        <w:rPr>
          <w:sz w:val="28"/>
          <w:szCs w:val="28"/>
          <w:lang w:val="uk-UA" w:eastAsia="ru-RU"/>
        </w:rPr>
        <w:t xml:space="preserve"> рекомендується визначати протеї</w:t>
      </w:r>
      <w:r w:rsidRPr="000721A8">
        <w:rPr>
          <w:sz w:val="28"/>
          <w:szCs w:val="28"/>
          <w:lang w:val="uk-UA" w:eastAsia="ru-RU"/>
        </w:rPr>
        <w:t>нурію (</w:t>
      </w:r>
      <w:r w:rsidR="002611CA">
        <w:rPr>
          <w:sz w:val="28"/>
          <w:szCs w:val="28"/>
          <w:lang w:val="uk-UA" w:eastAsia="ru-RU"/>
        </w:rPr>
        <w:t>за</w:t>
      </w:r>
      <w:r w:rsidRPr="000721A8">
        <w:rPr>
          <w:sz w:val="28"/>
          <w:szCs w:val="28"/>
          <w:lang w:val="uk-UA" w:eastAsia="ru-RU"/>
        </w:rPr>
        <w:t xml:space="preserve"> тест-смуж</w:t>
      </w:r>
      <w:r w:rsidR="0072614D">
        <w:rPr>
          <w:sz w:val="28"/>
          <w:szCs w:val="28"/>
          <w:lang w:val="uk-UA" w:eastAsia="ru-RU"/>
        </w:rPr>
        <w:t>кою</w:t>
      </w:r>
      <w:r w:rsidRPr="000721A8">
        <w:rPr>
          <w:sz w:val="28"/>
          <w:szCs w:val="28"/>
          <w:lang w:val="uk-UA" w:eastAsia="ru-RU"/>
        </w:rPr>
        <w:t>) - рівень доказовості B</w:t>
      </w:r>
      <w:r w:rsidR="0072614D">
        <w:rPr>
          <w:sz w:val="28"/>
          <w:szCs w:val="28"/>
          <w:lang w:val="uk-UA" w:eastAsia="ru-RU"/>
        </w:rPr>
        <w:t>,</w:t>
      </w:r>
    </w:p>
    <w:p w:rsidR="000721A8" w:rsidRPr="000721A8" w:rsidRDefault="000721A8" w:rsidP="000721A8">
      <w:pPr>
        <w:pStyle w:val="a3"/>
        <w:numPr>
          <w:ilvl w:val="0"/>
          <w:numId w:val="2"/>
        </w:numPr>
        <w:autoSpaceDE w:val="0"/>
        <w:autoSpaceDN w:val="0"/>
        <w:adjustRightInd w:val="0"/>
        <w:spacing w:line="360" w:lineRule="auto"/>
        <w:ind w:left="284" w:firstLine="0"/>
        <w:jc w:val="both"/>
        <w:rPr>
          <w:sz w:val="28"/>
          <w:szCs w:val="28"/>
          <w:lang w:val="uk-UA" w:eastAsia="ru-RU"/>
        </w:rPr>
      </w:pPr>
      <w:r w:rsidRPr="000721A8">
        <w:rPr>
          <w:sz w:val="28"/>
          <w:szCs w:val="28"/>
          <w:lang w:val="uk-UA" w:eastAsia="ru-RU"/>
        </w:rPr>
        <w:t xml:space="preserve">Рекомендується визначати </w:t>
      </w:r>
      <w:proofErr w:type="spellStart"/>
      <w:r w:rsidRPr="000721A8">
        <w:rPr>
          <w:sz w:val="28"/>
          <w:szCs w:val="28"/>
          <w:lang w:val="uk-UA" w:eastAsia="ru-RU"/>
        </w:rPr>
        <w:t>мікроальбумінурію</w:t>
      </w:r>
      <w:proofErr w:type="spellEnd"/>
      <w:r w:rsidRPr="000721A8">
        <w:rPr>
          <w:sz w:val="28"/>
          <w:szCs w:val="28"/>
          <w:lang w:val="uk-UA" w:eastAsia="ru-RU"/>
        </w:rPr>
        <w:t xml:space="preserve"> та її співвідношення із сечовою екскрецією креатиніну (у плямі сечі) - рівень доказовості В</w:t>
      </w:r>
      <w:r w:rsidR="0072614D">
        <w:rPr>
          <w:sz w:val="28"/>
          <w:szCs w:val="28"/>
          <w:lang w:val="uk-UA" w:eastAsia="ru-RU"/>
        </w:rPr>
        <w:t>.</w:t>
      </w:r>
    </w:p>
    <w:p w:rsidR="000721A8" w:rsidRPr="000721A8" w:rsidRDefault="000721A8" w:rsidP="000721A8">
      <w:pPr>
        <w:autoSpaceDE w:val="0"/>
        <w:autoSpaceDN w:val="0"/>
        <w:adjustRightInd w:val="0"/>
        <w:spacing w:line="360" w:lineRule="auto"/>
        <w:ind w:firstLine="284"/>
        <w:rPr>
          <w:sz w:val="28"/>
          <w:szCs w:val="28"/>
          <w:lang w:val="uk-UA" w:eastAsia="ru-RU"/>
        </w:rPr>
      </w:pPr>
      <w:r w:rsidRPr="000721A8">
        <w:rPr>
          <w:b/>
          <w:sz w:val="28"/>
          <w:szCs w:val="28"/>
          <w:lang w:val="uk-UA" w:eastAsia="ru-RU"/>
        </w:rPr>
        <w:lastRenderedPageBreak/>
        <w:t xml:space="preserve">Огляд очного </w:t>
      </w:r>
      <w:proofErr w:type="spellStart"/>
      <w:r w:rsidRPr="000721A8">
        <w:rPr>
          <w:b/>
          <w:sz w:val="28"/>
          <w:szCs w:val="28"/>
          <w:lang w:val="uk-UA" w:eastAsia="ru-RU"/>
        </w:rPr>
        <w:t>дна</w:t>
      </w:r>
      <w:proofErr w:type="spellEnd"/>
      <w:r w:rsidRPr="000721A8">
        <w:rPr>
          <w:b/>
          <w:sz w:val="28"/>
          <w:szCs w:val="28"/>
          <w:lang w:val="uk-UA" w:eastAsia="ru-RU"/>
        </w:rPr>
        <w:t xml:space="preserve"> (</w:t>
      </w:r>
      <w:proofErr w:type="spellStart"/>
      <w:r w:rsidRPr="000721A8">
        <w:rPr>
          <w:b/>
          <w:sz w:val="28"/>
          <w:szCs w:val="28"/>
          <w:lang w:val="uk-UA" w:eastAsia="ru-RU"/>
        </w:rPr>
        <w:t>фундоскопія</w:t>
      </w:r>
      <w:proofErr w:type="spellEnd"/>
      <w:r w:rsidRPr="000721A8">
        <w:rPr>
          <w:b/>
          <w:sz w:val="28"/>
          <w:szCs w:val="28"/>
          <w:lang w:val="uk-UA" w:eastAsia="ru-RU"/>
        </w:rPr>
        <w:t>)</w:t>
      </w:r>
      <w:r w:rsidRPr="000721A8">
        <w:rPr>
          <w:sz w:val="28"/>
          <w:szCs w:val="28"/>
          <w:lang w:val="uk-UA" w:eastAsia="ru-RU"/>
        </w:rPr>
        <w:t xml:space="preserve"> </w:t>
      </w:r>
    </w:p>
    <w:p w:rsidR="000721A8" w:rsidRPr="000721A8" w:rsidRDefault="000721A8" w:rsidP="000721A8">
      <w:pPr>
        <w:pStyle w:val="a3"/>
        <w:numPr>
          <w:ilvl w:val="0"/>
          <w:numId w:val="3"/>
        </w:numPr>
        <w:autoSpaceDE w:val="0"/>
        <w:autoSpaceDN w:val="0"/>
        <w:adjustRightInd w:val="0"/>
        <w:spacing w:line="360" w:lineRule="auto"/>
        <w:jc w:val="both"/>
        <w:rPr>
          <w:sz w:val="28"/>
          <w:szCs w:val="28"/>
          <w:lang w:val="uk-UA" w:eastAsia="ru-RU"/>
        </w:rPr>
      </w:pPr>
      <w:r w:rsidRPr="000721A8">
        <w:rPr>
          <w:sz w:val="28"/>
          <w:szCs w:val="28"/>
          <w:lang w:val="uk-UA" w:eastAsia="ru-RU"/>
        </w:rPr>
        <w:t>Дослідження сітківки доцільно у хворих важко контрольованої або резистентної АГ, для виявлення крововиливів, ексудатів і набряку сосків зорово</w:t>
      </w:r>
      <w:r w:rsidR="0072614D">
        <w:rPr>
          <w:sz w:val="28"/>
          <w:szCs w:val="28"/>
          <w:lang w:val="uk-UA" w:eastAsia="ru-RU"/>
        </w:rPr>
        <w:t>го нерву - рівень доказовості В,</w:t>
      </w:r>
    </w:p>
    <w:p w:rsidR="000721A8" w:rsidRPr="000721A8" w:rsidRDefault="000721A8" w:rsidP="000721A8">
      <w:pPr>
        <w:pStyle w:val="a3"/>
        <w:numPr>
          <w:ilvl w:val="0"/>
          <w:numId w:val="3"/>
        </w:numPr>
        <w:autoSpaceDE w:val="0"/>
        <w:autoSpaceDN w:val="0"/>
        <w:adjustRightInd w:val="0"/>
        <w:spacing w:line="360" w:lineRule="auto"/>
        <w:jc w:val="both"/>
        <w:rPr>
          <w:sz w:val="28"/>
          <w:szCs w:val="28"/>
          <w:lang w:val="uk-UA" w:eastAsia="ru-RU"/>
        </w:rPr>
      </w:pPr>
      <w:r w:rsidRPr="000721A8">
        <w:rPr>
          <w:sz w:val="28"/>
          <w:szCs w:val="28"/>
          <w:lang w:val="uk-UA" w:eastAsia="ru-RU"/>
        </w:rPr>
        <w:t xml:space="preserve">Дослідження сітківки не рекомендується хворим з м'якою й помірною АГ, що не страждають діабетом, за винятком молодих </w:t>
      </w:r>
      <w:r w:rsidR="0072614D">
        <w:rPr>
          <w:sz w:val="28"/>
          <w:szCs w:val="28"/>
          <w:lang w:val="uk-UA" w:eastAsia="ru-RU"/>
        </w:rPr>
        <w:t>пацієнтів - рівень доказовості С</w:t>
      </w:r>
    </w:p>
    <w:p w:rsidR="000721A8" w:rsidRPr="000721A8" w:rsidRDefault="000721A8" w:rsidP="000721A8">
      <w:pPr>
        <w:autoSpaceDE w:val="0"/>
        <w:autoSpaceDN w:val="0"/>
        <w:adjustRightInd w:val="0"/>
        <w:spacing w:line="360" w:lineRule="auto"/>
        <w:ind w:firstLine="284"/>
        <w:rPr>
          <w:sz w:val="28"/>
          <w:szCs w:val="28"/>
          <w:lang w:val="uk-UA" w:eastAsia="ru-RU"/>
        </w:rPr>
      </w:pPr>
      <w:r w:rsidRPr="000721A8">
        <w:rPr>
          <w:b/>
          <w:sz w:val="28"/>
          <w:szCs w:val="28"/>
          <w:lang w:val="uk-UA" w:eastAsia="ru-RU"/>
        </w:rPr>
        <w:t>Головний мозок</w:t>
      </w:r>
    </w:p>
    <w:p w:rsidR="000721A8" w:rsidRPr="000721A8" w:rsidRDefault="000721A8" w:rsidP="000721A8">
      <w:pPr>
        <w:pStyle w:val="a3"/>
        <w:numPr>
          <w:ilvl w:val="0"/>
          <w:numId w:val="4"/>
        </w:numPr>
        <w:autoSpaceDE w:val="0"/>
        <w:autoSpaceDN w:val="0"/>
        <w:adjustRightInd w:val="0"/>
        <w:spacing w:line="360" w:lineRule="auto"/>
        <w:ind w:left="567" w:firstLine="0"/>
        <w:jc w:val="both"/>
        <w:rPr>
          <w:sz w:val="28"/>
          <w:szCs w:val="28"/>
          <w:lang w:val="uk-UA" w:eastAsia="ru-RU"/>
        </w:rPr>
      </w:pPr>
      <w:r w:rsidRPr="000721A8">
        <w:rPr>
          <w:sz w:val="28"/>
          <w:szCs w:val="28"/>
          <w:lang w:val="uk-UA" w:eastAsia="ru-RU"/>
        </w:rPr>
        <w:t xml:space="preserve">У хворих АГ з когнітивними порушеннями може бути доцільним проведення </w:t>
      </w:r>
      <w:proofErr w:type="spellStart"/>
      <w:r w:rsidRPr="000721A8">
        <w:rPr>
          <w:sz w:val="28"/>
          <w:szCs w:val="28"/>
          <w:lang w:val="uk-UA" w:eastAsia="ru-RU"/>
        </w:rPr>
        <w:t>магніторезонансної</w:t>
      </w:r>
      <w:proofErr w:type="spellEnd"/>
      <w:r w:rsidRPr="000721A8">
        <w:rPr>
          <w:sz w:val="28"/>
          <w:szCs w:val="28"/>
          <w:lang w:val="uk-UA" w:eastAsia="ru-RU"/>
        </w:rPr>
        <w:t xml:space="preserve"> або комп'ютерної томографії головного мозку для виявлення прихованих мозкових інфарктів, лакунарних інфарктів, </w:t>
      </w:r>
      <w:proofErr w:type="spellStart"/>
      <w:r w:rsidRPr="000721A8">
        <w:rPr>
          <w:sz w:val="28"/>
          <w:szCs w:val="28"/>
          <w:lang w:val="uk-UA" w:eastAsia="ru-RU"/>
        </w:rPr>
        <w:t>мікрокрововиливів</w:t>
      </w:r>
      <w:proofErr w:type="spellEnd"/>
      <w:r w:rsidRPr="000721A8">
        <w:rPr>
          <w:sz w:val="28"/>
          <w:szCs w:val="28"/>
          <w:lang w:val="uk-UA" w:eastAsia="ru-RU"/>
        </w:rPr>
        <w:t xml:space="preserve"> і вогнищ у білій</w:t>
      </w:r>
      <w:r w:rsidR="002F4F68">
        <w:rPr>
          <w:sz w:val="28"/>
          <w:szCs w:val="28"/>
          <w:lang w:val="uk-UA" w:eastAsia="ru-RU"/>
        </w:rPr>
        <w:t xml:space="preserve"> речовині - рівень доказовості С</w:t>
      </w:r>
    </w:p>
    <w:p w:rsidR="005551FE" w:rsidRDefault="005551FE" w:rsidP="002F4F68">
      <w:pPr>
        <w:autoSpaceDE w:val="0"/>
        <w:autoSpaceDN w:val="0"/>
        <w:adjustRightInd w:val="0"/>
        <w:ind w:left="57" w:right="57" w:firstLine="709"/>
        <w:jc w:val="both"/>
        <w:rPr>
          <w:sz w:val="20"/>
          <w:szCs w:val="20"/>
          <w:lang w:val="uk-UA" w:eastAsia="ru-RU"/>
        </w:rPr>
      </w:pPr>
    </w:p>
    <w:p w:rsidR="005551FE" w:rsidRDefault="005551FE" w:rsidP="002F4F68">
      <w:pPr>
        <w:autoSpaceDE w:val="0"/>
        <w:autoSpaceDN w:val="0"/>
        <w:adjustRightInd w:val="0"/>
        <w:ind w:left="57" w:right="57" w:firstLine="709"/>
        <w:jc w:val="both"/>
        <w:rPr>
          <w:sz w:val="20"/>
          <w:szCs w:val="20"/>
          <w:lang w:val="uk-UA" w:eastAsia="ru-RU"/>
        </w:rPr>
      </w:pPr>
    </w:p>
    <w:p w:rsidR="006E0D09" w:rsidRPr="00DF5F50" w:rsidRDefault="006E0D09" w:rsidP="008432F4">
      <w:pPr>
        <w:autoSpaceDE w:val="0"/>
        <w:autoSpaceDN w:val="0"/>
        <w:adjustRightInd w:val="0"/>
        <w:ind w:firstLine="709"/>
        <w:jc w:val="both"/>
        <w:rPr>
          <w:sz w:val="32"/>
          <w:szCs w:val="32"/>
          <w:lang w:val="en-US"/>
        </w:rPr>
      </w:pPr>
    </w:p>
    <w:p w:rsidR="006E0D09" w:rsidRPr="008432F4" w:rsidRDefault="006E0D09" w:rsidP="008432F4">
      <w:pPr>
        <w:autoSpaceDE w:val="0"/>
        <w:autoSpaceDN w:val="0"/>
        <w:adjustRightInd w:val="0"/>
        <w:ind w:left="57" w:right="57" w:firstLine="708"/>
        <w:jc w:val="both"/>
        <w:rPr>
          <w:b/>
          <w:sz w:val="28"/>
          <w:szCs w:val="28"/>
          <w:lang w:eastAsia="ru-RU"/>
        </w:rPr>
      </w:pPr>
      <w:r w:rsidRPr="008432F4">
        <w:rPr>
          <w:b/>
          <w:sz w:val="28"/>
          <w:szCs w:val="28"/>
          <w:lang w:eastAsia="ru-RU"/>
        </w:rPr>
        <w:t>БЕССИМПТОМНОЕ ПОРАЖЕНИЯ ОРГАНОВ МИШЕНЕЙ КАК ДОПОЛНИТЕЛЬНЫ</w:t>
      </w:r>
      <w:r w:rsidR="008432F4" w:rsidRPr="008432F4">
        <w:rPr>
          <w:b/>
          <w:sz w:val="28"/>
          <w:szCs w:val="28"/>
          <w:lang w:val="uk-UA" w:eastAsia="ru-RU"/>
        </w:rPr>
        <w:t>Й</w:t>
      </w:r>
      <w:r w:rsidRPr="008432F4">
        <w:rPr>
          <w:b/>
          <w:sz w:val="28"/>
          <w:szCs w:val="28"/>
          <w:lang w:eastAsia="ru-RU"/>
        </w:rPr>
        <w:t xml:space="preserve"> ДЕТЕРМИНАНТ ОБЩЕГО СЕРДЕЧНО-СОСУДИСТОГО РИСКА ПРИ АРТЕРИАЛЬНОЙ ГИПЕРТЕНЗИИ</w:t>
      </w:r>
    </w:p>
    <w:p w:rsidR="006E0D09" w:rsidRPr="008432F4" w:rsidRDefault="006E0D09" w:rsidP="008432F4">
      <w:pPr>
        <w:autoSpaceDE w:val="0"/>
        <w:autoSpaceDN w:val="0"/>
        <w:adjustRightInd w:val="0"/>
        <w:ind w:left="57" w:right="57" w:firstLine="708"/>
        <w:jc w:val="both"/>
        <w:rPr>
          <w:sz w:val="28"/>
          <w:szCs w:val="28"/>
          <w:lang w:eastAsia="ru-RU"/>
        </w:rPr>
      </w:pPr>
      <w:proofErr w:type="spellStart"/>
      <w:r w:rsidRPr="008432F4">
        <w:rPr>
          <w:sz w:val="28"/>
          <w:szCs w:val="28"/>
          <w:lang w:eastAsia="ru-RU"/>
        </w:rPr>
        <w:t>Ащеулова</w:t>
      </w:r>
      <w:proofErr w:type="spellEnd"/>
      <w:r w:rsidRPr="008432F4">
        <w:rPr>
          <w:sz w:val="28"/>
          <w:szCs w:val="28"/>
          <w:lang w:eastAsia="ru-RU"/>
        </w:rPr>
        <w:t xml:space="preserve"> Т.В., Амбросова Т.Н.</w:t>
      </w:r>
    </w:p>
    <w:p w:rsidR="006E0D09" w:rsidRPr="008432F4" w:rsidRDefault="006E0D09" w:rsidP="008432F4">
      <w:pPr>
        <w:autoSpaceDE w:val="0"/>
        <w:autoSpaceDN w:val="0"/>
        <w:adjustRightInd w:val="0"/>
        <w:ind w:left="57" w:right="57" w:firstLine="708"/>
        <w:jc w:val="both"/>
        <w:rPr>
          <w:sz w:val="28"/>
          <w:szCs w:val="28"/>
          <w:lang w:eastAsia="ru-RU"/>
        </w:rPr>
      </w:pPr>
      <w:r w:rsidRPr="008432F4">
        <w:rPr>
          <w:sz w:val="28"/>
          <w:szCs w:val="28"/>
          <w:lang w:eastAsia="ru-RU"/>
        </w:rPr>
        <w:t>Харьковский национальный медицинский университет</w:t>
      </w:r>
    </w:p>
    <w:p w:rsidR="006E0D09" w:rsidRPr="008432F4" w:rsidRDefault="006E0D09" w:rsidP="008432F4">
      <w:pPr>
        <w:autoSpaceDE w:val="0"/>
        <w:autoSpaceDN w:val="0"/>
        <w:adjustRightInd w:val="0"/>
        <w:ind w:left="57" w:right="57" w:firstLine="708"/>
        <w:jc w:val="both"/>
        <w:rPr>
          <w:sz w:val="28"/>
          <w:szCs w:val="28"/>
          <w:lang w:eastAsia="ru-RU"/>
        </w:rPr>
      </w:pPr>
      <w:r w:rsidRPr="008432F4">
        <w:rPr>
          <w:sz w:val="28"/>
          <w:szCs w:val="28"/>
          <w:lang w:eastAsia="ru-RU"/>
        </w:rPr>
        <w:t>В статье представлен аналитический обзор прогностической значимости диагностики бессимптомного поражения органов мишеней при артериальной гипертензии в контексте более детального определения сердечно-сосудистого риска. Представлены основные инструментальные и функциональные пробы для диагностики субклинических стадий поражения органов-мишеней при артериальной гипертензии и определена их прогностическая значимость для основных кардиоваскулярных событий.</w:t>
      </w:r>
    </w:p>
    <w:p w:rsidR="006E0D09" w:rsidRPr="008432F4" w:rsidRDefault="006E0D09" w:rsidP="008432F4">
      <w:pPr>
        <w:autoSpaceDE w:val="0"/>
        <w:autoSpaceDN w:val="0"/>
        <w:adjustRightInd w:val="0"/>
        <w:ind w:left="57" w:right="57" w:firstLine="708"/>
        <w:jc w:val="both"/>
        <w:rPr>
          <w:sz w:val="28"/>
          <w:szCs w:val="28"/>
          <w:lang w:eastAsia="ru-RU"/>
        </w:rPr>
      </w:pPr>
      <w:r w:rsidRPr="008432F4">
        <w:rPr>
          <w:sz w:val="28"/>
          <w:szCs w:val="28"/>
          <w:lang w:eastAsia="ru-RU"/>
        </w:rPr>
        <w:t>Ключевые слова: артериальная гипертензия, бессимптомное поражение органов-мишеней, прогно</w:t>
      </w:r>
      <w:r w:rsidR="008432F4" w:rsidRPr="008432F4">
        <w:rPr>
          <w:sz w:val="28"/>
          <w:szCs w:val="28"/>
          <w:lang w:eastAsia="ru-RU"/>
        </w:rPr>
        <w:t>з</w:t>
      </w:r>
      <w:r w:rsidRPr="008432F4">
        <w:rPr>
          <w:sz w:val="28"/>
          <w:szCs w:val="28"/>
          <w:lang w:eastAsia="ru-RU"/>
        </w:rPr>
        <w:t>, диагностические подходы</w:t>
      </w:r>
      <w:r w:rsidR="008432F4" w:rsidRPr="008432F4">
        <w:rPr>
          <w:sz w:val="28"/>
          <w:szCs w:val="28"/>
          <w:lang w:eastAsia="ru-RU"/>
        </w:rPr>
        <w:t xml:space="preserve">, общий сердечно-сосудистый риск </w:t>
      </w:r>
    </w:p>
    <w:p w:rsidR="008432F4" w:rsidRPr="008432F4" w:rsidRDefault="008432F4" w:rsidP="008432F4">
      <w:pPr>
        <w:autoSpaceDE w:val="0"/>
        <w:autoSpaceDN w:val="0"/>
        <w:adjustRightInd w:val="0"/>
        <w:ind w:left="57" w:right="57" w:firstLine="708"/>
        <w:jc w:val="both"/>
        <w:rPr>
          <w:i/>
          <w:sz w:val="28"/>
          <w:szCs w:val="28"/>
          <w:lang w:eastAsia="ru-RU"/>
        </w:rPr>
      </w:pPr>
    </w:p>
    <w:p w:rsidR="008432F4" w:rsidRPr="008432F4" w:rsidRDefault="008432F4" w:rsidP="008432F4">
      <w:pPr>
        <w:jc w:val="both"/>
        <w:rPr>
          <w:b/>
          <w:sz w:val="28"/>
          <w:szCs w:val="28"/>
          <w:lang w:val="en-US"/>
        </w:rPr>
      </w:pPr>
      <w:r w:rsidRPr="008432F4">
        <w:rPr>
          <w:b/>
          <w:sz w:val="28"/>
          <w:szCs w:val="28"/>
          <w:lang w:val="en-US"/>
        </w:rPr>
        <w:t>ASYMPTOMATIC TARGET-ORGANS DAMAGE AS ADDITIONAL DETERMINANT OF GLOBAL CARDIOVASCULAR RISK AT ARTERIAL HYPERTENSION</w:t>
      </w:r>
    </w:p>
    <w:p w:rsidR="008432F4" w:rsidRPr="008432F4" w:rsidRDefault="008432F4" w:rsidP="008432F4">
      <w:pPr>
        <w:jc w:val="both"/>
        <w:rPr>
          <w:sz w:val="28"/>
          <w:szCs w:val="28"/>
          <w:lang w:val="en-US"/>
        </w:rPr>
      </w:pPr>
      <w:proofErr w:type="spellStart"/>
      <w:r w:rsidRPr="008432F4">
        <w:rPr>
          <w:sz w:val="28"/>
          <w:szCs w:val="28"/>
          <w:lang w:val="en-US"/>
        </w:rPr>
        <w:t>Ashcheulova</w:t>
      </w:r>
      <w:proofErr w:type="spellEnd"/>
      <w:r w:rsidRPr="008432F4">
        <w:rPr>
          <w:sz w:val="28"/>
          <w:szCs w:val="28"/>
          <w:lang w:val="en-US"/>
        </w:rPr>
        <w:t xml:space="preserve"> T., </w:t>
      </w:r>
      <w:proofErr w:type="spellStart"/>
      <w:r w:rsidRPr="008432F4">
        <w:rPr>
          <w:sz w:val="28"/>
          <w:szCs w:val="28"/>
          <w:lang w:val="en-US"/>
        </w:rPr>
        <w:t>Ambrosova</w:t>
      </w:r>
      <w:proofErr w:type="spellEnd"/>
      <w:r w:rsidRPr="008432F4">
        <w:rPr>
          <w:sz w:val="28"/>
          <w:szCs w:val="28"/>
          <w:lang w:val="en-US"/>
        </w:rPr>
        <w:t xml:space="preserve"> T.</w:t>
      </w:r>
    </w:p>
    <w:p w:rsidR="008432F4" w:rsidRPr="008432F4" w:rsidRDefault="008432F4" w:rsidP="008432F4">
      <w:pPr>
        <w:jc w:val="both"/>
        <w:rPr>
          <w:sz w:val="28"/>
          <w:szCs w:val="28"/>
          <w:lang w:val="en-US"/>
        </w:rPr>
      </w:pPr>
      <w:proofErr w:type="spellStart"/>
      <w:r w:rsidRPr="008432F4">
        <w:rPr>
          <w:sz w:val="28"/>
          <w:szCs w:val="28"/>
          <w:lang w:val="en-US"/>
        </w:rPr>
        <w:t>Kharkiv</w:t>
      </w:r>
      <w:proofErr w:type="spellEnd"/>
      <w:r w:rsidRPr="008432F4">
        <w:rPr>
          <w:sz w:val="28"/>
          <w:szCs w:val="28"/>
          <w:lang w:val="en-US"/>
        </w:rPr>
        <w:t xml:space="preserve"> National Medical University</w:t>
      </w:r>
    </w:p>
    <w:p w:rsidR="008432F4" w:rsidRPr="008432F4" w:rsidRDefault="008432F4" w:rsidP="008432F4">
      <w:pPr>
        <w:jc w:val="both"/>
        <w:rPr>
          <w:sz w:val="28"/>
          <w:szCs w:val="28"/>
          <w:lang w:val="en-US"/>
        </w:rPr>
      </w:pPr>
      <w:r w:rsidRPr="008432F4">
        <w:rPr>
          <w:sz w:val="28"/>
          <w:szCs w:val="28"/>
          <w:lang w:val="en-US"/>
        </w:rPr>
        <w:tab/>
        <w:t xml:space="preserve">Analytical review about prognostic significance of asymptomatic target-organs damage diagnostics in the arterial hypertension in context of more detailed assessment of cardiovascular risk reviewed in the article. The main instrumental and functional tests for the diagnostics of the subclinical stages of the target-organs damage in the arterial </w:t>
      </w:r>
      <w:r w:rsidRPr="008432F4">
        <w:rPr>
          <w:sz w:val="28"/>
          <w:szCs w:val="28"/>
          <w:lang w:val="en-US"/>
        </w:rPr>
        <w:lastRenderedPageBreak/>
        <w:t xml:space="preserve">hypertension presented and their prognostic significance for the global cardiovascular events is determined. </w:t>
      </w:r>
    </w:p>
    <w:p w:rsidR="008432F4" w:rsidRPr="008432F4" w:rsidRDefault="008432F4" w:rsidP="008432F4">
      <w:pPr>
        <w:ind w:firstLine="708"/>
        <w:jc w:val="both"/>
        <w:rPr>
          <w:sz w:val="28"/>
          <w:szCs w:val="28"/>
          <w:lang w:val="en-US"/>
        </w:rPr>
      </w:pPr>
      <w:r w:rsidRPr="008432F4">
        <w:rPr>
          <w:sz w:val="28"/>
          <w:szCs w:val="28"/>
          <w:lang w:val="en-US"/>
        </w:rPr>
        <w:t>Keywords: arterial hypertension, asymptomatic target-organs damage, prognos</w:t>
      </w:r>
      <w:r w:rsidR="0072614D">
        <w:rPr>
          <w:sz w:val="28"/>
          <w:szCs w:val="28"/>
          <w:lang w:val="en-US"/>
        </w:rPr>
        <w:t>is</w:t>
      </w:r>
      <w:r w:rsidRPr="008432F4">
        <w:rPr>
          <w:sz w:val="28"/>
          <w:szCs w:val="28"/>
          <w:lang w:val="en-US"/>
        </w:rPr>
        <w:t>, diagnostic approach</w:t>
      </w:r>
      <w:r w:rsidR="0072614D">
        <w:rPr>
          <w:sz w:val="28"/>
          <w:szCs w:val="28"/>
          <w:lang w:val="en-US"/>
        </w:rPr>
        <w:t>, global cardiovascular risk</w:t>
      </w:r>
      <w:r w:rsidRPr="008432F4">
        <w:rPr>
          <w:sz w:val="28"/>
          <w:szCs w:val="28"/>
          <w:lang w:val="en-US"/>
        </w:rPr>
        <w:t>.</w:t>
      </w:r>
    </w:p>
    <w:p w:rsidR="008432F4" w:rsidRPr="00F67C1E" w:rsidRDefault="008432F4" w:rsidP="008432F4">
      <w:pPr>
        <w:jc w:val="both"/>
        <w:rPr>
          <w:sz w:val="28"/>
          <w:lang w:val="en-US"/>
        </w:rPr>
      </w:pPr>
      <w:r>
        <w:rPr>
          <w:sz w:val="28"/>
          <w:lang w:val="en-US"/>
        </w:rPr>
        <w:t xml:space="preserve"> </w:t>
      </w:r>
    </w:p>
    <w:p w:rsidR="006E0D09" w:rsidRPr="006E0D09" w:rsidRDefault="006E0D09" w:rsidP="00E961E2">
      <w:pPr>
        <w:autoSpaceDE w:val="0"/>
        <w:autoSpaceDN w:val="0"/>
        <w:adjustRightInd w:val="0"/>
        <w:spacing w:line="360" w:lineRule="auto"/>
        <w:jc w:val="center"/>
        <w:rPr>
          <w:sz w:val="32"/>
          <w:szCs w:val="32"/>
          <w:lang w:val="uk-UA"/>
        </w:rPr>
      </w:pPr>
      <w:r>
        <w:rPr>
          <w:sz w:val="32"/>
          <w:szCs w:val="32"/>
          <w:lang w:val="uk-UA"/>
        </w:rPr>
        <w:t>СПИСОК ВИКОРИСТАНОЇ ЛІТЕРАТУРИ:</w:t>
      </w:r>
    </w:p>
    <w:p w:rsidR="006E0D09" w:rsidRPr="006E0D09" w:rsidRDefault="006E0D09" w:rsidP="00E961E2">
      <w:pPr>
        <w:pStyle w:val="a3"/>
        <w:numPr>
          <w:ilvl w:val="0"/>
          <w:numId w:val="8"/>
        </w:numPr>
        <w:autoSpaceDE w:val="0"/>
        <w:autoSpaceDN w:val="0"/>
        <w:adjustRightInd w:val="0"/>
        <w:spacing w:line="360" w:lineRule="auto"/>
        <w:ind w:left="0" w:firstLine="0"/>
        <w:jc w:val="both"/>
        <w:rPr>
          <w:rFonts w:eastAsiaTheme="minorHAnsi"/>
          <w:sz w:val="32"/>
          <w:szCs w:val="32"/>
          <w:lang w:val="en-US"/>
        </w:rPr>
      </w:pPr>
      <w:proofErr w:type="spellStart"/>
      <w:r w:rsidRPr="006E0D09">
        <w:rPr>
          <w:rFonts w:eastAsiaTheme="minorHAnsi"/>
          <w:sz w:val="32"/>
          <w:szCs w:val="32"/>
          <w:lang w:val="en-US"/>
        </w:rPr>
        <w:t>Clase</w:t>
      </w:r>
      <w:proofErr w:type="spellEnd"/>
      <w:r w:rsidRPr="006E0D09">
        <w:rPr>
          <w:rFonts w:eastAsiaTheme="minorHAnsi"/>
          <w:sz w:val="32"/>
          <w:szCs w:val="32"/>
          <w:lang w:val="en-US"/>
        </w:rPr>
        <w:t xml:space="preserve"> C</w:t>
      </w:r>
      <w:r w:rsidRPr="006E0D09">
        <w:rPr>
          <w:rFonts w:eastAsiaTheme="minorHAnsi"/>
          <w:sz w:val="32"/>
          <w:szCs w:val="32"/>
          <w:lang w:val="en-US"/>
        </w:rPr>
        <w:t>.</w:t>
      </w:r>
      <w:r w:rsidRPr="006E0D09">
        <w:rPr>
          <w:rFonts w:eastAsiaTheme="minorHAnsi"/>
          <w:sz w:val="32"/>
          <w:szCs w:val="32"/>
          <w:lang w:val="en-US"/>
        </w:rPr>
        <w:t>M</w:t>
      </w:r>
      <w:r w:rsidRPr="006E0D09">
        <w:rPr>
          <w:rFonts w:eastAsiaTheme="minorHAnsi"/>
          <w:sz w:val="32"/>
          <w:szCs w:val="32"/>
          <w:lang w:val="en-US"/>
        </w:rPr>
        <w:t>.</w:t>
      </w:r>
      <w:r w:rsidRPr="006E0D09">
        <w:rPr>
          <w:rFonts w:eastAsiaTheme="minorHAnsi"/>
          <w:sz w:val="32"/>
          <w:szCs w:val="32"/>
          <w:lang w:val="en-US"/>
        </w:rPr>
        <w:t xml:space="preserve">, </w:t>
      </w:r>
      <w:proofErr w:type="spellStart"/>
      <w:r w:rsidRPr="006E0D09">
        <w:rPr>
          <w:rFonts w:eastAsiaTheme="minorHAnsi"/>
          <w:sz w:val="32"/>
          <w:szCs w:val="32"/>
          <w:lang w:val="en-US"/>
        </w:rPr>
        <w:t>Barzilay</w:t>
      </w:r>
      <w:proofErr w:type="spellEnd"/>
      <w:r w:rsidRPr="006E0D09">
        <w:rPr>
          <w:rFonts w:eastAsiaTheme="minorHAnsi"/>
          <w:sz w:val="32"/>
          <w:szCs w:val="32"/>
          <w:lang w:val="en-US"/>
        </w:rPr>
        <w:t xml:space="preserve"> J</w:t>
      </w:r>
      <w:r w:rsidRPr="006E0D09">
        <w:rPr>
          <w:rFonts w:eastAsiaTheme="minorHAnsi"/>
          <w:sz w:val="32"/>
          <w:szCs w:val="32"/>
          <w:lang w:val="en-US"/>
        </w:rPr>
        <w:t>.</w:t>
      </w:r>
      <w:r w:rsidRPr="006E0D09">
        <w:rPr>
          <w:rFonts w:eastAsiaTheme="minorHAnsi"/>
          <w:sz w:val="32"/>
          <w:szCs w:val="32"/>
          <w:lang w:val="en-US"/>
        </w:rPr>
        <w:t xml:space="preserve">, </w:t>
      </w:r>
      <w:proofErr w:type="gramStart"/>
      <w:r w:rsidRPr="006E0D09">
        <w:rPr>
          <w:rFonts w:eastAsiaTheme="minorHAnsi"/>
          <w:sz w:val="32"/>
          <w:szCs w:val="32"/>
          <w:lang w:val="en-US"/>
        </w:rPr>
        <w:t>Gao P</w:t>
      </w:r>
      <w:r w:rsidRPr="006E0D09">
        <w:rPr>
          <w:rFonts w:eastAsiaTheme="minorHAnsi"/>
          <w:sz w:val="32"/>
          <w:szCs w:val="32"/>
          <w:lang w:val="en-US"/>
        </w:rPr>
        <w:t>. et al</w:t>
      </w:r>
      <w:proofErr w:type="gramEnd"/>
      <w:r w:rsidRPr="006E0D09">
        <w:rPr>
          <w:rFonts w:eastAsiaTheme="minorHAnsi"/>
          <w:sz w:val="32"/>
          <w:szCs w:val="32"/>
          <w:lang w:val="en-US"/>
        </w:rPr>
        <w:t xml:space="preserve">. </w:t>
      </w:r>
      <w:r w:rsidRPr="006E0D09">
        <w:rPr>
          <w:rFonts w:eastAsiaTheme="minorHAnsi"/>
          <w:sz w:val="32"/>
          <w:szCs w:val="32"/>
          <w:lang w:val="en-US"/>
        </w:rPr>
        <w:t xml:space="preserve">(2017) </w:t>
      </w:r>
      <w:r w:rsidRPr="006E0D09">
        <w:rPr>
          <w:rFonts w:eastAsiaTheme="minorHAnsi"/>
          <w:sz w:val="32"/>
          <w:szCs w:val="32"/>
          <w:lang w:val="en-US"/>
        </w:rPr>
        <w:t xml:space="preserve">Acute change in glomerular filtration rate with inhibition of the </w:t>
      </w:r>
      <w:proofErr w:type="spellStart"/>
      <w:r w:rsidRPr="006E0D09">
        <w:rPr>
          <w:rFonts w:eastAsiaTheme="minorHAnsi"/>
          <w:sz w:val="32"/>
          <w:szCs w:val="32"/>
          <w:lang w:val="en-US"/>
        </w:rPr>
        <w:t>reninangiotensin</w:t>
      </w:r>
      <w:proofErr w:type="spellEnd"/>
      <w:r w:rsidRPr="006E0D09">
        <w:rPr>
          <w:rFonts w:eastAsiaTheme="minorHAnsi"/>
          <w:sz w:val="32"/>
          <w:szCs w:val="32"/>
          <w:lang w:val="en-US"/>
        </w:rPr>
        <w:t xml:space="preserve"> </w:t>
      </w:r>
      <w:r w:rsidRPr="006E0D09">
        <w:rPr>
          <w:rFonts w:eastAsiaTheme="minorHAnsi"/>
          <w:sz w:val="32"/>
          <w:szCs w:val="32"/>
          <w:lang w:val="en-US"/>
        </w:rPr>
        <w:t>system does not predict subsequent renal and cardiovascular outcomes.</w:t>
      </w:r>
      <w:r w:rsidRPr="006E0D09">
        <w:rPr>
          <w:rFonts w:eastAsiaTheme="minorHAnsi"/>
          <w:sz w:val="32"/>
          <w:szCs w:val="32"/>
          <w:lang w:val="en-US"/>
        </w:rPr>
        <w:t xml:space="preserve"> </w:t>
      </w:r>
      <w:r w:rsidRPr="006E0D09">
        <w:rPr>
          <w:rFonts w:eastAsiaTheme="minorHAnsi"/>
          <w:sz w:val="32"/>
          <w:szCs w:val="32"/>
          <w:lang w:val="en-US"/>
        </w:rPr>
        <w:t xml:space="preserve">Kidney </w:t>
      </w:r>
      <w:proofErr w:type="spellStart"/>
      <w:r w:rsidRPr="006E0D09">
        <w:rPr>
          <w:rFonts w:eastAsiaTheme="minorHAnsi"/>
          <w:sz w:val="32"/>
          <w:szCs w:val="32"/>
          <w:lang w:val="en-US"/>
        </w:rPr>
        <w:t>Int</w:t>
      </w:r>
      <w:proofErr w:type="spellEnd"/>
      <w:r w:rsidRPr="006E0D09">
        <w:rPr>
          <w:rFonts w:eastAsiaTheme="minorHAnsi"/>
          <w:sz w:val="32"/>
          <w:szCs w:val="32"/>
          <w:lang w:val="en-US"/>
        </w:rPr>
        <w:t xml:space="preserve"> </w:t>
      </w:r>
      <w:proofErr w:type="gramStart"/>
      <w:r w:rsidRPr="006E0D09">
        <w:rPr>
          <w:rFonts w:eastAsiaTheme="minorHAnsi"/>
          <w:sz w:val="32"/>
          <w:szCs w:val="32"/>
          <w:lang w:val="en-US"/>
        </w:rPr>
        <w:t>2017</w:t>
      </w:r>
      <w:r w:rsidRPr="006E0D09">
        <w:rPr>
          <w:rFonts w:eastAsiaTheme="minorHAnsi"/>
          <w:sz w:val="32"/>
          <w:szCs w:val="32"/>
          <w:lang w:val="en-US"/>
        </w:rPr>
        <w:t>.,</w:t>
      </w:r>
      <w:proofErr w:type="gramEnd"/>
      <w:r w:rsidRPr="006E0D09">
        <w:rPr>
          <w:rFonts w:eastAsiaTheme="minorHAnsi"/>
          <w:sz w:val="32"/>
          <w:szCs w:val="32"/>
          <w:lang w:val="en-US"/>
        </w:rPr>
        <w:t xml:space="preserve"> </w:t>
      </w:r>
      <w:r w:rsidRPr="006E0D09">
        <w:rPr>
          <w:rFonts w:eastAsiaTheme="minorHAnsi"/>
          <w:sz w:val="32"/>
          <w:szCs w:val="32"/>
          <w:lang w:val="en-US"/>
        </w:rPr>
        <w:t>91:683–690.</w:t>
      </w:r>
    </w:p>
    <w:p w:rsidR="006E0D09" w:rsidRPr="006E0D09" w:rsidRDefault="006E0D09" w:rsidP="00E961E2">
      <w:pPr>
        <w:pStyle w:val="a3"/>
        <w:numPr>
          <w:ilvl w:val="0"/>
          <w:numId w:val="8"/>
        </w:numPr>
        <w:autoSpaceDE w:val="0"/>
        <w:autoSpaceDN w:val="0"/>
        <w:adjustRightInd w:val="0"/>
        <w:spacing w:line="360" w:lineRule="auto"/>
        <w:ind w:left="0" w:firstLine="0"/>
        <w:jc w:val="both"/>
        <w:rPr>
          <w:sz w:val="32"/>
          <w:szCs w:val="32"/>
          <w:lang w:val="en-US"/>
        </w:rPr>
      </w:pPr>
      <w:r w:rsidRPr="006E0D09">
        <w:rPr>
          <w:sz w:val="32"/>
          <w:szCs w:val="32"/>
          <w:lang w:val="en-US"/>
        </w:rPr>
        <w:t xml:space="preserve">ESC/ESH Guidelines for the management of arterial hypertension </w:t>
      </w:r>
      <w:r w:rsidR="00DB5891" w:rsidRPr="006E0D09">
        <w:rPr>
          <w:sz w:val="32"/>
          <w:szCs w:val="32"/>
          <w:lang w:val="en-US"/>
        </w:rPr>
        <w:t>(2018)</w:t>
      </w:r>
      <w:r w:rsidR="00DB5891">
        <w:rPr>
          <w:sz w:val="32"/>
          <w:szCs w:val="32"/>
          <w:lang w:val="uk-UA"/>
        </w:rPr>
        <w:t>.</w:t>
      </w:r>
      <w:r w:rsidR="00DB5891" w:rsidRPr="006E0D09">
        <w:rPr>
          <w:sz w:val="32"/>
          <w:szCs w:val="32"/>
          <w:lang w:val="en-US"/>
        </w:rPr>
        <w:t xml:space="preserve"> </w:t>
      </w:r>
      <w:r w:rsidRPr="006E0D09">
        <w:rPr>
          <w:sz w:val="32"/>
          <w:szCs w:val="32"/>
          <w:lang w:val="en-US"/>
        </w:rPr>
        <w:t xml:space="preserve">The Task Force for the management of arterial hypertension of the European Society of Cardiology (ESC) and the European Society of Hypertension (ESH) Authors/Task Force Members: </w:t>
      </w:r>
      <w:proofErr w:type="spellStart"/>
      <w:r w:rsidRPr="006E0D09">
        <w:rPr>
          <w:sz w:val="32"/>
          <w:szCs w:val="32"/>
          <w:lang w:val="en-US"/>
        </w:rPr>
        <w:t>B.Williams</w:t>
      </w:r>
      <w:proofErr w:type="spellEnd"/>
      <w:r w:rsidRPr="006E0D09">
        <w:rPr>
          <w:sz w:val="32"/>
          <w:szCs w:val="32"/>
          <w:lang w:val="en-US"/>
        </w:rPr>
        <w:t xml:space="preserve">, G. </w:t>
      </w:r>
      <w:proofErr w:type="spellStart"/>
      <w:r w:rsidRPr="006E0D09">
        <w:rPr>
          <w:sz w:val="32"/>
          <w:szCs w:val="32"/>
          <w:lang w:val="en-US"/>
        </w:rPr>
        <w:t>Mancia</w:t>
      </w:r>
      <w:proofErr w:type="spellEnd"/>
      <w:r w:rsidRPr="006E0D09">
        <w:rPr>
          <w:sz w:val="32"/>
          <w:szCs w:val="32"/>
          <w:lang w:val="en-US"/>
        </w:rPr>
        <w:t xml:space="preserve">, </w:t>
      </w:r>
      <w:proofErr w:type="spellStart"/>
      <w:r w:rsidRPr="006E0D09">
        <w:rPr>
          <w:sz w:val="32"/>
          <w:szCs w:val="32"/>
          <w:lang w:val="en-US"/>
        </w:rPr>
        <w:t>W.Spiering</w:t>
      </w:r>
      <w:proofErr w:type="spellEnd"/>
      <w:r w:rsidRPr="006E0D09">
        <w:rPr>
          <w:sz w:val="32"/>
          <w:szCs w:val="32"/>
          <w:lang w:val="en-US"/>
        </w:rPr>
        <w:t xml:space="preserve"> et al. European Heart Journal.,</w:t>
      </w:r>
      <w:r w:rsidR="0094356E">
        <w:rPr>
          <w:sz w:val="32"/>
          <w:szCs w:val="32"/>
          <w:lang w:val="en-US"/>
        </w:rPr>
        <w:t xml:space="preserve"> 39:</w:t>
      </w:r>
      <w:r w:rsidRPr="006E0D09">
        <w:rPr>
          <w:sz w:val="32"/>
          <w:szCs w:val="32"/>
          <w:lang w:val="en-US"/>
        </w:rPr>
        <w:t xml:space="preserve"> 3041–3145. doi:10.1093/</w:t>
      </w:r>
      <w:proofErr w:type="spellStart"/>
      <w:r w:rsidRPr="006E0D09">
        <w:rPr>
          <w:sz w:val="32"/>
          <w:szCs w:val="32"/>
          <w:lang w:val="en-US"/>
        </w:rPr>
        <w:t>eurheartj</w:t>
      </w:r>
      <w:proofErr w:type="spellEnd"/>
      <w:r w:rsidRPr="006E0D09">
        <w:rPr>
          <w:sz w:val="32"/>
          <w:szCs w:val="32"/>
          <w:lang w:val="en-US"/>
        </w:rPr>
        <w:t>/ehy339</w:t>
      </w:r>
    </w:p>
    <w:p w:rsidR="006E0D09" w:rsidRPr="006E0D09" w:rsidRDefault="006E0D09" w:rsidP="00E961E2">
      <w:pPr>
        <w:pStyle w:val="a3"/>
        <w:numPr>
          <w:ilvl w:val="0"/>
          <w:numId w:val="8"/>
        </w:numPr>
        <w:autoSpaceDE w:val="0"/>
        <w:autoSpaceDN w:val="0"/>
        <w:adjustRightInd w:val="0"/>
        <w:spacing w:line="360" w:lineRule="auto"/>
        <w:ind w:left="0" w:firstLine="0"/>
        <w:jc w:val="both"/>
        <w:rPr>
          <w:rFonts w:eastAsiaTheme="minorHAnsi"/>
          <w:sz w:val="32"/>
          <w:szCs w:val="32"/>
          <w:lang w:val="en-US"/>
        </w:rPr>
      </w:pPr>
      <w:proofErr w:type="spellStart"/>
      <w:r w:rsidRPr="006E0D09">
        <w:rPr>
          <w:rFonts w:eastAsiaTheme="minorHAnsi"/>
          <w:sz w:val="32"/>
          <w:szCs w:val="32"/>
          <w:lang w:val="en-US"/>
        </w:rPr>
        <w:t>Perrone-Filardi</w:t>
      </w:r>
      <w:proofErr w:type="spellEnd"/>
      <w:r w:rsidRPr="006E0D09">
        <w:rPr>
          <w:rFonts w:eastAsiaTheme="minorHAnsi"/>
          <w:sz w:val="32"/>
          <w:szCs w:val="32"/>
          <w:lang w:val="en-US"/>
        </w:rPr>
        <w:t xml:space="preserve"> P., Coca A., </w:t>
      </w:r>
      <w:proofErr w:type="spellStart"/>
      <w:r w:rsidRPr="006E0D09">
        <w:rPr>
          <w:rFonts w:eastAsiaTheme="minorHAnsi"/>
          <w:sz w:val="32"/>
          <w:szCs w:val="32"/>
          <w:lang w:val="en-US"/>
        </w:rPr>
        <w:t>Galderisi</w:t>
      </w:r>
      <w:proofErr w:type="spellEnd"/>
      <w:r w:rsidRPr="006E0D09">
        <w:rPr>
          <w:rFonts w:eastAsiaTheme="minorHAnsi"/>
          <w:sz w:val="32"/>
          <w:szCs w:val="32"/>
          <w:lang w:val="en-US"/>
        </w:rPr>
        <w:t xml:space="preserve"> M. et al. (2017) Non-invasive cardiovascular imaging for evaluating subclinical target organ damage in hypertensive patients: a consensus paper from the European Association of Cardiovascular Imaging (EACVI), the European Society of Cardiology Council on Hypertension, and the European Society of Hypertension (ESH). </w:t>
      </w:r>
      <w:proofErr w:type="spellStart"/>
      <w:r w:rsidRPr="006E0D09">
        <w:rPr>
          <w:rFonts w:eastAsiaTheme="minorHAnsi"/>
          <w:sz w:val="32"/>
          <w:szCs w:val="32"/>
          <w:lang w:val="en-US"/>
        </w:rPr>
        <w:t>Eur</w:t>
      </w:r>
      <w:proofErr w:type="spellEnd"/>
      <w:r w:rsidRPr="006E0D09">
        <w:rPr>
          <w:rFonts w:eastAsiaTheme="minorHAnsi"/>
          <w:sz w:val="32"/>
          <w:szCs w:val="32"/>
          <w:lang w:val="en-US"/>
        </w:rPr>
        <w:t xml:space="preserve"> Heart J </w:t>
      </w:r>
      <w:proofErr w:type="spellStart"/>
      <w:r w:rsidRPr="006E0D09">
        <w:rPr>
          <w:rFonts w:eastAsiaTheme="minorHAnsi"/>
          <w:sz w:val="32"/>
          <w:szCs w:val="32"/>
          <w:lang w:val="en-US"/>
        </w:rPr>
        <w:t>Cardiovasc</w:t>
      </w:r>
      <w:proofErr w:type="spellEnd"/>
      <w:r w:rsidRPr="006E0D09">
        <w:rPr>
          <w:rFonts w:eastAsiaTheme="minorHAnsi"/>
          <w:sz w:val="32"/>
          <w:szCs w:val="32"/>
          <w:lang w:val="en-US"/>
        </w:rPr>
        <w:t xml:space="preserve"> Imaging.</w:t>
      </w:r>
      <w:proofErr w:type="gramStart"/>
      <w:r w:rsidRPr="006E0D09">
        <w:rPr>
          <w:rFonts w:eastAsiaTheme="minorHAnsi"/>
          <w:sz w:val="32"/>
          <w:szCs w:val="32"/>
          <w:lang w:val="en-US"/>
        </w:rPr>
        <w:t>,18</w:t>
      </w:r>
      <w:proofErr w:type="gramEnd"/>
      <w:r w:rsidRPr="006E0D09">
        <w:rPr>
          <w:rFonts w:eastAsiaTheme="minorHAnsi"/>
          <w:sz w:val="32"/>
          <w:szCs w:val="32"/>
          <w:lang w:val="en-US"/>
        </w:rPr>
        <w:t>:</w:t>
      </w:r>
      <w:r w:rsidR="0094356E">
        <w:rPr>
          <w:rFonts w:eastAsiaTheme="minorHAnsi"/>
          <w:sz w:val="32"/>
          <w:szCs w:val="32"/>
          <w:lang w:val="en-US"/>
        </w:rPr>
        <w:t xml:space="preserve"> </w:t>
      </w:r>
      <w:r w:rsidRPr="006E0D09">
        <w:rPr>
          <w:rFonts w:eastAsiaTheme="minorHAnsi"/>
          <w:sz w:val="32"/>
          <w:szCs w:val="32"/>
          <w:lang w:val="en-US"/>
        </w:rPr>
        <w:t>945–960.</w:t>
      </w:r>
    </w:p>
    <w:p w:rsidR="006E0D09" w:rsidRPr="006E0D09" w:rsidRDefault="006E0D09" w:rsidP="00E961E2">
      <w:pPr>
        <w:pStyle w:val="a3"/>
        <w:numPr>
          <w:ilvl w:val="0"/>
          <w:numId w:val="8"/>
        </w:numPr>
        <w:autoSpaceDE w:val="0"/>
        <w:autoSpaceDN w:val="0"/>
        <w:adjustRightInd w:val="0"/>
        <w:spacing w:line="360" w:lineRule="auto"/>
        <w:ind w:left="0" w:firstLine="0"/>
        <w:jc w:val="both"/>
        <w:rPr>
          <w:sz w:val="32"/>
          <w:szCs w:val="32"/>
          <w:lang w:val="en-US"/>
        </w:rPr>
      </w:pPr>
      <w:proofErr w:type="spellStart"/>
      <w:r w:rsidRPr="006E0D09">
        <w:rPr>
          <w:rFonts w:eastAsiaTheme="minorHAnsi"/>
          <w:sz w:val="32"/>
          <w:szCs w:val="32"/>
          <w:lang w:val="en-US"/>
        </w:rPr>
        <w:t>Sairenchi</w:t>
      </w:r>
      <w:proofErr w:type="spellEnd"/>
      <w:r w:rsidRPr="006E0D09">
        <w:rPr>
          <w:rFonts w:eastAsiaTheme="minorHAnsi"/>
          <w:sz w:val="32"/>
          <w:szCs w:val="32"/>
          <w:lang w:val="en-US"/>
        </w:rPr>
        <w:t xml:space="preserve"> T</w:t>
      </w:r>
      <w:r w:rsidRPr="006E0D09">
        <w:rPr>
          <w:rFonts w:eastAsiaTheme="minorHAnsi"/>
          <w:sz w:val="32"/>
          <w:szCs w:val="32"/>
          <w:lang w:val="en-US"/>
        </w:rPr>
        <w:t>.</w:t>
      </w:r>
      <w:r w:rsidRPr="006E0D09">
        <w:rPr>
          <w:rFonts w:eastAsiaTheme="minorHAnsi"/>
          <w:sz w:val="32"/>
          <w:szCs w:val="32"/>
          <w:lang w:val="en-US"/>
        </w:rPr>
        <w:t xml:space="preserve">, </w:t>
      </w:r>
      <w:proofErr w:type="spellStart"/>
      <w:r w:rsidRPr="006E0D09">
        <w:rPr>
          <w:rFonts w:eastAsiaTheme="minorHAnsi"/>
          <w:sz w:val="32"/>
          <w:szCs w:val="32"/>
          <w:lang w:val="en-US"/>
        </w:rPr>
        <w:t>Iso</w:t>
      </w:r>
      <w:proofErr w:type="spellEnd"/>
      <w:r w:rsidRPr="006E0D09">
        <w:rPr>
          <w:rFonts w:eastAsiaTheme="minorHAnsi"/>
          <w:sz w:val="32"/>
          <w:szCs w:val="32"/>
          <w:lang w:val="en-US"/>
        </w:rPr>
        <w:t xml:space="preserve"> H</w:t>
      </w:r>
      <w:r w:rsidRPr="006E0D09">
        <w:rPr>
          <w:rFonts w:eastAsiaTheme="minorHAnsi"/>
          <w:sz w:val="32"/>
          <w:szCs w:val="32"/>
          <w:lang w:val="en-US"/>
        </w:rPr>
        <w:t>.</w:t>
      </w:r>
      <w:r w:rsidRPr="006E0D09">
        <w:rPr>
          <w:rFonts w:eastAsiaTheme="minorHAnsi"/>
          <w:sz w:val="32"/>
          <w:szCs w:val="32"/>
          <w:lang w:val="en-US"/>
        </w:rPr>
        <w:t>, Yamagishi K</w:t>
      </w:r>
      <w:r w:rsidRPr="006E0D09">
        <w:rPr>
          <w:rFonts w:eastAsiaTheme="minorHAnsi"/>
          <w:sz w:val="32"/>
          <w:szCs w:val="32"/>
          <w:lang w:val="en-US"/>
        </w:rPr>
        <w:t>. et al</w:t>
      </w:r>
      <w:r w:rsidRPr="006E0D09">
        <w:rPr>
          <w:rFonts w:eastAsiaTheme="minorHAnsi"/>
          <w:sz w:val="32"/>
          <w:szCs w:val="32"/>
          <w:lang w:val="en-US"/>
        </w:rPr>
        <w:t>.</w:t>
      </w:r>
      <w:r w:rsidRPr="006E0D09">
        <w:rPr>
          <w:rFonts w:eastAsiaTheme="minorHAnsi"/>
          <w:sz w:val="32"/>
          <w:szCs w:val="32"/>
          <w:lang w:val="en-US"/>
        </w:rPr>
        <w:t xml:space="preserve"> (2011)</w:t>
      </w:r>
      <w:r w:rsidRPr="006E0D09">
        <w:rPr>
          <w:rFonts w:eastAsiaTheme="minorHAnsi"/>
          <w:sz w:val="32"/>
          <w:szCs w:val="32"/>
          <w:lang w:val="en-US"/>
        </w:rPr>
        <w:t xml:space="preserve"> </w:t>
      </w:r>
      <w:proofErr w:type="spellStart"/>
      <w:r w:rsidRPr="006E0D09">
        <w:rPr>
          <w:rFonts w:eastAsiaTheme="minorHAnsi"/>
          <w:sz w:val="32"/>
          <w:szCs w:val="32"/>
          <w:lang w:val="en-US"/>
        </w:rPr>
        <w:t>Mildretinopathy</w:t>
      </w:r>
      <w:proofErr w:type="spellEnd"/>
      <w:r w:rsidRPr="006E0D09">
        <w:rPr>
          <w:rFonts w:eastAsiaTheme="minorHAnsi"/>
          <w:sz w:val="32"/>
          <w:szCs w:val="32"/>
          <w:lang w:val="en-US"/>
        </w:rPr>
        <w:t xml:space="preserve"> is a risk factor for cardiovascular mortality in Japanese with and</w:t>
      </w:r>
      <w:r w:rsidRPr="006E0D09">
        <w:rPr>
          <w:rFonts w:eastAsiaTheme="minorHAnsi"/>
          <w:sz w:val="32"/>
          <w:szCs w:val="32"/>
          <w:lang w:val="en-US"/>
        </w:rPr>
        <w:t xml:space="preserve"> </w:t>
      </w:r>
      <w:r w:rsidRPr="006E0D09">
        <w:rPr>
          <w:rFonts w:eastAsiaTheme="minorHAnsi"/>
          <w:sz w:val="32"/>
          <w:szCs w:val="32"/>
          <w:lang w:val="en-US"/>
        </w:rPr>
        <w:t xml:space="preserve">without hypertension: the Ibaraki Prefectural Health Study. </w:t>
      </w:r>
      <w:proofErr w:type="gramStart"/>
      <w:r w:rsidRPr="006E0D09">
        <w:rPr>
          <w:rFonts w:eastAsiaTheme="minorHAnsi"/>
          <w:sz w:val="32"/>
          <w:szCs w:val="32"/>
          <w:lang w:val="en-US"/>
        </w:rPr>
        <w:t>Circulation</w:t>
      </w:r>
      <w:r w:rsidRPr="006E0D09">
        <w:rPr>
          <w:rFonts w:eastAsiaTheme="minorHAnsi"/>
          <w:sz w:val="32"/>
          <w:szCs w:val="32"/>
          <w:lang w:val="en-US"/>
        </w:rPr>
        <w:t>.,</w:t>
      </w:r>
      <w:proofErr w:type="gramEnd"/>
      <w:r w:rsidRPr="006E0D09">
        <w:rPr>
          <w:rFonts w:eastAsiaTheme="minorHAnsi"/>
          <w:sz w:val="32"/>
          <w:szCs w:val="32"/>
          <w:lang w:val="en-US"/>
        </w:rPr>
        <w:t xml:space="preserve"> </w:t>
      </w:r>
      <w:r w:rsidRPr="006E0D09">
        <w:rPr>
          <w:rFonts w:eastAsiaTheme="minorHAnsi"/>
          <w:sz w:val="32"/>
          <w:szCs w:val="32"/>
          <w:lang w:val="en-US"/>
        </w:rPr>
        <w:t>124:</w:t>
      </w:r>
      <w:r w:rsidR="0094356E">
        <w:rPr>
          <w:rFonts w:eastAsiaTheme="minorHAnsi"/>
          <w:sz w:val="32"/>
          <w:szCs w:val="32"/>
          <w:lang w:val="en-US"/>
        </w:rPr>
        <w:t xml:space="preserve"> </w:t>
      </w:r>
      <w:r w:rsidRPr="006E0D09">
        <w:rPr>
          <w:rFonts w:eastAsiaTheme="minorHAnsi"/>
          <w:sz w:val="32"/>
          <w:szCs w:val="32"/>
          <w:lang w:val="en-US"/>
        </w:rPr>
        <w:t>2502–2511.</w:t>
      </w:r>
      <w:r w:rsidRPr="006E0D09">
        <w:rPr>
          <w:sz w:val="32"/>
          <w:szCs w:val="32"/>
          <w:lang w:val="en-US"/>
        </w:rPr>
        <w:t xml:space="preserve"> </w:t>
      </w:r>
    </w:p>
    <w:p w:rsidR="006E0D09" w:rsidRPr="006E0D09" w:rsidRDefault="006E0D09" w:rsidP="00E961E2">
      <w:pPr>
        <w:pStyle w:val="a3"/>
        <w:numPr>
          <w:ilvl w:val="0"/>
          <w:numId w:val="8"/>
        </w:numPr>
        <w:autoSpaceDE w:val="0"/>
        <w:autoSpaceDN w:val="0"/>
        <w:adjustRightInd w:val="0"/>
        <w:spacing w:line="360" w:lineRule="auto"/>
        <w:ind w:left="0" w:firstLine="0"/>
        <w:jc w:val="both"/>
        <w:rPr>
          <w:rFonts w:eastAsiaTheme="minorHAnsi"/>
          <w:sz w:val="32"/>
          <w:szCs w:val="32"/>
          <w:lang w:val="en-US"/>
        </w:rPr>
      </w:pPr>
      <w:proofErr w:type="spellStart"/>
      <w:r w:rsidRPr="006E0D09">
        <w:rPr>
          <w:rFonts w:eastAsiaTheme="minorHAnsi"/>
          <w:sz w:val="32"/>
          <w:szCs w:val="32"/>
          <w:lang w:val="en-US"/>
        </w:rPr>
        <w:t>Tsoi</w:t>
      </w:r>
      <w:proofErr w:type="spellEnd"/>
      <w:r w:rsidRPr="006E0D09">
        <w:rPr>
          <w:rFonts w:eastAsiaTheme="minorHAnsi"/>
          <w:sz w:val="32"/>
          <w:szCs w:val="32"/>
          <w:lang w:val="en-US"/>
        </w:rPr>
        <w:t xml:space="preserve"> K</w:t>
      </w:r>
      <w:r w:rsidRPr="006E0D09">
        <w:rPr>
          <w:rFonts w:eastAsiaTheme="minorHAnsi"/>
          <w:sz w:val="32"/>
          <w:szCs w:val="32"/>
          <w:lang w:val="en-US"/>
        </w:rPr>
        <w:t>.</w:t>
      </w:r>
      <w:r w:rsidRPr="006E0D09">
        <w:rPr>
          <w:rFonts w:eastAsiaTheme="minorHAnsi"/>
          <w:sz w:val="32"/>
          <w:szCs w:val="32"/>
          <w:lang w:val="en-US"/>
        </w:rPr>
        <w:t>K</w:t>
      </w:r>
      <w:r w:rsidRPr="006E0D09">
        <w:rPr>
          <w:rFonts w:eastAsiaTheme="minorHAnsi"/>
          <w:sz w:val="32"/>
          <w:szCs w:val="32"/>
          <w:lang w:val="en-US"/>
        </w:rPr>
        <w:t>.</w:t>
      </w:r>
      <w:r w:rsidRPr="006E0D09">
        <w:rPr>
          <w:rFonts w:eastAsiaTheme="minorHAnsi"/>
          <w:sz w:val="32"/>
          <w:szCs w:val="32"/>
          <w:lang w:val="en-US"/>
        </w:rPr>
        <w:t>, Chan J</w:t>
      </w:r>
      <w:r w:rsidRPr="006E0D09">
        <w:rPr>
          <w:rFonts w:eastAsiaTheme="minorHAnsi"/>
          <w:sz w:val="32"/>
          <w:szCs w:val="32"/>
          <w:lang w:val="en-US"/>
        </w:rPr>
        <w:t>.</w:t>
      </w:r>
      <w:r w:rsidRPr="006E0D09">
        <w:rPr>
          <w:rFonts w:eastAsiaTheme="minorHAnsi"/>
          <w:sz w:val="32"/>
          <w:szCs w:val="32"/>
          <w:lang w:val="en-US"/>
        </w:rPr>
        <w:t>Y</w:t>
      </w:r>
      <w:r w:rsidRPr="006E0D09">
        <w:rPr>
          <w:rFonts w:eastAsiaTheme="minorHAnsi"/>
          <w:sz w:val="32"/>
          <w:szCs w:val="32"/>
          <w:lang w:val="en-US"/>
        </w:rPr>
        <w:t>.</w:t>
      </w:r>
      <w:r w:rsidRPr="006E0D09">
        <w:rPr>
          <w:rFonts w:eastAsiaTheme="minorHAnsi"/>
          <w:sz w:val="32"/>
          <w:szCs w:val="32"/>
          <w:lang w:val="en-US"/>
        </w:rPr>
        <w:t>, Hirai H</w:t>
      </w:r>
      <w:r w:rsidRPr="006E0D09">
        <w:rPr>
          <w:rFonts w:eastAsiaTheme="minorHAnsi"/>
          <w:sz w:val="32"/>
          <w:szCs w:val="32"/>
          <w:lang w:val="en-US"/>
        </w:rPr>
        <w:t>.</w:t>
      </w:r>
      <w:r w:rsidRPr="006E0D09">
        <w:rPr>
          <w:rFonts w:eastAsiaTheme="minorHAnsi"/>
          <w:sz w:val="32"/>
          <w:szCs w:val="32"/>
          <w:lang w:val="en-US"/>
        </w:rPr>
        <w:t>W</w:t>
      </w:r>
      <w:r w:rsidRPr="006E0D09">
        <w:rPr>
          <w:rFonts w:eastAsiaTheme="minorHAnsi"/>
          <w:sz w:val="32"/>
          <w:szCs w:val="32"/>
          <w:lang w:val="en-US"/>
        </w:rPr>
        <w:t>. et al</w:t>
      </w:r>
      <w:r w:rsidRPr="006E0D09">
        <w:rPr>
          <w:rFonts w:eastAsiaTheme="minorHAnsi"/>
          <w:sz w:val="32"/>
          <w:szCs w:val="32"/>
          <w:lang w:val="en-US"/>
        </w:rPr>
        <w:t>.</w:t>
      </w:r>
      <w:r w:rsidRPr="006E0D09">
        <w:rPr>
          <w:rFonts w:eastAsiaTheme="minorHAnsi"/>
          <w:sz w:val="32"/>
          <w:szCs w:val="32"/>
          <w:lang w:val="en-US"/>
        </w:rPr>
        <w:t xml:space="preserve"> (2015)</w:t>
      </w:r>
      <w:r w:rsidRPr="006E0D09">
        <w:rPr>
          <w:rFonts w:eastAsiaTheme="minorHAnsi"/>
          <w:sz w:val="32"/>
          <w:szCs w:val="32"/>
          <w:lang w:val="en-US"/>
        </w:rPr>
        <w:t xml:space="preserve"> Cognitive tests to detect</w:t>
      </w:r>
      <w:r w:rsidRPr="006E0D09">
        <w:rPr>
          <w:rFonts w:eastAsiaTheme="minorHAnsi"/>
          <w:sz w:val="32"/>
          <w:szCs w:val="32"/>
          <w:lang w:val="en-US"/>
        </w:rPr>
        <w:t xml:space="preserve"> </w:t>
      </w:r>
      <w:r w:rsidRPr="006E0D09">
        <w:rPr>
          <w:rFonts w:eastAsiaTheme="minorHAnsi"/>
          <w:sz w:val="32"/>
          <w:szCs w:val="32"/>
          <w:lang w:val="en-US"/>
        </w:rPr>
        <w:t xml:space="preserve">dementia: a systematic review and meta-analysis. </w:t>
      </w:r>
      <w:proofErr w:type="spellStart"/>
      <w:r w:rsidRPr="006E0D09">
        <w:rPr>
          <w:rFonts w:eastAsiaTheme="minorHAnsi"/>
          <w:sz w:val="32"/>
          <w:szCs w:val="32"/>
          <w:lang w:val="en-US"/>
        </w:rPr>
        <w:t>JAMA</w:t>
      </w:r>
      <w:r w:rsidRPr="006E0D09">
        <w:rPr>
          <w:rFonts w:eastAsiaTheme="minorHAnsi"/>
          <w:sz w:val="32"/>
          <w:szCs w:val="32"/>
          <w:lang w:val="en-US"/>
        </w:rPr>
        <w:t>.</w:t>
      </w:r>
      <w:r w:rsidRPr="006E0D09">
        <w:rPr>
          <w:rFonts w:eastAsiaTheme="minorHAnsi"/>
          <w:sz w:val="32"/>
          <w:szCs w:val="32"/>
          <w:lang w:val="en-US"/>
        </w:rPr>
        <w:t>Intern</w:t>
      </w:r>
      <w:r w:rsidRPr="006E0D09">
        <w:rPr>
          <w:rFonts w:eastAsiaTheme="minorHAnsi"/>
          <w:sz w:val="32"/>
          <w:szCs w:val="32"/>
          <w:lang w:val="en-US"/>
        </w:rPr>
        <w:t>.</w:t>
      </w:r>
      <w:r w:rsidRPr="006E0D09">
        <w:rPr>
          <w:rFonts w:eastAsiaTheme="minorHAnsi"/>
          <w:sz w:val="32"/>
          <w:szCs w:val="32"/>
          <w:lang w:val="en-US"/>
        </w:rPr>
        <w:t>Med</w:t>
      </w:r>
      <w:proofErr w:type="spellEnd"/>
      <w:r w:rsidRPr="006E0D09">
        <w:rPr>
          <w:rFonts w:eastAsiaTheme="minorHAnsi"/>
          <w:sz w:val="32"/>
          <w:szCs w:val="32"/>
          <w:lang w:val="en-US"/>
        </w:rPr>
        <w:t>.,</w:t>
      </w:r>
      <w:r w:rsidR="0094356E">
        <w:rPr>
          <w:rFonts w:eastAsiaTheme="minorHAnsi"/>
          <w:sz w:val="32"/>
          <w:szCs w:val="32"/>
          <w:lang w:val="en-US"/>
        </w:rPr>
        <w:t xml:space="preserve"> </w:t>
      </w:r>
      <w:r w:rsidRPr="006E0D09">
        <w:rPr>
          <w:rFonts w:eastAsiaTheme="minorHAnsi"/>
          <w:sz w:val="32"/>
          <w:szCs w:val="32"/>
          <w:lang w:val="en-US"/>
        </w:rPr>
        <w:t>175:1450–1458</w:t>
      </w:r>
    </w:p>
    <w:p w:rsidR="00DF5F50" w:rsidRPr="006E0D09" w:rsidRDefault="006E0D09" w:rsidP="00E961E2">
      <w:pPr>
        <w:pStyle w:val="a3"/>
        <w:numPr>
          <w:ilvl w:val="0"/>
          <w:numId w:val="8"/>
        </w:numPr>
        <w:autoSpaceDE w:val="0"/>
        <w:autoSpaceDN w:val="0"/>
        <w:adjustRightInd w:val="0"/>
        <w:spacing w:line="360" w:lineRule="auto"/>
        <w:ind w:left="0" w:firstLine="0"/>
        <w:jc w:val="both"/>
        <w:rPr>
          <w:sz w:val="32"/>
          <w:szCs w:val="32"/>
          <w:lang w:val="en-US" w:eastAsia="ru-RU"/>
        </w:rPr>
      </w:pPr>
      <w:r w:rsidRPr="006E0D09">
        <w:rPr>
          <w:rFonts w:eastAsiaTheme="minorHAnsi"/>
          <w:sz w:val="32"/>
          <w:szCs w:val="32"/>
          <w:lang w:val="en-US"/>
        </w:rPr>
        <w:lastRenderedPageBreak/>
        <w:t xml:space="preserve">Volpe M., </w:t>
      </w:r>
      <w:proofErr w:type="spellStart"/>
      <w:r w:rsidRPr="006E0D09">
        <w:rPr>
          <w:rFonts w:eastAsiaTheme="minorHAnsi"/>
          <w:sz w:val="32"/>
          <w:szCs w:val="32"/>
          <w:lang w:val="en-US"/>
        </w:rPr>
        <w:t>Battistoni</w:t>
      </w:r>
      <w:proofErr w:type="spellEnd"/>
      <w:r w:rsidRPr="006E0D09">
        <w:rPr>
          <w:rFonts w:eastAsiaTheme="minorHAnsi"/>
          <w:sz w:val="32"/>
          <w:szCs w:val="32"/>
          <w:lang w:val="en-US"/>
        </w:rPr>
        <w:t xml:space="preserve"> A., </w:t>
      </w:r>
      <w:proofErr w:type="spellStart"/>
      <w:r w:rsidRPr="006E0D09">
        <w:rPr>
          <w:rFonts w:eastAsiaTheme="minorHAnsi"/>
          <w:sz w:val="32"/>
          <w:szCs w:val="32"/>
          <w:lang w:val="en-US"/>
        </w:rPr>
        <w:t>Tocci</w:t>
      </w:r>
      <w:proofErr w:type="spellEnd"/>
      <w:r w:rsidRPr="006E0D09">
        <w:rPr>
          <w:rFonts w:eastAsiaTheme="minorHAnsi"/>
          <w:sz w:val="32"/>
          <w:szCs w:val="32"/>
          <w:lang w:val="en-US"/>
        </w:rPr>
        <w:t xml:space="preserve"> G. et al. (2012) Cardiovascular risk </w:t>
      </w:r>
      <w:r w:rsidR="00DB5891">
        <w:rPr>
          <w:rFonts w:eastAsiaTheme="minorHAnsi"/>
          <w:sz w:val="32"/>
          <w:szCs w:val="32"/>
          <w:lang w:val="en-US"/>
        </w:rPr>
        <w:t>a</w:t>
      </w:r>
      <w:r w:rsidRPr="006E0D09">
        <w:rPr>
          <w:rFonts w:eastAsiaTheme="minorHAnsi"/>
          <w:sz w:val="32"/>
          <w:szCs w:val="32"/>
          <w:lang w:val="en-US"/>
        </w:rPr>
        <w:t>ssessment beyond systemic coronary risk estimation: a role for organ damage</w:t>
      </w:r>
      <w:r w:rsidR="00DB5891">
        <w:rPr>
          <w:rFonts w:eastAsiaTheme="minorHAnsi"/>
          <w:sz w:val="32"/>
          <w:szCs w:val="32"/>
          <w:lang w:val="en-US"/>
        </w:rPr>
        <w:t xml:space="preserve"> </w:t>
      </w:r>
      <w:r w:rsidRPr="006E0D09">
        <w:rPr>
          <w:rFonts w:eastAsiaTheme="minorHAnsi"/>
          <w:sz w:val="32"/>
          <w:szCs w:val="32"/>
          <w:lang w:val="en-US"/>
        </w:rPr>
        <w:t xml:space="preserve">markers. J </w:t>
      </w:r>
      <w:proofErr w:type="spellStart"/>
      <w:proofErr w:type="gramStart"/>
      <w:r w:rsidRPr="006E0D09">
        <w:rPr>
          <w:rFonts w:eastAsiaTheme="minorHAnsi"/>
          <w:sz w:val="32"/>
          <w:szCs w:val="32"/>
          <w:lang w:val="en-US"/>
        </w:rPr>
        <w:t>Hypertens</w:t>
      </w:r>
      <w:proofErr w:type="spellEnd"/>
      <w:r w:rsidRPr="006E0D09">
        <w:rPr>
          <w:rFonts w:eastAsiaTheme="minorHAnsi"/>
          <w:sz w:val="32"/>
          <w:szCs w:val="32"/>
          <w:lang w:val="en-US"/>
        </w:rPr>
        <w:t>.,</w:t>
      </w:r>
      <w:proofErr w:type="gramEnd"/>
      <w:r w:rsidR="0094356E">
        <w:rPr>
          <w:rFonts w:eastAsiaTheme="minorHAnsi"/>
          <w:sz w:val="32"/>
          <w:szCs w:val="32"/>
          <w:lang w:val="en-US"/>
        </w:rPr>
        <w:t xml:space="preserve"> </w:t>
      </w:r>
      <w:r w:rsidRPr="006E0D09">
        <w:rPr>
          <w:rFonts w:eastAsiaTheme="minorHAnsi"/>
          <w:sz w:val="32"/>
          <w:szCs w:val="32"/>
          <w:lang w:val="en-US"/>
        </w:rPr>
        <w:t>30:</w:t>
      </w:r>
      <w:r w:rsidR="0094356E">
        <w:rPr>
          <w:rFonts w:eastAsiaTheme="minorHAnsi"/>
          <w:sz w:val="32"/>
          <w:szCs w:val="32"/>
          <w:lang w:val="en-US"/>
        </w:rPr>
        <w:t xml:space="preserve"> </w:t>
      </w:r>
      <w:r w:rsidRPr="006E0D09">
        <w:rPr>
          <w:rFonts w:eastAsiaTheme="minorHAnsi"/>
          <w:sz w:val="32"/>
          <w:szCs w:val="32"/>
          <w:lang w:val="en-US"/>
        </w:rPr>
        <w:t>1056–1064.</w:t>
      </w:r>
    </w:p>
    <w:sectPr w:rsidR="00DF5F50" w:rsidRPr="006E0D09" w:rsidSect="000721A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FreeSetLightC">
    <w:altName w:val="MS Mincho"/>
    <w:panose1 w:val="00000000000000000000"/>
    <w:charset w:val="80"/>
    <w:family w:val="auto"/>
    <w:notTrueType/>
    <w:pitch w:val="default"/>
    <w:sig w:usb0="000000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B7645"/>
    <w:multiLevelType w:val="hybridMultilevel"/>
    <w:tmpl w:val="1B7EF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467242"/>
    <w:multiLevelType w:val="hybridMultilevel"/>
    <w:tmpl w:val="66CACDC4"/>
    <w:lvl w:ilvl="0" w:tplc="02E0C60C">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2" w15:restartNumberingAfterBreak="0">
    <w:nsid w:val="393E4833"/>
    <w:multiLevelType w:val="hybridMultilevel"/>
    <w:tmpl w:val="44B8ADE0"/>
    <w:lvl w:ilvl="0" w:tplc="0F34845A">
      <w:start w:val="1"/>
      <w:numFmt w:val="decimal"/>
      <w:lvlText w:val="%1."/>
      <w:lvlJc w:val="left"/>
      <w:pPr>
        <w:tabs>
          <w:tab w:val="num" w:pos="540"/>
        </w:tabs>
        <w:ind w:left="54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EAD1569"/>
    <w:multiLevelType w:val="hybridMultilevel"/>
    <w:tmpl w:val="6554DD78"/>
    <w:lvl w:ilvl="0" w:tplc="0C020AEA">
      <w:start w:val="1"/>
      <w:numFmt w:val="bullet"/>
      <w:lvlText w:val=""/>
      <w:lvlJc w:val="left"/>
      <w:pPr>
        <w:ind w:left="502" w:hanging="360"/>
      </w:pPr>
      <w:rPr>
        <w:rFonts w:ascii="Symbol" w:hAnsi="Symbol" w:hint="default"/>
      </w:rPr>
    </w:lvl>
    <w:lvl w:ilvl="1" w:tplc="CD76C88E">
      <w:numFmt w:val="bullet"/>
      <w:lvlText w:val="•"/>
      <w:lvlJc w:val="left"/>
      <w:pPr>
        <w:ind w:left="1222" w:hanging="360"/>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51E63D3D"/>
    <w:multiLevelType w:val="hybridMultilevel"/>
    <w:tmpl w:val="264EC1FE"/>
    <w:lvl w:ilvl="0" w:tplc="0C020AEA">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15:restartNumberingAfterBreak="0">
    <w:nsid w:val="58A9188D"/>
    <w:multiLevelType w:val="hybridMultilevel"/>
    <w:tmpl w:val="4ED0F5F6"/>
    <w:lvl w:ilvl="0" w:tplc="0C020AEA">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15:restartNumberingAfterBreak="0">
    <w:nsid w:val="7769531F"/>
    <w:multiLevelType w:val="hybridMultilevel"/>
    <w:tmpl w:val="4A74B854"/>
    <w:lvl w:ilvl="0" w:tplc="0C020A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A8"/>
    <w:rsid w:val="000721A8"/>
    <w:rsid w:val="000B6050"/>
    <w:rsid w:val="000B65AE"/>
    <w:rsid w:val="000C0680"/>
    <w:rsid w:val="001805D9"/>
    <w:rsid w:val="001A691B"/>
    <w:rsid w:val="001B2908"/>
    <w:rsid w:val="002501B3"/>
    <w:rsid w:val="002611CA"/>
    <w:rsid w:val="002F4F68"/>
    <w:rsid w:val="002F5A7C"/>
    <w:rsid w:val="00347273"/>
    <w:rsid w:val="003500AC"/>
    <w:rsid w:val="0043030D"/>
    <w:rsid w:val="005551FE"/>
    <w:rsid w:val="00585DD2"/>
    <w:rsid w:val="00641D68"/>
    <w:rsid w:val="006848CF"/>
    <w:rsid w:val="006A2D69"/>
    <w:rsid w:val="006E0D09"/>
    <w:rsid w:val="0072614D"/>
    <w:rsid w:val="00776E48"/>
    <w:rsid w:val="008432F4"/>
    <w:rsid w:val="00864E13"/>
    <w:rsid w:val="008E21BC"/>
    <w:rsid w:val="008E21D0"/>
    <w:rsid w:val="0094356E"/>
    <w:rsid w:val="00962B0D"/>
    <w:rsid w:val="009F0B3B"/>
    <w:rsid w:val="00AB783D"/>
    <w:rsid w:val="00AC0B05"/>
    <w:rsid w:val="00B85738"/>
    <w:rsid w:val="00BB5B69"/>
    <w:rsid w:val="00C1238D"/>
    <w:rsid w:val="00C15186"/>
    <w:rsid w:val="00C15BB4"/>
    <w:rsid w:val="00DA048C"/>
    <w:rsid w:val="00DB5891"/>
    <w:rsid w:val="00DF5F50"/>
    <w:rsid w:val="00E961E2"/>
    <w:rsid w:val="00ED5E6D"/>
    <w:rsid w:val="00EF04BC"/>
    <w:rsid w:val="00FC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304C2D2-D78A-40B3-A15A-00665F68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1A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1A8"/>
    <w:pPr>
      <w:ind w:left="720"/>
      <w:contextualSpacing/>
    </w:pPr>
  </w:style>
  <w:style w:type="paragraph" w:customStyle="1" w:styleId="Style1">
    <w:name w:val="Style1"/>
    <w:basedOn w:val="a"/>
    <w:rsid w:val="00EF04BC"/>
    <w:pPr>
      <w:widowControl w:val="0"/>
      <w:autoSpaceDE w:val="0"/>
      <w:autoSpaceDN w:val="0"/>
      <w:adjustRightInd w:val="0"/>
      <w:spacing w:line="264" w:lineRule="exact"/>
      <w:jc w:val="both"/>
    </w:pPr>
    <w:rPr>
      <w:lang w:eastAsia="ru-RU"/>
    </w:rPr>
  </w:style>
  <w:style w:type="paragraph" w:styleId="a4">
    <w:name w:val="Balloon Text"/>
    <w:basedOn w:val="a"/>
    <w:link w:val="a5"/>
    <w:uiPriority w:val="99"/>
    <w:semiHidden/>
    <w:unhideWhenUsed/>
    <w:rsid w:val="00DF5F50"/>
    <w:rPr>
      <w:rFonts w:ascii="Segoe UI" w:hAnsi="Segoe UI" w:cs="Segoe UI"/>
      <w:sz w:val="18"/>
      <w:szCs w:val="18"/>
    </w:rPr>
  </w:style>
  <w:style w:type="character" w:customStyle="1" w:styleId="a5">
    <w:name w:val="Текст выноски Знак"/>
    <w:basedOn w:val="a0"/>
    <w:link w:val="a4"/>
    <w:uiPriority w:val="99"/>
    <w:semiHidden/>
    <w:rsid w:val="00DF5F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EDF9-C664-46BB-B196-EECC68EA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13</Pages>
  <Words>3569</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2018-11-15T08:21:00Z</cp:lastPrinted>
  <dcterms:created xsi:type="dcterms:W3CDTF">2018-10-31T11:09:00Z</dcterms:created>
  <dcterms:modified xsi:type="dcterms:W3CDTF">2018-11-15T09:52:00Z</dcterms:modified>
</cp:coreProperties>
</file>