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4D" w:rsidRDefault="00EC664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studying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tenascin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c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acute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myocardial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infarction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diabetes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mellitus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type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</w:p>
    <w:p w:rsidR="00EC664D" w:rsidRDefault="00EC664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Koteliukh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M.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Yu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C664D" w:rsidRDefault="00EC664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i/>
          <w:iCs/>
          <w:sz w:val="28"/>
          <w:szCs w:val="28"/>
        </w:rPr>
        <w:t>Kharkiv</w:t>
      </w:r>
      <w:proofErr w:type="spellEnd"/>
      <w:r w:rsidRPr="00EC66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i/>
          <w:iCs/>
          <w:sz w:val="28"/>
          <w:szCs w:val="28"/>
        </w:rPr>
        <w:t>National</w:t>
      </w:r>
      <w:proofErr w:type="spellEnd"/>
      <w:r w:rsidRPr="00EC66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i/>
          <w:iCs/>
          <w:sz w:val="28"/>
          <w:szCs w:val="28"/>
        </w:rPr>
        <w:t>Medical</w:t>
      </w:r>
      <w:proofErr w:type="spellEnd"/>
      <w:r w:rsidRPr="00EC66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i/>
          <w:iCs/>
          <w:sz w:val="28"/>
          <w:szCs w:val="28"/>
        </w:rPr>
        <w:t>University</w:t>
      </w:r>
      <w:proofErr w:type="spellEnd"/>
      <w:r w:rsidRPr="00EC66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664D">
        <w:rPr>
          <w:rFonts w:ascii="Times New Roman" w:hAnsi="Times New Roman" w:cs="Times New Roman"/>
          <w:i/>
          <w:iCs/>
          <w:sz w:val="28"/>
          <w:szCs w:val="28"/>
        </w:rPr>
        <w:t>Kharkiv</w:t>
      </w:r>
      <w:proofErr w:type="spellEnd"/>
      <w:r w:rsidRPr="00EC664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C664D">
        <w:rPr>
          <w:rFonts w:ascii="Times New Roman" w:hAnsi="Times New Roman" w:cs="Times New Roman"/>
          <w:i/>
          <w:iCs/>
          <w:sz w:val="28"/>
          <w:szCs w:val="28"/>
        </w:rPr>
        <w:t>Ukraine</w:t>
      </w:r>
      <w:proofErr w:type="spellEnd"/>
      <w:r w:rsidRPr="00EC66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C664D" w:rsidRDefault="00EC66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purpose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study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tenascin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acute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myocardial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infarction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64D" w:rsidRDefault="00EC66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Materials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methods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examined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hospitalized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Kharkov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Hospital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. 27 (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base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. 2,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Immunology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Allergology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Kharkov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divided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consisted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acute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myocardial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infarction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(AMI)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mellitus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(DM)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2;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Comparative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- 40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AMI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(20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consisted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practically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Tenascin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determined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ELISA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Tenascin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-C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(FNIII-C)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reagent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Immuno-Biological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Laboratories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. (IBL),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Takasaki-Shi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).</w:t>
      </w:r>
    </w:p>
    <w:p w:rsidR="00DA52D0" w:rsidRPr="00EC664D" w:rsidRDefault="00EC66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results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study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showed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tenascin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significantly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increased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AMI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34%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compared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(p˂0.05).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AMI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tenascinemia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amount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confidence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(p = 0.07). A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decrease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tenascin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10-14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AMI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detected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38%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compared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AMI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(p˂0.05).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tenascin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10-14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AMI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increased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71%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compared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(p˂0.05).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result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correlation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revealed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presence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tenascin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glycosylated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hemoglobin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r = -0.28; p˂0.05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glucose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r = -0.24; p˂0.05.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tenascin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10-14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glycosylated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hemoglobin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r = -0.70, p &lt;0.05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determined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64D">
        <w:rPr>
          <w:rFonts w:ascii="Times New Roman" w:hAnsi="Times New Roman" w:cs="Times New Roman"/>
          <w:b/>
          <w:bCs/>
          <w:sz w:val="28"/>
          <w:szCs w:val="28"/>
        </w:rPr>
        <w:t>Conclusions</w:t>
      </w:r>
      <w:proofErr w:type="spellEnd"/>
      <w:r w:rsidRPr="00EC664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revealed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tenascin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presence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diabetes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mellitus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extracellular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acute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myocardial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64D">
        <w:rPr>
          <w:rFonts w:ascii="Times New Roman" w:hAnsi="Times New Roman" w:cs="Times New Roman"/>
          <w:sz w:val="28"/>
          <w:szCs w:val="28"/>
        </w:rPr>
        <w:t>infarction</w:t>
      </w:r>
      <w:proofErr w:type="spellEnd"/>
      <w:r w:rsidRPr="00EC664D">
        <w:rPr>
          <w:rFonts w:ascii="Times New Roman" w:hAnsi="Times New Roman" w:cs="Times New Roman"/>
          <w:sz w:val="28"/>
          <w:szCs w:val="28"/>
        </w:rPr>
        <w:t>.</w:t>
      </w:r>
    </w:p>
    <w:sectPr w:rsidR="00DA52D0" w:rsidRPr="00EC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4D"/>
    <w:rsid w:val="00DA52D0"/>
    <w:rsid w:val="00E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A1B7"/>
  <w15:chartTrackingRefBased/>
  <w15:docId w15:val="{2B7C5DC1-8E88-4FA5-B367-7006F142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2019-05-23T08:08:00Z</dcterms:created>
  <dcterms:modified xsi:type="dcterms:W3CDTF">2019-05-23T08:11:00Z</dcterms:modified>
</cp:coreProperties>
</file>