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399" w:rsidRDefault="00F873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Алгоритм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прогнозування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розвитку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повторного q-позитивного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із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супутнім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цукровим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діабетом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2 типу</w:t>
      </w:r>
    </w:p>
    <w:p w:rsidR="00F87399" w:rsidRDefault="00F873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Мінухіна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Д. В.,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Бабаджан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В. Д. </w:t>
      </w:r>
    </w:p>
    <w:p w:rsidR="00F87399" w:rsidRDefault="00F87399">
      <w:pPr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Харьківський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  <w:r w:rsidRPr="00F873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87399" w:rsidRDefault="00F87399">
      <w:pPr>
        <w:rPr>
          <w:rFonts w:ascii="Times New Roman" w:hAnsi="Times New Roman" w:cs="Times New Roman"/>
          <w:sz w:val="28"/>
          <w:szCs w:val="28"/>
        </w:rPr>
      </w:pPr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побудова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покрокового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алгоритму 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математичної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спрогнозувати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перенесли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цукрового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діабету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2 типу. </w:t>
      </w:r>
    </w:p>
    <w:p w:rsidR="00F87399" w:rsidRDefault="00F873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Материалі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87399">
        <w:rPr>
          <w:rFonts w:ascii="Times New Roman" w:hAnsi="Times New Roman" w:cs="Times New Roman"/>
          <w:sz w:val="28"/>
          <w:szCs w:val="28"/>
        </w:rPr>
        <w:t xml:space="preserve">нами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досліджено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73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пацієнта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(ГІМ) і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супутній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цукровий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діабет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2 типу (ЦД 2 типу) (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них - 43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та 30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вік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62,73 ± 1,39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— 20 практично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здорових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(у т.ч. 10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і 10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60,85±1,37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інгібітора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активатора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плазміногена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1 типу (ІАП-1)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імуноферментним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методом з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комерційних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тест-систем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Technoclone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PAI-1 ELISA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асиметричного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діметіларгінину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(АДМА) -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Immunodiagnostik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ADMA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Xpress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ELISA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Kit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Австрія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комп'ютерна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проведена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програмного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пакету "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6,0" (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США).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визначали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непараметричного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критерію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χ2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Пірсона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7399" w:rsidRDefault="00F873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87399">
        <w:rPr>
          <w:rFonts w:ascii="Times New Roman" w:hAnsi="Times New Roman" w:cs="Times New Roman"/>
          <w:sz w:val="28"/>
          <w:szCs w:val="28"/>
        </w:rPr>
        <w:t xml:space="preserve">алгоритм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складався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 2-х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віднесено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до 1-го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2-го кластеру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класифікаційної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>: ΔF=F2-F1=холестерин+0,2інсулін-19,5 ≥ 0, де [холестерин]=ммоль/л; [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інсулін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>]=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мкМЕ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/мл.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обчислене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ΔF для конкретного хворого позитивно, то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віднесений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. З 73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 ЦД 2 типу у 44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спостерігався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(з них 41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пацієнт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належав до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складало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56,2%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). На другому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індексу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(ІПІ) за формулою, де ІПІ = 2*«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кінцевий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діастолічний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7399">
        <w:rPr>
          <w:rFonts w:ascii="Times New Roman" w:hAnsi="Times New Roman" w:cs="Times New Roman"/>
          <w:sz w:val="28"/>
          <w:szCs w:val="28"/>
        </w:rPr>
        <w:t>об'єм»+</w:t>
      </w:r>
      <w:proofErr w:type="gramEnd"/>
      <w:r w:rsidRPr="00F87399">
        <w:rPr>
          <w:rFonts w:ascii="Times New Roman" w:hAnsi="Times New Roman" w:cs="Times New Roman"/>
          <w:sz w:val="28"/>
          <w:szCs w:val="28"/>
        </w:rPr>
        <w:t xml:space="preserve">«АДМА»+«ІАП-1»+«СМ-КФК»,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 41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повторний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точність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методу, становила 84,1%. </w:t>
      </w:r>
    </w:p>
    <w:p w:rsidR="00CA1103" w:rsidRPr="00F87399" w:rsidRDefault="00F873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87399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F87399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87399">
        <w:rPr>
          <w:rFonts w:ascii="Times New Roman" w:hAnsi="Times New Roman" w:cs="Times New Roman"/>
          <w:sz w:val="28"/>
          <w:szCs w:val="28"/>
        </w:rPr>
        <w:t xml:space="preserve">модель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повторного Q-позитивного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інфаркту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ІАП-1 та АДМА, 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цукровим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діабетом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2 типу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високу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(84,1%) та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специфічність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r w:rsidRPr="00F87399">
        <w:rPr>
          <w:rFonts w:ascii="Times New Roman" w:hAnsi="Times New Roman" w:cs="Times New Roman"/>
          <w:sz w:val="28"/>
          <w:szCs w:val="28"/>
        </w:rPr>
        <w:lastRenderedPageBreak/>
        <w:t xml:space="preserve">(93,1%) при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загальній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точності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87,7%,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сучасній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клінічній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99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F87399">
        <w:rPr>
          <w:rFonts w:ascii="Times New Roman" w:hAnsi="Times New Roman" w:cs="Times New Roman"/>
          <w:sz w:val="28"/>
          <w:szCs w:val="28"/>
        </w:rPr>
        <w:t>.</w:t>
      </w:r>
    </w:p>
    <w:sectPr w:rsidR="00CA1103" w:rsidRPr="00F8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99"/>
    <w:rsid w:val="00CA1103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2255"/>
  <w15:chartTrackingRefBased/>
  <w15:docId w15:val="{BAC94A69-5062-461E-B0C7-B128ADE4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2019-05-22T08:00:00Z</dcterms:created>
  <dcterms:modified xsi:type="dcterms:W3CDTF">2019-05-22T08:02:00Z</dcterms:modified>
</cp:coreProperties>
</file>