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F8" w:rsidRDefault="00596BF8" w:rsidP="00596BF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сортилінемії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кардіогемодинаміки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коморбідній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патології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ішемічної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хвороби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серця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цукрового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діабету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2 типу </w:t>
      </w:r>
    </w:p>
    <w:p w:rsidR="00596BF8" w:rsidRDefault="00596BF8" w:rsidP="00596BF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Сипало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А. О.,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Паштіані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Р. В. </w:t>
      </w:r>
    </w:p>
    <w:bookmarkEnd w:id="0"/>
    <w:p w:rsidR="00596BF8" w:rsidRDefault="00596BF8" w:rsidP="00596BF8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6BF8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596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96BF8" w:rsidRDefault="00596BF8" w:rsidP="00596B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6BF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кардіогемодинаміки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коморбідній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2 типу.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96BF8">
        <w:rPr>
          <w:rFonts w:ascii="Times New Roman" w:hAnsi="Times New Roman" w:cs="Times New Roman"/>
          <w:sz w:val="28"/>
          <w:szCs w:val="28"/>
        </w:rPr>
        <w:t xml:space="preserve">комплексно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(ІХС) та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(ЦД) 2 типу.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ІХС та ЦД 2 типу,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кардіогемодинаміки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проводилось шляхом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: так до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підгрупи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ІХС 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ЦД 2 типу 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228,56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/мл (n=38), до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– 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228,56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/мл (n=37).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проведено ЕХО-КГ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за стандартною методикою (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Х.Фейгенбаум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1999) на ультразвуковому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RADMIR (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Ultima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PRO 30) (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>). У М–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ЛШ: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(КДР) (см),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(КСР) (см),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(ТЗСЛШ) (см),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міжшлуночкової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перетинки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(ТМШП) (см).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(КДО) і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систолічний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(КСО) (мл) ЛШ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розраховували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за методом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Simpson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(1991),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обчислювали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фракцію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(ФВ) ЛШ (%).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Масу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ЛШ (ММЛШ)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обчислювали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за формулою R.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Devereux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співавт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.: 1,04х[(ТМШП+ТЗСЛШ+КДР)3] – </w:t>
      </w:r>
      <w:r w:rsidRPr="00596BF8">
        <w:rPr>
          <w:rFonts w:ascii="Times New Roman" w:hAnsi="Times New Roman" w:cs="Times New Roman"/>
          <w:sz w:val="28"/>
          <w:szCs w:val="28"/>
        </w:rPr>
        <w:lastRenderedPageBreak/>
        <w:t xml:space="preserve">[КДР]3 – 13,6.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ЛП (см) та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аорти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(см). </w:t>
      </w:r>
    </w:p>
    <w:p w:rsidR="00596BF8" w:rsidRDefault="00596BF8" w:rsidP="00596BF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кардіогемодинаміки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показало,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достовірних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відмін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(р&gt;0,05):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сортилінемії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систолічного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діастолічного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серцевих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пульсу, КДО, КСО, КСР, КДР, ТЗСЛШ та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аорти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. Лише за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за ФВ та ТМШП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ІХС та ЦД 2 типу 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перевищувала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2,7%, та 2,2 %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(р&lt;0,05). </w:t>
      </w:r>
    </w:p>
    <w:p w:rsidR="00596BF8" w:rsidRPr="00596BF8" w:rsidRDefault="00596BF8" w:rsidP="00596BF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96BF8">
        <w:rPr>
          <w:rFonts w:ascii="Times New Roman" w:hAnsi="Times New Roman" w:cs="Times New Roman"/>
          <w:b/>
          <w:bCs/>
          <w:sz w:val="28"/>
          <w:szCs w:val="28"/>
        </w:rPr>
        <w:t>Висновок</w:t>
      </w:r>
      <w:proofErr w:type="spellEnd"/>
      <w:r w:rsidRPr="00596B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сортиліну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структурне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шлуночка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коморбідній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BF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596BF8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DA52D0" w:rsidRPr="00596BF8" w:rsidRDefault="00DA52D0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DA52D0" w:rsidRPr="00596BF8" w:rsidSect="00C0595F">
      <w:pgSz w:w="8730" w:h="12745"/>
      <w:pgMar w:top="1463" w:right="704" w:bottom="62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8"/>
    <w:rsid w:val="00596BF8"/>
    <w:rsid w:val="00D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72FD"/>
  <w15:chartTrackingRefBased/>
  <w15:docId w15:val="{6048E779-574B-4FF9-9101-E4BD5003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BF8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2019-05-23T07:28:00Z</dcterms:created>
  <dcterms:modified xsi:type="dcterms:W3CDTF">2019-05-23T07:35:00Z</dcterms:modified>
</cp:coreProperties>
</file>