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>VІ Міжнародної науково-практичної конференції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ХНМУ</w:t>
      </w:r>
    </w:p>
    <w:p w:rsidR="003E5406" w:rsidRPr="003E5406" w:rsidRDefault="003E5406" w:rsidP="003E540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2019</w:t>
      </w:r>
    </w:p>
    <w:p w:rsidR="003E5406" w:rsidRPr="003E5406" w:rsidRDefault="003E5406" w:rsidP="003E540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br w:type="page"/>
      </w:r>
      <w:r w:rsidRPr="003E5406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3E5406" w:rsidRPr="003E5406" w:rsidRDefault="003E5406" w:rsidP="003E540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3E5406" w:rsidRPr="003E5406" w:rsidRDefault="003E5406" w:rsidP="003E540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3E5406" w:rsidRPr="003E5406" w:rsidRDefault="003E5406" w:rsidP="003E540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E5406"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06" w:rsidRPr="003E5406" w:rsidRDefault="003E5406" w:rsidP="003E5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406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E5406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E5406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E540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3E5406">
        <w:rPr>
          <w:rFonts w:ascii="Times New Roman" w:hAnsi="Times New Roman"/>
          <w:sz w:val="28"/>
          <w:szCs w:val="28"/>
          <w:lang w:val="uk-UA"/>
        </w:rPr>
        <w:t>матеріали VІ Міжнародної науково-практичної конференції (Харків, 18-19 квітня 2019 року). – Харків: ХНМУ, 2019. – 256 с.</w:t>
      </w:r>
    </w:p>
    <w:p w:rsidR="003E5406" w:rsidRPr="003E5406" w:rsidRDefault="003E5406" w:rsidP="003E540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lang w:val="uk-UA"/>
        </w:rPr>
      </w:pPr>
      <w:r w:rsidRPr="003E5406">
        <w:rPr>
          <w:rFonts w:ascii="Times New Roman" w:hAnsi="Times New Roman"/>
          <w:lang w:val="uk-UA"/>
        </w:rPr>
        <w:br w:type="page"/>
      </w:r>
    </w:p>
    <w:p w:rsidR="003E5406" w:rsidRPr="003E5406" w:rsidRDefault="003E5406" w:rsidP="003E5406">
      <w:pPr>
        <w:spacing w:after="0" w:line="240" w:lineRule="auto"/>
        <w:ind w:firstLine="709"/>
        <w:jc w:val="right"/>
        <w:rPr>
          <w:rFonts w:ascii="Times New Roman" w:eastAsia="TimesNewRoman,Italic" w:hAnsi="Times New Roman"/>
          <w:i/>
          <w:sz w:val="28"/>
          <w:szCs w:val="28"/>
          <w:lang w:val="uk-UA"/>
        </w:rPr>
      </w:pPr>
      <w:r w:rsidRPr="003E5406">
        <w:rPr>
          <w:rFonts w:ascii="Times New Roman" w:eastAsia="TimesNewRoman,Italic" w:hAnsi="Times New Roman"/>
          <w:i/>
          <w:sz w:val="28"/>
          <w:szCs w:val="28"/>
          <w:lang w:val="uk-UA"/>
        </w:rPr>
        <w:lastRenderedPageBreak/>
        <w:t>Сущенко Е. В.</w:t>
      </w:r>
    </w:p>
    <w:p w:rsidR="003E5406" w:rsidRPr="003E5406" w:rsidRDefault="003E5406" w:rsidP="003E5406">
      <w:pPr>
        <w:spacing w:after="0" w:line="24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  <w:lang w:val="uk-UA"/>
        </w:rPr>
      </w:pPr>
      <w:r w:rsidRPr="003E5406">
        <w:rPr>
          <w:rFonts w:ascii="Times New Roman" w:eastAsia="TimesNewRoman,Italic" w:hAnsi="Times New Roman"/>
          <w:b/>
          <w:sz w:val="28"/>
          <w:szCs w:val="28"/>
          <w:lang w:val="uk-UA"/>
        </w:rPr>
        <w:t>СУЧАСНА УКРАЇНСЬКА МОВА ЯК ВІДОБРАЖЕННЯ АКТУАЛЬНОСТІ ГЕНДЕРНОГО ПИТАННЯ</w:t>
      </w:r>
    </w:p>
    <w:p w:rsidR="004C2F06" w:rsidRDefault="004C2F06" w:rsidP="004C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</w:p>
    <w:p w:rsidR="004C2F06" w:rsidRDefault="004C2F06" w:rsidP="004C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2F06" w:rsidRDefault="004C2F06" w:rsidP="004C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693717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693717"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 w:rsidR="00693717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Фоміна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</w:t>
      </w:r>
    </w:p>
    <w:p w:rsidR="003E5406" w:rsidRPr="004C2F06" w:rsidRDefault="003E5406" w:rsidP="003E5406">
      <w:pPr>
        <w:spacing w:after="0" w:line="24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</w:rPr>
      </w:pP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3E5406">
        <w:rPr>
          <w:rFonts w:ascii="Times New Roman" w:eastAsia="TimesNewRoman" w:hAnsi="Times New Roman"/>
          <w:sz w:val="28"/>
          <w:szCs w:val="28"/>
          <w:lang w:val="uk-UA"/>
        </w:rPr>
        <w:t>Розвиток і становище мови значною мірою залежать від процесів, що протікають у суспільстві. У мові відображається розшарування суспільства за класовою, майновою і професійною ознаками. Це позначається на використанні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мови, функціонуванні професійної термінології, діалектів, жаргонів, арго тощо.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В українській мові існують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мовні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засоби, які сприяють «розчиненню» жінки.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«Загальний» чоловічий рід виявляється не тільки в іменниках назвах осіб, а й у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цілій низці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мовних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елементів. Спостерігається явище, коли загальний чоловічий рід застосовується для позначення і жінок, і чоловіків, коли за початкову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точку в мові приймається чоловік, це називають андроцентризмом (від грецької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andros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– чоловік). І саме це властиве українському суспільству. У випадках, коли хочуть наголосити, що це жінка, уживають: жінка-поліцейський, жінка-політолог. Щодо історії появи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фемінітивів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>: на початку ХХ століття, економічні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та політичні процеси в суспільстві сприяли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опановуванню нових професій жін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ками, тому кількість жіночих найменувань закономірно зросла. На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 хвилях укра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їнізації й експансії жінками багатьох галузей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промисловості та науки фемінізо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вані назви потрапляють до словників. Наприклад, чималу їх кількість можна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зустріти в Російсько-українському словнику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А. Кримського: мулярка, делегат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ка, інструкторка, виборниця, законодавиця,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заступниця, виконавиця. Реформо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вані іменники рясніють у Словнику української мови авторства професора Д.</w:t>
      </w:r>
      <w:r w:rsidR="00F21752">
        <w:rPr>
          <w:rFonts w:ascii="Times New Roman" w:eastAsia="TimesNewRoman" w:hAnsi="Times New Roman"/>
          <w:sz w:val="28"/>
          <w:szCs w:val="28"/>
          <w:lang w:val="en-US"/>
        </w:rPr>
        <w:t> 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Яворницького: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єретниця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євангелитка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>, злочинн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иця</w:t>
      </w:r>
      <w:r w:rsidR="00F21752" w:rsidRPr="00B57FF3">
        <w:rPr>
          <w:rFonts w:ascii="Times New Roman" w:eastAsia="TimesNewRoman" w:hAnsi="Times New Roman"/>
          <w:sz w:val="28"/>
          <w:szCs w:val="28"/>
        </w:rPr>
        <w:t xml:space="preserve">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та ін. У сучасному україно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мовному суспільстві часто можна почути так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у думку, начебто більшість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фемі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нітивів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не є властивими для української мови. Але сама структура мови дає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нам можливість утворювати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фемінітиви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за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lastRenderedPageBreak/>
        <w:t>допомогою суфіксального способу: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найпоширенішими та ефективними суфіксами в українській мові є -К-, -ИЦ-,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-ИН-.</w:t>
      </w: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•суфікс – К-, саме за його допомогою утворюється більшість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фемінітивів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>: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депутатка, лікарка, скульпторка, журналістка, діячка, мулярка і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т.д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>.</w:t>
      </w: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•суфікс –ИЦ- додається до основи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маскулі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нної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 форми на –(н)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ик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>, -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ець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>: від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мінниця, спадкоємиця, виконавиця, засновниця, переможниця;</w:t>
      </w:r>
    </w:p>
    <w:p w:rsidR="003E5406" w:rsidRPr="00F21752" w:rsidRDefault="003E5406" w:rsidP="003E5406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E5406">
        <w:rPr>
          <w:rFonts w:ascii="Times New Roman" w:eastAsia="TimesNewRoman" w:hAnsi="Times New Roman"/>
          <w:sz w:val="28"/>
          <w:szCs w:val="28"/>
          <w:lang w:val="uk-UA"/>
        </w:rPr>
        <w:t>•суфікса –ИН- додається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і до основ на –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ець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: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виборчиня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мисткиня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фахів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чиня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>, і до основ на пригол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осний: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шефиня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мовчиня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,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членкиня</w:t>
      </w:r>
      <w:proofErr w:type="spellEnd"/>
      <w:r w:rsidR="00F21752" w:rsidRPr="00F21752">
        <w:rPr>
          <w:rFonts w:ascii="Times New Roman" w:eastAsia="TimesNewRoman" w:hAnsi="Times New Roman"/>
          <w:sz w:val="28"/>
          <w:szCs w:val="28"/>
        </w:rPr>
        <w:t>.</w:t>
      </w: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3E5406">
        <w:rPr>
          <w:rFonts w:ascii="Times New Roman" w:eastAsia="TimesNewRoman" w:hAnsi="Times New Roman"/>
          <w:sz w:val="28"/>
          <w:szCs w:val="28"/>
          <w:lang w:val="uk-UA"/>
        </w:rPr>
        <w:t>Процесом словотвору та фемінізації займається гендерна лінгв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істика (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лінг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вогендерологія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) – розділ лінгвістики, що вивчає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мовний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аспект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гендеру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як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явища. Цей напрямок лінгвістики має значні перспективи розвитку. Як наслідок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розвитку гендерної лінгвістики ми отримаємо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гендерно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чутливу мову 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–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мову,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позбавлену андроцентризму,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сексизмів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і будь-яких інших дискримінаційних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форм.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Мовні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норми описують форму напрямк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у мислення нації, тобто зневажа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ти важливістю лінгвістичної реформації не варто. Гарним прикладом вдалого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гендерного реформування мови може слугувати процес фемінізації німецької.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Впровадження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гендерно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толерантної мови в у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сі сфери життя відбулося з одно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часним урегулюванням інших сфер життя за принципом ґендерної рівності.</w:t>
      </w:r>
    </w:p>
    <w:p w:rsidR="003E5406" w:rsidRPr="003E5406" w:rsidRDefault="003E5406" w:rsidP="003E5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Фемінітиви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– це не данина моді. Свідоме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 xml:space="preserve"> застосування </w:t>
      </w:r>
      <w:proofErr w:type="spellStart"/>
      <w:r w:rsidR="00F21752">
        <w:rPr>
          <w:rFonts w:ascii="Times New Roman" w:eastAsia="TimesNewRoman" w:hAnsi="Times New Roman"/>
          <w:sz w:val="28"/>
          <w:szCs w:val="28"/>
          <w:lang w:val="uk-UA"/>
        </w:rPr>
        <w:t>фемінітивів</w:t>
      </w:r>
      <w:proofErr w:type="spellEnd"/>
      <w:r w:rsidR="00F21752">
        <w:rPr>
          <w:rFonts w:ascii="Times New Roman" w:eastAsia="TimesNewRoman" w:hAnsi="Times New Roman"/>
          <w:sz w:val="28"/>
          <w:szCs w:val="28"/>
          <w:lang w:val="uk-UA"/>
        </w:rPr>
        <w:t>, гово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рить нам про те, що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мовчиня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чи мовець толерантні до проблем гендерної рівності і визнають взагалі їх існування. Тенденції, які можна спостерігати в сучасній</w:t>
      </w:r>
      <w:r w:rsidR="00F21752" w:rsidRPr="00F21752">
        <w:rPr>
          <w:rFonts w:ascii="Times New Roman" w:eastAsia="TimesNewRoman" w:hAnsi="Times New Roman"/>
          <w:sz w:val="28"/>
          <w:szCs w:val="28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українській мові, невблаганно свідчать про зміни. Насамперед, тенденцію до</w:t>
      </w:r>
      <w:r w:rsidR="00F21752" w:rsidRPr="00F21752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збільшення </w:t>
      </w:r>
      <w:proofErr w:type="spellStart"/>
      <w:r w:rsidRPr="003E5406">
        <w:rPr>
          <w:rFonts w:ascii="Times New Roman" w:eastAsia="TimesNewRoman" w:hAnsi="Times New Roman"/>
          <w:sz w:val="28"/>
          <w:szCs w:val="28"/>
          <w:lang w:val="uk-UA"/>
        </w:rPr>
        <w:t>фемінних</w:t>
      </w:r>
      <w:proofErr w:type="spellEnd"/>
      <w:r w:rsidRPr="003E5406">
        <w:rPr>
          <w:rFonts w:ascii="Times New Roman" w:eastAsia="TimesNewRoman" w:hAnsi="Times New Roman"/>
          <w:sz w:val="28"/>
          <w:szCs w:val="28"/>
          <w:lang w:val="uk-UA"/>
        </w:rPr>
        <w:t xml:space="preserve"> найменувань засвідчує р</w:t>
      </w:r>
      <w:r w:rsidR="00F21752">
        <w:rPr>
          <w:rFonts w:ascii="Times New Roman" w:eastAsia="TimesNewRoman" w:hAnsi="Times New Roman"/>
          <w:sz w:val="28"/>
          <w:szCs w:val="28"/>
          <w:lang w:val="uk-UA"/>
        </w:rPr>
        <w:t>иторика українських засобів ма</w:t>
      </w:r>
      <w:r w:rsidRPr="003E5406">
        <w:rPr>
          <w:rFonts w:ascii="Times New Roman" w:eastAsia="TimesNewRoman" w:hAnsi="Times New Roman"/>
          <w:sz w:val="28"/>
          <w:szCs w:val="28"/>
          <w:lang w:val="uk-UA"/>
        </w:rPr>
        <w:t>сової інформації, художньої і наукової літератури, а також озвучених українською мовою фільмів.</w:t>
      </w:r>
    </w:p>
    <w:p w:rsidR="003E5406" w:rsidRPr="003E5406" w:rsidRDefault="003E5406" w:rsidP="003E540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r w:rsidRPr="003E5406">
        <w:rPr>
          <w:rFonts w:ascii="Times New Roman" w:hAnsi="Times New Roman"/>
          <w:lang w:val="uk-UA"/>
        </w:rPr>
        <w:br w:type="page"/>
      </w:r>
      <w:bookmarkStart w:id="0" w:name="_GoBack"/>
      <w:bookmarkEnd w:id="0"/>
    </w:p>
    <w:p w:rsidR="003E5406" w:rsidRPr="003E5406" w:rsidRDefault="003E5406" w:rsidP="003E540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5406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368"/>
        <w:gridCol w:w="1988"/>
      </w:tblGrid>
      <w:tr w:rsidR="003E5406" w:rsidRPr="003E5406" w:rsidTr="00915A33">
        <w:tc>
          <w:tcPr>
            <w:tcW w:w="7368" w:type="dxa"/>
          </w:tcPr>
          <w:p w:rsidR="003E5406" w:rsidRPr="003E5406" w:rsidRDefault="003E5406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406"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988" w:type="dxa"/>
          </w:tcPr>
          <w:p w:rsidR="003E5406" w:rsidRPr="003E5406" w:rsidRDefault="003E5406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5406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3E54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E5406" w:rsidRPr="003E5406" w:rsidTr="00915A33">
        <w:trPr>
          <w:trHeight w:val="1067"/>
        </w:trPr>
        <w:tc>
          <w:tcPr>
            <w:tcW w:w="7368" w:type="dxa"/>
          </w:tcPr>
          <w:p w:rsidR="003E5406" w:rsidRPr="003E5406" w:rsidRDefault="003E5406" w:rsidP="00915A33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i/>
                <w:iCs/>
                <w:sz w:val="28"/>
                <w:szCs w:val="28"/>
                <w:lang w:val="uk-UA"/>
              </w:rPr>
            </w:pPr>
            <w:r w:rsidRPr="003E5406">
              <w:rPr>
                <w:rFonts w:ascii="Times New Roman" w:eastAsia="TimesNewRoman,Italic" w:hAnsi="Times New Roman"/>
                <w:i/>
                <w:iCs/>
                <w:sz w:val="28"/>
                <w:szCs w:val="28"/>
                <w:lang w:val="uk-UA"/>
              </w:rPr>
              <w:t>Сущенко Е. В.</w:t>
            </w:r>
          </w:p>
          <w:p w:rsidR="003E5406" w:rsidRPr="003E5406" w:rsidRDefault="003E5406" w:rsidP="003E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Italic" w:hAnsi="Times New Roman"/>
                <w:b/>
                <w:sz w:val="28"/>
                <w:szCs w:val="28"/>
                <w:lang w:val="uk-UA"/>
              </w:rPr>
            </w:pPr>
            <w:r w:rsidRPr="003E5406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СУЧАСНА УКРАЇНСЬКА МОВА ЯК ВІДОБРАЖЕННЯ АКТУАЛЬНОСТІ ГЕНДЕРНОГО ПИТАННЯ</w:t>
            </w:r>
          </w:p>
        </w:tc>
        <w:tc>
          <w:tcPr>
            <w:tcW w:w="1988" w:type="dxa"/>
          </w:tcPr>
          <w:p w:rsidR="003E5406" w:rsidRPr="003E5406" w:rsidRDefault="003E5406" w:rsidP="003E5406">
            <w:pPr>
              <w:tabs>
                <w:tab w:val="left" w:pos="1134"/>
              </w:tabs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406">
              <w:rPr>
                <w:rFonts w:ascii="Times New Roman" w:hAnsi="Times New Roman"/>
                <w:sz w:val="28"/>
                <w:szCs w:val="28"/>
                <w:lang w:val="uk-UA"/>
              </w:rPr>
              <w:t>231-232</w:t>
            </w:r>
          </w:p>
        </w:tc>
      </w:tr>
    </w:tbl>
    <w:p w:rsidR="003E5406" w:rsidRPr="003E5406" w:rsidRDefault="003E5406" w:rsidP="003E5406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0F0D" w:rsidRPr="003E5406" w:rsidRDefault="00B57FF3" w:rsidP="003E5406">
      <w:pPr>
        <w:rPr>
          <w:lang w:val="uk-UA"/>
        </w:rPr>
      </w:pPr>
    </w:p>
    <w:p w:rsidR="003E5406" w:rsidRPr="003E5406" w:rsidRDefault="003E5406">
      <w:pPr>
        <w:rPr>
          <w:lang w:val="uk-UA"/>
        </w:rPr>
      </w:pPr>
    </w:p>
    <w:sectPr w:rsidR="003E5406" w:rsidRPr="003E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7"/>
    <w:rsid w:val="00257C3E"/>
    <w:rsid w:val="002D2F2C"/>
    <w:rsid w:val="003D522C"/>
    <w:rsid w:val="003E5406"/>
    <w:rsid w:val="004C2F06"/>
    <w:rsid w:val="00693717"/>
    <w:rsid w:val="00AD285A"/>
    <w:rsid w:val="00B57FF3"/>
    <w:rsid w:val="00E521F7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6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406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6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406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2019-05-23T08:54:00Z</dcterms:created>
  <dcterms:modified xsi:type="dcterms:W3CDTF">2019-05-24T08:13:00Z</dcterms:modified>
</cp:coreProperties>
</file>