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Міністерство освіти і науки України</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Харківський національний університет імені В. Н. Каразіна</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 xml:space="preserve">Комунальний заклад «Харківська </w:t>
      </w:r>
      <w:proofErr w:type="spellStart"/>
      <w:r>
        <w:rPr>
          <w:rFonts w:ascii="Times New Roman" w:hAnsi="Times New Roman"/>
          <w:sz w:val="28"/>
          <w:szCs w:val="28"/>
        </w:rPr>
        <w:t>гуманітарно</w:t>
      </w:r>
      <w:proofErr w:type="spellEnd"/>
      <w:r>
        <w:rPr>
          <w:rFonts w:ascii="Times New Roman" w:hAnsi="Times New Roman"/>
          <w:sz w:val="28"/>
          <w:szCs w:val="28"/>
        </w:rPr>
        <w:t>-педагогічна академія»</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Харківської області</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Державний вищий навчальний заклад «Донбаський державний педагогічний університет»</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Литовський університет медичних наук</w:t>
      </w:r>
    </w:p>
    <w:p w:rsidR="002570F7" w:rsidRDefault="002570F7" w:rsidP="002570F7">
      <w:pPr>
        <w:spacing w:after="0" w:line="360" w:lineRule="auto"/>
        <w:jc w:val="center"/>
        <w:rPr>
          <w:rFonts w:ascii="Times New Roman" w:hAnsi="Times New Roman"/>
          <w:sz w:val="28"/>
          <w:szCs w:val="28"/>
        </w:rPr>
      </w:pPr>
      <w:proofErr w:type="spellStart"/>
      <w:r>
        <w:rPr>
          <w:rFonts w:ascii="Times New Roman" w:hAnsi="Times New Roman"/>
          <w:sz w:val="28"/>
          <w:szCs w:val="28"/>
        </w:rPr>
        <w:t>Чжецзянський</w:t>
      </w:r>
      <w:proofErr w:type="spellEnd"/>
      <w:r>
        <w:rPr>
          <w:rFonts w:ascii="Times New Roman" w:hAnsi="Times New Roman"/>
          <w:sz w:val="28"/>
          <w:szCs w:val="28"/>
        </w:rPr>
        <w:t xml:space="preserve"> педагогічний університет</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Університет Нінбо</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Університет Алеппо</w:t>
      </w: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Pr="00DF753D" w:rsidRDefault="002570F7" w:rsidP="002570F7">
      <w:pPr>
        <w:spacing w:after="0" w:line="360" w:lineRule="auto"/>
        <w:jc w:val="center"/>
        <w:rPr>
          <w:rFonts w:ascii="Times New Roman" w:hAnsi="Times New Roman"/>
          <w:b/>
          <w:caps/>
          <w:sz w:val="28"/>
          <w:szCs w:val="28"/>
        </w:rPr>
      </w:pPr>
      <w:r w:rsidRPr="00DF753D">
        <w:rPr>
          <w:rFonts w:ascii="Times New Roman" w:hAnsi="Times New Roman"/>
          <w:b/>
          <w:caps/>
          <w:sz w:val="28"/>
          <w:szCs w:val="28"/>
        </w:rPr>
        <w:t>Проблеми та шляхи реалізації</w:t>
      </w:r>
    </w:p>
    <w:p w:rsidR="002570F7" w:rsidRPr="00DF753D" w:rsidRDefault="002570F7" w:rsidP="002570F7">
      <w:pPr>
        <w:spacing w:after="0" w:line="360" w:lineRule="auto"/>
        <w:jc w:val="center"/>
        <w:rPr>
          <w:rFonts w:ascii="Times New Roman" w:hAnsi="Times New Roman"/>
          <w:b/>
          <w:caps/>
          <w:sz w:val="28"/>
          <w:szCs w:val="28"/>
        </w:rPr>
      </w:pPr>
      <w:r w:rsidRPr="00DF753D">
        <w:rPr>
          <w:rFonts w:ascii="Times New Roman" w:hAnsi="Times New Roman"/>
          <w:b/>
          <w:caps/>
          <w:sz w:val="28"/>
          <w:szCs w:val="28"/>
        </w:rPr>
        <w:t>компетентнісного підходу в сучасній освіті</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Матеріали</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Міжнародної науково-методичної конференції</w:t>
      </w:r>
    </w:p>
    <w:p w:rsidR="002570F7"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(11-12 квітня 2019 р.)</w:t>
      </w: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Default="002570F7" w:rsidP="002570F7">
      <w:pPr>
        <w:spacing w:after="0" w:line="360" w:lineRule="auto"/>
        <w:jc w:val="center"/>
        <w:rPr>
          <w:rFonts w:ascii="Times New Roman" w:hAnsi="Times New Roman"/>
          <w:sz w:val="28"/>
          <w:szCs w:val="28"/>
        </w:rPr>
      </w:pPr>
    </w:p>
    <w:p w:rsidR="002570F7" w:rsidRPr="00DF753D"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Харків</w:t>
      </w:r>
    </w:p>
    <w:p w:rsidR="002570F7" w:rsidRPr="00DF753D" w:rsidRDefault="002570F7" w:rsidP="002570F7">
      <w:pPr>
        <w:spacing w:after="0" w:line="360" w:lineRule="auto"/>
        <w:jc w:val="center"/>
        <w:rPr>
          <w:rFonts w:ascii="Times New Roman" w:hAnsi="Times New Roman"/>
          <w:sz w:val="28"/>
          <w:szCs w:val="28"/>
        </w:rPr>
      </w:pPr>
      <w:r>
        <w:rPr>
          <w:rFonts w:ascii="Times New Roman" w:hAnsi="Times New Roman"/>
          <w:sz w:val="28"/>
          <w:szCs w:val="28"/>
        </w:rPr>
        <w:t>2019</w:t>
      </w:r>
    </w:p>
    <w:p w:rsidR="002570F7" w:rsidRDefault="002570F7" w:rsidP="002570F7">
      <w:pPr>
        <w:rPr>
          <w:rFonts w:ascii="Times New Roman" w:hAnsi="Times New Roman"/>
          <w:b/>
          <w:sz w:val="28"/>
          <w:szCs w:val="28"/>
        </w:rPr>
      </w:pPr>
      <w:r>
        <w:rPr>
          <w:rFonts w:ascii="Times New Roman" w:hAnsi="Times New Roman"/>
          <w:b/>
          <w:sz w:val="28"/>
          <w:szCs w:val="28"/>
        </w:rPr>
        <w:br w:type="page"/>
      </w:r>
    </w:p>
    <w:p w:rsidR="002570F7" w:rsidRDefault="002570F7" w:rsidP="002570F7">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УДК 37.013:005.336.2(063)</w:t>
      </w:r>
    </w:p>
    <w:p w:rsidR="002570F7" w:rsidRDefault="002570F7" w:rsidP="002570F7">
      <w:pPr>
        <w:spacing w:after="0" w:line="360" w:lineRule="auto"/>
        <w:ind w:firstLine="709"/>
        <w:jc w:val="both"/>
        <w:rPr>
          <w:rFonts w:ascii="Times New Roman" w:hAnsi="Times New Roman"/>
          <w:b/>
          <w:sz w:val="28"/>
          <w:szCs w:val="28"/>
        </w:rPr>
      </w:pPr>
      <w:r>
        <w:rPr>
          <w:rFonts w:ascii="Times New Roman" w:hAnsi="Times New Roman"/>
          <w:b/>
          <w:sz w:val="28"/>
          <w:szCs w:val="28"/>
        </w:rPr>
        <w:t>П 78</w:t>
      </w: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r>
        <w:rPr>
          <w:rFonts w:ascii="Times New Roman" w:hAnsi="Times New Roman"/>
          <w:sz w:val="28"/>
          <w:szCs w:val="28"/>
        </w:rPr>
        <w:t>Затверджено до друку рішенням Вченої ради Харківського національного університету імені В. Н. Каразіна (Протокол № 4 від 25 березня 2019 р.)</w:t>
      </w: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Конференція зареєстрована в </w:t>
      </w:r>
      <w:proofErr w:type="spellStart"/>
      <w:r>
        <w:rPr>
          <w:rFonts w:ascii="Times New Roman" w:hAnsi="Times New Roman"/>
          <w:sz w:val="28"/>
          <w:szCs w:val="28"/>
        </w:rPr>
        <w:t>УкрІНТЕІ</w:t>
      </w:r>
      <w:proofErr w:type="spellEnd"/>
      <w:r>
        <w:rPr>
          <w:rFonts w:ascii="Times New Roman" w:hAnsi="Times New Roman"/>
          <w:sz w:val="28"/>
          <w:szCs w:val="28"/>
        </w:rPr>
        <w:t xml:space="preserve"> МОН України (Посвідчення № 636 від 18 грудня 2018 р.)</w:t>
      </w: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3250F6">
      <w:pPr>
        <w:spacing w:after="0" w:line="360" w:lineRule="auto"/>
        <w:jc w:val="both"/>
        <w:rPr>
          <w:rFonts w:ascii="Times New Roman" w:hAnsi="Times New Roman"/>
          <w:sz w:val="28"/>
          <w:szCs w:val="28"/>
        </w:rPr>
      </w:pPr>
      <w:bookmarkStart w:id="0" w:name="_GoBack"/>
      <w:bookmarkEnd w:id="0"/>
      <w:r w:rsidRPr="00914056">
        <w:rPr>
          <w:rFonts w:ascii="Times New Roman" w:hAnsi="Times New Roman"/>
          <w:sz w:val="28"/>
          <w:szCs w:val="28"/>
        </w:rPr>
        <w:t xml:space="preserve">Проблеми та шляхи реалізації </w:t>
      </w:r>
      <w:proofErr w:type="spellStart"/>
      <w:r w:rsidRPr="00914056">
        <w:rPr>
          <w:rFonts w:ascii="Times New Roman" w:hAnsi="Times New Roman"/>
          <w:sz w:val="28"/>
          <w:szCs w:val="28"/>
        </w:rPr>
        <w:t>компетентнісного</w:t>
      </w:r>
      <w:proofErr w:type="spellEnd"/>
      <w:r w:rsidRPr="00914056">
        <w:rPr>
          <w:rFonts w:ascii="Times New Roman" w:hAnsi="Times New Roman"/>
          <w:sz w:val="28"/>
          <w:szCs w:val="28"/>
        </w:rPr>
        <w:t xml:space="preserve"> підходу в сучасній освіті</w:t>
      </w:r>
      <w:r>
        <w:rPr>
          <w:rFonts w:ascii="Times New Roman" w:hAnsi="Times New Roman"/>
          <w:sz w:val="28"/>
          <w:szCs w:val="28"/>
        </w:rPr>
        <w:t xml:space="preserve"> : матеріали Міжнародної науково-методичної конференції, (11-12 квітня 2019 р.) / </w:t>
      </w:r>
      <w:proofErr w:type="spellStart"/>
      <w:r>
        <w:rPr>
          <w:rFonts w:ascii="Times New Roman" w:hAnsi="Times New Roman"/>
          <w:sz w:val="28"/>
          <w:szCs w:val="28"/>
        </w:rPr>
        <w:t>редкол</w:t>
      </w:r>
      <w:proofErr w:type="spellEnd"/>
      <w:r>
        <w:rPr>
          <w:rFonts w:ascii="Times New Roman" w:hAnsi="Times New Roman"/>
          <w:sz w:val="28"/>
          <w:szCs w:val="28"/>
        </w:rPr>
        <w:t xml:space="preserve">.: Н. П. </w:t>
      </w:r>
      <w:proofErr w:type="spellStart"/>
      <w:r>
        <w:rPr>
          <w:rFonts w:ascii="Times New Roman" w:hAnsi="Times New Roman"/>
          <w:sz w:val="28"/>
          <w:szCs w:val="28"/>
        </w:rPr>
        <w:t>Крейдун</w:t>
      </w:r>
      <w:proofErr w:type="spellEnd"/>
      <w:r>
        <w:rPr>
          <w:rFonts w:ascii="Times New Roman" w:hAnsi="Times New Roman"/>
          <w:sz w:val="28"/>
          <w:szCs w:val="28"/>
        </w:rPr>
        <w:t xml:space="preserve"> та ін. – Х.: ФОП </w:t>
      </w:r>
      <w:proofErr w:type="spellStart"/>
      <w:r>
        <w:rPr>
          <w:rFonts w:ascii="Times New Roman" w:hAnsi="Times New Roman"/>
          <w:sz w:val="28"/>
          <w:szCs w:val="28"/>
        </w:rPr>
        <w:t>Бровін</w:t>
      </w:r>
      <w:proofErr w:type="spellEnd"/>
      <w:r>
        <w:rPr>
          <w:rFonts w:ascii="Times New Roman" w:hAnsi="Times New Roman"/>
          <w:sz w:val="28"/>
          <w:szCs w:val="28"/>
        </w:rPr>
        <w:t xml:space="preserve"> О. В., 2019. – 236 с.</w:t>
      </w:r>
    </w:p>
    <w:p w:rsidR="002570F7" w:rsidRPr="00914056" w:rsidRDefault="002570F7" w:rsidP="002570F7">
      <w:pPr>
        <w:spacing w:after="0" w:line="360" w:lineRule="auto"/>
        <w:ind w:firstLine="709"/>
        <w:jc w:val="both"/>
        <w:rPr>
          <w:rFonts w:ascii="Times New Roman" w:hAnsi="Times New Roman"/>
          <w:sz w:val="28"/>
          <w:szCs w:val="28"/>
        </w:rPr>
      </w:pPr>
      <w:r>
        <w:rPr>
          <w:rFonts w:ascii="Times New Roman" w:hAnsi="Times New Roman"/>
          <w:sz w:val="28"/>
          <w:szCs w:val="28"/>
          <w:lang w:val="en-US"/>
        </w:rPr>
        <w:t>ISBN</w:t>
      </w:r>
      <w:r>
        <w:rPr>
          <w:rFonts w:ascii="Times New Roman" w:hAnsi="Times New Roman"/>
          <w:sz w:val="28"/>
          <w:szCs w:val="28"/>
        </w:rPr>
        <w:t xml:space="preserve"> 978-617-7738-20-5</w:t>
      </w:r>
    </w:p>
    <w:p w:rsidR="002570F7" w:rsidRPr="00914056" w:rsidRDefault="002570F7" w:rsidP="002570F7">
      <w:pPr>
        <w:ind w:firstLine="709"/>
        <w:jc w:val="both"/>
        <w:rPr>
          <w:rFonts w:ascii="Times New Roman" w:hAnsi="Times New Roman"/>
          <w:sz w:val="28"/>
          <w:szCs w:val="28"/>
        </w:rPr>
      </w:pPr>
    </w:p>
    <w:p w:rsidR="002570F7" w:rsidRDefault="002570F7" w:rsidP="002570F7">
      <w:pPr>
        <w:spacing w:after="0" w:line="360" w:lineRule="auto"/>
        <w:ind w:firstLine="709"/>
        <w:jc w:val="both"/>
        <w:rPr>
          <w:rFonts w:ascii="Times New Roman" w:hAnsi="Times New Roman"/>
          <w:sz w:val="28"/>
          <w:szCs w:val="28"/>
        </w:rPr>
      </w:pPr>
    </w:p>
    <w:p w:rsidR="002570F7" w:rsidRDefault="002570F7" w:rsidP="002570F7">
      <w:pPr>
        <w:spacing w:after="0" w:line="360" w:lineRule="auto"/>
        <w:jc w:val="both"/>
        <w:rPr>
          <w:rFonts w:ascii="Times New Roman" w:hAnsi="Times New Roman"/>
          <w:b/>
          <w:sz w:val="28"/>
          <w:szCs w:val="28"/>
        </w:rPr>
      </w:pPr>
      <w:r>
        <w:rPr>
          <w:rFonts w:ascii="Times New Roman" w:hAnsi="Times New Roman"/>
          <w:b/>
          <w:sz w:val="28"/>
          <w:szCs w:val="28"/>
        </w:rPr>
        <w:br w:type="page"/>
      </w:r>
    </w:p>
    <w:p w:rsidR="002570F7" w:rsidRPr="002570F7" w:rsidRDefault="002570F7" w:rsidP="002570F7">
      <w:pPr>
        <w:jc w:val="center"/>
        <w:rPr>
          <w:rFonts w:ascii="Times New Roman" w:hAnsi="Times New Roman"/>
          <w:b/>
          <w:sz w:val="28"/>
          <w:szCs w:val="28"/>
          <w:lang w:val="ru-RU"/>
        </w:rPr>
      </w:pPr>
      <w:r>
        <w:rPr>
          <w:rFonts w:ascii="Times New Roman" w:hAnsi="Times New Roman"/>
          <w:b/>
          <w:sz w:val="28"/>
          <w:szCs w:val="28"/>
        </w:rPr>
        <w:lastRenderedPageBreak/>
        <w:t>ЗМІСТ</w:t>
      </w:r>
    </w:p>
    <w:p w:rsidR="002570F7" w:rsidRPr="002570F7" w:rsidRDefault="002570F7" w:rsidP="002570F7">
      <w:pPr>
        <w:pStyle w:val="Default"/>
        <w:jc w:val="both"/>
        <w:rPr>
          <w:sz w:val="28"/>
          <w:szCs w:val="28"/>
          <w:lang w:val="uk-UA"/>
        </w:rPr>
      </w:pPr>
      <w:r w:rsidRPr="002570F7">
        <w:rPr>
          <w:sz w:val="28"/>
          <w:szCs w:val="28"/>
          <w:lang w:val="uk-UA"/>
        </w:rPr>
        <w:t xml:space="preserve">Рибалко Л. С., Жозе да Коста Г. О. </w:t>
      </w:r>
    </w:p>
    <w:p w:rsidR="002570F7" w:rsidRPr="002570F7" w:rsidRDefault="002570F7" w:rsidP="002570F7">
      <w:pPr>
        <w:pStyle w:val="Default"/>
        <w:jc w:val="both"/>
        <w:rPr>
          <w:bCs/>
          <w:caps/>
          <w:sz w:val="28"/>
          <w:szCs w:val="28"/>
        </w:rPr>
      </w:pPr>
      <w:r w:rsidRPr="002570F7">
        <w:rPr>
          <w:bCs/>
          <w:sz w:val="28"/>
          <w:szCs w:val="28"/>
          <w:lang w:val="uk-UA"/>
        </w:rPr>
        <w:t>ІННОВАЦІЙНИЙ ПІДХІД ДО ТВОРЧОГО СПІВРОБІТНИЦТВА ОСВІТЯН У КОНТЕКСТІ «НОВОЇ УКРАЇНСЬКОЇ ШКОЛИ»</w:t>
      </w:r>
      <w:r w:rsidRPr="002570F7">
        <w:rPr>
          <w:bCs/>
          <w:sz w:val="28"/>
          <w:szCs w:val="28"/>
        </w:rPr>
        <w:t xml:space="preserve"> </w:t>
      </w:r>
      <w:r>
        <w:rPr>
          <w:bCs/>
          <w:caps/>
          <w:sz w:val="28"/>
          <w:szCs w:val="28"/>
        </w:rPr>
        <w:t>……………</w:t>
      </w:r>
      <w:r>
        <w:rPr>
          <w:bCs/>
          <w:caps/>
          <w:sz w:val="28"/>
          <w:szCs w:val="28"/>
          <w:lang w:val="uk-UA"/>
        </w:rPr>
        <w:t>….</w:t>
      </w:r>
      <w:r>
        <w:rPr>
          <w:bCs/>
          <w:caps/>
          <w:sz w:val="28"/>
          <w:szCs w:val="28"/>
        </w:rPr>
        <w:t>…….. 1</w:t>
      </w:r>
      <w:r w:rsidRPr="002570F7">
        <w:rPr>
          <w:bCs/>
          <w:caps/>
          <w:sz w:val="28"/>
          <w:szCs w:val="28"/>
        </w:rPr>
        <w:t>73</w:t>
      </w:r>
      <w:r>
        <w:rPr>
          <w:bCs/>
          <w:caps/>
          <w:sz w:val="28"/>
          <w:szCs w:val="28"/>
        </w:rPr>
        <w:t>-1</w:t>
      </w:r>
      <w:r w:rsidRPr="002570F7">
        <w:rPr>
          <w:bCs/>
          <w:caps/>
          <w:sz w:val="28"/>
          <w:szCs w:val="28"/>
        </w:rPr>
        <w:t>76</w:t>
      </w:r>
    </w:p>
    <w:p w:rsidR="002570F7" w:rsidRDefault="002570F7">
      <w:r>
        <w:br w:type="page"/>
      </w:r>
    </w:p>
    <w:p w:rsidR="002570F7" w:rsidRPr="002570F7" w:rsidRDefault="002570F7" w:rsidP="002570F7">
      <w:pPr>
        <w:pStyle w:val="Default"/>
        <w:jc w:val="both"/>
        <w:rPr>
          <w:sz w:val="28"/>
          <w:szCs w:val="28"/>
          <w:lang w:val="uk-UA"/>
        </w:rPr>
      </w:pPr>
      <w:r w:rsidRPr="002570F7">
        <w:rPr>
          <w:sz w:val="28"/>
          <w:szCs w:val="28"/>
          <w:lang w:val="uk-UA"/>
        </w:rPr>
        <w:lastRenderedPageBreak/>
        <w:t xml:space="preserve">Рибалко Л. С., Жозе да Коста Г. О. </w:t>
      </w:r>
    </w:p>
    <w:p w:rsidR="002570F7" w:rsidRPr="003250F6" w:rsidRDefault="002570F7" w:rsidP="002570F7">
      <w:pPr>
        <w:pStyle w:val="Default"/>
        <w:jc w:val="both"/>
        <w:rPr>
          <w:sz w:val="28"/>
          <w:szCs w:val="28"/>
        </w:rPr>
      </w:pPr>
      <w:r w:rsidRPr="002570F7">
        <w:rPr>
          <w:sz w:val="28"/>
          <w:szCs w:val="28"/>
          <w:lang w:val="uk-UA"/>
        </w:rPr>
        <w:t xml:space="preserve">м. Харків, Україна </w:t>
      </w:r>
    </w:p>
    <w:p w:rsidR="002570F7" w:rsidRPr="003250F6" w:rsidRDefault="002570F7" w:rsidP="002570F7">
      <w:pPr>
        <w:pStyle w:val="Default"/>
        <w:jc w:val="both"/>
        <w:rPr>
          <w:sz w:val="28"/>
          <w:szCs w:val="28"/>
        </w:rPr>
      </w:pPr>
    </w:p>
    <w:p w:rsidR="00810F0D" w:rsidRPr="003250F6" w:rsidRDefault="002570F7" w:rsidP="002570F7">
      <w:pPr>
        <w:pStyle w:val="Default"/>
        <w:jc w:val="center"/>
        <w:rPr>
          <w:b/>
          <w:bCs/>
          <w:sz w:val="28"/>
          <w:szCs w:val="28"/>
        </w:rPr>
      </w:pPr>
      <w:r w:rsidRPr="002570F7">
        <w:rPr>
          <w:b/>
          <w:bCs/>
          <w:sz w:val="28"/>
          <w:szCs w:val="28"/>
          <w:lang w:val="uk-UA"/>
        </w:rPr>
        <w:t>ІННОВАЦІЙНИЙ ПІДХІД ДО ТВОРЧОГО СПІВРОБІТНИЦТВА ОСВІТЯН У КОНТЕКСТІ «НОВОЇ УКРАЇНСЬКОЇ ШКОЛИ»</w:t>
      </w:r>
    </w:p>
    <w:p w:rsidR="002570F7" w:rsidRPr="003250F6" w:rsidRDefault="002570F7" w:rsidP="002570F7">
      <w:pPr>
        <w:pStyle w:val="Default"/>
        <w:jc w:val="center"/>
        <w:rPr>
          <w:b/>
          <w:bCs/>
          <w:sz w:val="28"/>
          <w:szCs w:val="28"/>
        </w:rPr>
      </w:pPr>
    </w:p>
    <w:p w:rsidR="002570F7" w:rsidRPr="002570F7" w:rsidRDefault="002570F7" w:rsidP="002570F7">
      <w:pPr>
        <w:spacing w:after="0" w:line="360" w:lineRule="auto"/>
        <w:ind w:firstLine="709"/>
        <w:jc w:val="both"/>
        <w:rPr>
          <w:rFonts w:ascii="Times New Roman" w:hAnsi="Times New Roman"/>
          <w:sz w:val="28"/>
          <w:szCs w:val="28"/>
        </w:rPr>
      </w:pPr>
      <w:r w:rsidRPr="002570F7">
        <w:rPr>
          <w:rFonts w:ascii="Times New Roman" w:hAnsi="Times New Roman"/>
          <w:sz w:val="28"/>
          <w:szCs w:val="28"/>
        </w:rPr>
        <w:t>Співпраця закладів загальної середньої освіти з закладами вищої освіти – це вимога часу, яка ніколи не зменшується, не зникає. Із року в рік зростають вимоги до школи, до рівня знань її учнів, їх вихованості. Зростають вимоги до професійного росту вчителя, його фахового рівня. Практика довела, як багато значить у забезпеченні високого фахового рівня вчителя, його професійної майстерності співпраця школи з закладами вищої освіти.</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Основна мета виступу – окреслити ідею творчого співробітництва освітян у новому контексті української школи. </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Сучасний етап реформування системи освіти характеризується посиленням уваги до особистості, спрямуванням зусиль педагогів на розвиток творчого потенціалу учасників освітнього процесу. Реалізація нових векторів розвитку освіти потребує використання інноваційних педагогічних технологій, творчого пошуку нових або вдосконалення вже наявних концепцій, принципів, підходів до освіти, суттєвих змін у змісті, формах і методах навчання, виховання, управління педагогічним процесом. З урахуванням цього нова освітня парадигма вибудовується на засадах розвитку творчого співробітництва педагогів, спрямованості на самовизначення, стабільно активної життєдіяльності у змінних соціальних умовах, готовності до розв’язання нових завдань [1]. </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З метою підвищення фахової майстерності вчителів школи, впровадження диференційованого підходу до навчання учнів, професійної орієнтації молоді та створення системи безперервного навчання, згідно договорів та угод, налагоджено співпрацю школи з багатьма закладами вищої освіти (НФУ, ХНУРЕ, ХНУВС, НТУ «ХПІ» та ін.). </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Одним із дієвих засобів підготовки до впровадження нової реформи освіти стала тісна та плідна співпраця педагогів Харківського ліцею № 89 із закладами вищої освіти. Це проведення науковцями лекцій для вчителів різних </w:t>
      </w:r>
      <w:r w:rsidRPr="002570F7">
        <w:rPr>
          <w:sz w:val="28"/>
          <w:szCs w:val="28"/>
          <w:lang w:val="uk-UA"/>
        </w:rPr>
        <w:lastRenderedPageBreak/>
        <w:t xml:space="preserve">предметів на базі Харківського національного університету імені В.Н. Каразіна, це спільні конференції з викладачами вишу з питань методики і практики навчання та виховання учнів і студентів, різні методичні заходи за участю науковців, під час яких вчителі мали змогу познайомитися з надбаннями системи освіти колег, детальніше опанувати практику впровадження STEM-освіти, спостерігати та використовувати засоби </w:t>
      </w:r>
      <w:proofErr w:type="spellStart"/>
      <w:r w:rsidRPr="002570F7">
        <w:rPr>
          <w:sz w:val="28"/>
          <w:szCs w:val="28"/>
          <w:lang w:val="uk-UA"/>
        </w:rPr>
        <w:t>медіаосвіти</w:t>
      </w:r>
      <w:proofErr w:type="spellEnd"/>
      <w:r w:rsidRPr="002570F7">
        <w:rPr>
          <w:sz w:val="28"/>
          <w:szCs w:val="28"/>
          <w:lang w:val="uk-UA"/>
        </w:rPr>
        <w:t xml:space="preserve"> у навчанні. </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Ефективною є співпраця викладачів університету з учнями-членами Малої академії наук України. Ліцеїсти мають змогу долучитися до наукової діяльності, дослідити теоретичні аспекти власних пошуків на практиці під керівництвом </w:t>
      </w:r>
      <w:proofErr w:type="spellStart"/>
      <w:r w:rsidRPr="002570F7">
        <w:rPr>
          <w:sz w:val="28"/>
          <w:szCs w:val="28"/>
          <w:lang w:val="uk-UA"/>
        </w:rPr>
        <w:t>досвічених</w:t>
      </w:r>
      <w:proofErr w:type="spellEnd"/>
      <w:r w:rsidRPr="002570F7">
        <w:rPr>
          <w:sz w:val="28"/>
          <w:szCs w:val="28"/>
          <w:lang w:val="uk-UA"/>
        </w:rPr>
        <w:t xml:space="preserve"> науковців, отримати цінні поради та настанови. Традиційно викладачі Харківського національного університету ім. В.Н. Каразіна беруть участь у роботі науково-теоретичних конференціях «Крок у майбутнє» та «Ліцейська освіта і сучасна наука», що відбуваються у закладі щорічно. </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Найбільш плідним напрямком співпраці із закладами вищої освіти є функціонування університетських кафедр на базі ЗЗСО. Це сприяє розвитку учнівських </w:t>
      </w:r>
      <w:proofErr w:type="spellStart"/>
      <w:r w:rsidRPr="002570F7">
        <w:rPr>
          <w:sz w:val="28"/>
          <w:szCs w:val="28"/>
          <w:lang w:val="uk-UA"/>
        </w:rPr>
        <w:t>компетентностей</w:t>
      </w:r>
      <w:proofErr w:type="spellEnd"/>
      <w:r w:rsidRPr="002570F7">
        <w:rPr>
          <w:sz w:val="28"/>
          <w:szCs w:val="28"/>
          <w:lang w:val="uk-UA"/>
        </w:rPr>
        <w:t xml:space="preserve"> НУШ, а також удосконаленню професійної майстерності педагогів зокрема за рахунок програми підвищення кваліфікації та професійної компетентності вчителів, які сприяють обміну ідеями, досвідом, інформацією та навчальними матеріалами, налагодженню контактів, допомагають в розширенні кругозору та збагаченні професійних знань. Згідно з Концепцією Нової української школи сучасний заклад освіти має стати місцем, куди учні приходять не лише за знаннями, а й за умінням ними користуватися, тому все більше педагогів надають перевагу підвищенню рівня професіоналізму у стінах університету. Викладачі вишу допомагають учителям вчитися застосовувати педагогіку партнерства; працювати на засадах особистісно орієнтованої моделі освіти та </w:t>
      </w:r>
      <w:proofErr w:type="spellStart"/>
      <w:r w:rsidRPr="002570F7">
        <w:rPr>
          <w:sz w:val="28"/>
          <w:szCs w:val="28"/>
          <w:lang w:val="uk-UA"/>
        </w:rPr>
        <w:t>компетентнісного</w:t>
      </w:r>
      <w:proofErr w:type="spellEnd"/>
      <w:r w:rsidRPr="002570F7">
        <w:rPr>
          <w:sz w:val="28"/>
          <w:szCs w:val="28"/>
          <w:lang w:val="uk-UA"/>
        </w:rPr>
        <w:t xml:space="preserve"> підходу; користуватися академічною свободою, продовжуючи власну професійну освіту; розвивати навички </w:t>
      </w:r>
      <w:proofErr w:type="spellStart"/>
      <w:r w:rsidRPr="002570F7">
        <w:rPr>
          <w:sz w:val="28"/>
          <w:szCs w:val="28"/>
          <w:lang w:val="uk-UA"/>
        </w:rPr>
        <w:t>інноватора</w:t>
      </w:r>
      <w:proofErr w:type="spellEnd"/>
      <w:r w:rsidRPr="002570F7">
        <w:rPr>
          <w:sz w:val="28"/>
          <w:szCs w:val="28"/>
          <w:lang w:val="uk-UA"/>
        </w:rPr>
        <w:t xml:space="preserve">. </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Учителі ліцею беруть активну участь у щорічній Всеукраїнській науково-методичній конференції «</w:t>
      </w:r>
      <w:proofErr w:type="spellStart"/>
      <w:r w:rsidRPr="002570F7">
        <w:rPr>
          <w:sz w:val="28"/>
          <w:szCs w:val="28"/>
          <w:lang w:val="uk-UA"/>
        </w:rPr>
        <w:t>Компетентнісний</w:t>
      </w:r>
      <w:proofErr w:type="spellEnd"/>
      <w:r w:rsidRPr="002570F7">
        <w:rPr>
          <w:sz w:val="28"/>
          <w:szCs w:val="28"/>
          <w:lang w:val="uk-UA"/>
        </w:rPr>
        <w:t xml:space="preserve"> підхід в освіті та професійній </w:t>
      </w:r>
      <w:r w:rsidRPr="002570F7">
        <w:rPr>
          <w:sz w:val="28"/>
          <w:szCs w:val="28"/>
          <w:lang w:val="uk-UA"/>
        </w:rPr>
        <w:lastRenderedPageBreak/>
        <w:t xml:space="preserve">діяльності», яку проводить кафедра педагогіки ХНУ імені Г. С. Сковороди, разом з викладачами обговорюють концептуальні ідеї співробітництва й партнерства, питання профорієнтації школярів та їхнього самовизначення. </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Отже, особливої уваги заслуговує ідея залучення освітян до освітніх проектів, про яку йдеться в Концепції Нової української школи. Не дивлячись на педагогічний досвід, ще бракує командної роботи разом з викладачами й студентами у спільних освітніх проектах. </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Беручи до уваги потужний потенціал класичного університету, він має стати інформаційною й консультаційною базою для надання допомоги викладачам, студентам і вчителям з питань розробки й упровадження таких проектів у освітньому середовищі, розвитку зв’язків із зарубіжними колегами, студентами. </w:t>
      </w:r>
    </w:p>
    <w:p w:rsidR="002570F7" w:rsidRPr="002570F7" w:rsidRDefault="002570F7" w:rsidP="002570F7">
      <w:pPr>
        <w:pStyle w:val="Default"/>
        <w:spacing w:line="360" w:lineRule="auto"/>
        <w:ind w:firstLine="709"/>
        <w:jc w:val="center"/>
        <w:rPr>
          <w:sz w:val="28"/>
          <w:szCs w:val="28"/>
          <w:lang w:val="uk-UA"/>
        </w:rPr>
      </w:pPr>
      <w:r w:rsidRPr="002570F7">
        <w:rPr>
          <w:b/>
          <w:bCs/>
          <w:sz w:val="28"/>
          <w:szCs w:val="28"/>
          <w:lang w:val="uk-UA"/>
        </w:rPr>
        <w:t>Список використаних джерел:</w:t>
      </w:r>
    </w:p>
    <w:p w:rsidR="002570F7" w:rsidRPr="002570F7" w:rsidRDefault="002570F7" w:rsidP="002570F7">
      <w:pPr>
        <w:pStyle w:val="Default"/>
        <w:spacing w:line="360" w:lineRule="auto"/>
        <w:ind w:firstLine="709"/>
        <w:jc w:val="both"/>
        <w:rPr>
          <w:sz w:val="28"/>
          <w:szCs w:val="28"/>
          <w:lang w:val="uk-UA"/>
        </w:rPr>
      </w:pPr>
      <w:r w:rsidRPr="002570F7">
        <w:rPr>
          <w:sz w:val="28"/>
          <w:szCs w:val="28"/>
          <w:lang w:val="uk-UA"/>
        </w:rPr>
        <w:t xml:space="preserve">1. </w:t>
      </w:r>
      <w:proofErr w:type="spellStart"/>
      <w:r w:rsidRPr="002570F7">
        <w:rPr>
          <w:sz w:val="28"/>
          <w:szCs w:val="28"/>
          <w:lang w:val="uk-UA"/>
        </w:rPr>
        <w:t>Кінінєєва</w:t>
      </w:r>
      <w:proofErr w:type="spellEnd"/>
      <w:r w:rsidRPr="002570F7">
        <w:rPr>
          <w:sz w:val="28"/>
          <w:szCs w:val="28"/>
          <w:lang w:val="uk-UA"/>
        </w:rPr>
        <w:t xml:space="preserve"> Т., </w:t>
      </w:r>
      <w:proofErr w:type="spellStart"/>
      <w:r w:rsidRPr="002570F7">
        <w:rPr>
          <w:sz w:val="28"/>
          <w:szCs w:val="28"/>
          <w:lang w:val="uk-UA"/>
        </w:rPr>
        <w:t>Плотнікова</w:t>
      </w:r>
      <w:proofErr w:type="spellEnd"/>
      <w:r w:rsidRPr="002570F7">
        <w:rPr>
          <w:sz w:val="28"/>
          <w:szCs w:val="28"/>
          <w:lang w:val="uk-UA"/>
        </w:rPr>
        <w:t xml:space="preserve"> О. Упровадження сучасних освітніх технологій у навчально-виховний процес як умова інноваційного розвитку закладу освіти [Електронний ресурс] – Режим доступу : http://pedvistavka.at.ua/ </w:t>
      </w:r>
    </w:p>
    <w:p w:rsidR="002570F7" w:rsidRPr="002570F7" w:rsidRDefault="002570F7" w:rsidP="002570F7">
      <w:pPr>
        <w:spacing w:line="360" w:lineRule="auto"/>
        <w:ind w:firstLine="709"/>
        <w:jc w:val="both"/>
        <w:rPr>
          <w:rFonts w:ascii="Times New Roman" w:hAnsi="Times New Roman"/>
          <w:sz w:val="28"/>
          <w:szCs w:val="28"/>
        </w:rPr>
      </w:pPr>
    </w:p>
    <w:p w:rsidR="002570F7" w:rsidRPr="002570F7" w:rsidRDefault="002570F7" w:rsidP="002570F7">
      <w:pPr>
        <w:ind w:firstLine="709"/>
        <w:jc w:val="both"/>
        <w:rPr>
          <w:lang w:val="ru-RU"/>
        </w:rPr>
      </w:pPr>
    </w:p>
    <w:sectPr w:rsidR="002570F7" w:rsidRPr="002570F7" w:rsidSect="002570F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48"/>
    <w:rsid w:val="002570F7"/>
    <w:rsid w:val="00257C3E"/>
    <w:rsid w:val="002D2F2C"/>
    <w:rsid w:val="003250F6"/>
    <w:rsid w:val="003D522C"/>
    <w:rsid w:val="00AD285A"/>
    <w:rsid w:val="00CA4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F7"/>
    <w:pPr>
      <w:spacing w:after="200" w:line="276" w:lineRule="auto"/>
      <w:ind w:firstLine="0"/>
      <w:jc w:val="left"/>
    </w:pPr>
    <w:rPr>
      <w:rFonts w:eastAsiaTheme="minorEastAsia"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70F7"/>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F7"/>
    <w:pPr>
      <w:spacing w:after="200" w:line="276" w:lineRule="auto"/>
      <w:ind w:firstLine="0"/>
      <w:jc w:val="left"/>
    </w:pPr>
    <w:rPr>
      <w:rFonts w:eastAsiaTheme="minorEastAsia"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70F7"/>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2019-05-20T10:19:00Z</dcterms:created>
  <dcterms:modified xsi:type="dcterms:W3CDTF">2019-05-22T10:09:00Z</dcterms:modified>
</cp:coreProperties>
</file>