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14" w:rsidRPr="00BF4114" w:rsidRDefault="00BF4114" w:rsidP="00BF4114">
      <w:pPr>
        <w:spacing w:line="36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4114">
        <w:rPr>
          <w:rFonts w:ascii="Times New Roman" w:hAnsi="Times New Roman"/>
          <w:b/>
          <w:caps/>
          <w:sz w:val="28"/>
          <w:szCs w:val="28"/>
        </w:rPr>
        <w:t>особливості моніторингу функціонального стану юних спортсмені</w:t>
      </w:r>
      <w:proofErr w:type="gramStart"/>
      <w:r w:rsidRPr="00BF4114">
        <w:rPr>
          <w:rFonts w:ascii="Times New Roman" w:hAnsi="Times New Roman"/>
          <w:b/>
          <w:caps/>
          <w:sz w:val="28"/>
          <w:szCs w:val="28"/>
        </w:rPr>
        <w:t>в</w:t>
      </w:r>
      <w:proofErr w:type="gramEnd"/>
    </w:p>
    <w:p w:rsidR="00BF4114" w:rsidRPr="00BF4114" w:rsidRDefault="00BF4114" w:rsidP="00BF4114">
      <w:pPr>
        <w:spacing w:line="360" w:lineRule="exact"/>
        <w:jc w:val="right"/>
        <w:rPr>
          <w:rFonts w:ascii="Times New Roman" w:hAnsi="Times New Roman"/>
          <w:b/>
          <w:i/>
          <w:spacing w:val="-12"/>
          <w:sz w:val="28"/>
          <w:szCs w:val="28"/>
        </w:rPr>
      </w:pPr>
    </w:p>
    <w:p w:rsidR="00BF4114" w:rsidRPr="00BF4114" w:rsidRDefault="00BF4114" w:rsidP="00BF4114">
      <w:pPr>
        <w:spacing w:line="360" w:lineRule="exact"/>
        <w:jc w:val="right"/>
        <w:rPr>
          <w:rFonts w:ascii="Times New Roman" w:hAnsi="Times New Roman"/>
          <w:i/>
          <w:spacing w:val="-12"/>
          <w:sz w:val="28"/>
          <w:szCs w:val="28"/>
        </w:rPr>
      </w:pPr>
      <w:r w:rsidRPr="00BF4114">
        <w:rPr>
          <w:rFonts w:ascii="Times New Roman" w:hAnsi="Times New Roman"/>
          <w:b/>
          <w:i/>
          <w:spacing w:val="-12"/>
          <w:sz w:val="28"/>
          <w:szCs w:val="28"/>
        </w:rPr>
        <w:t>Сокол</w:t>
      </w:r>
      <w:r w:rsidRPr="00BF4114">
        <w:rPr>
          <w:rFonts w:ascii="Times New Roman" w:hAnsi="Times New Roman"/>
          <w:spacing w:val="-2"/>
          <w:sz w:val="28"/>
          <w:szCs w:val="28"/>
          <w:lang w:eastAsia="uk-UA"/>
        </w:rPr>
        <w:t> </w:t>
      </w:r>
      <w:r w:rsidRPr="00BF4114">
        <w:rPr>
          <w:rFonts w:ascii="Times New Roman" w:hAnsi="Times New Roman"/>
          <w:b/>
          <w:i/>
          <w:spacing w:val="-12"/>
          <w:sz w:val="28"/>
          <w:szCs w:val="28"/>
        </w:rPr>
        <w:t>К.М.,</w:t>
      </w:r>
      <w:r w:rsidRPr="00BF4114">
        <w:rPr>
          <w:rFonts w:ascii="Times New Roman" w:hAnsi="Times New Roman"/>
          <w:i/>
          <w:spacing w:val="-12"/>
          <w:sz w:val="28"/>
          <w:szCs w:val="28"/>
        </w:rPr>
        <w:t xml:space="preserve"> ХНМУ, </w:t>
      </w:r>
      <w:proofErr w:type="spellStart"/>
      <w:r w:rsidRPr="00BF4114">
        <w:rPr>
          <w:rFonts w:ascii="Times New Roman" w:hAnsi="Times New Roman"/>
          <w:i/>
          <w:spacing w:val="-12"/>
          <w:sz w:val="28"/>
          <w:szCs w:val="28"/>
        </w:rPr>
        <w:t>Харків</w:t>
      </w:r>
      <w:proofErr w:type="spellEnd"/>
    </w:p>
    <w:p w:rsidR="00BF4114" w:rsidRPr="00BF4114" w:rsidRDefault="00BF4114" w:rsidP="00BF4114">
      <w:pPr>
        <w:spacing w:line="360" w:lineRule="exact"/>
        <w:jc w:val="right"/>
        <w:rPr>
          <w:rFonts w:ascii="Times New Roman" w:hAnsi="Times New Roman"/>
          <w:i/>
          <w:caps/>
          <w:sz w:val="28"/>
          <w:szCs w:val="28"/>
        </w:rPr>
      </w:pPr>
      <w:proofErr w:type="spellStart"/>
      <w:r w:rsidRPr="00BF4114">
        <w:rPr>
          <w:rFonts w:ascii="Times New Roman" w:hAnsi="Times New Roman"/>
          <w:b/>
          <w:i/>
          <w:spacing w:val="-12"/>
          <w:sz w:val="28"/>
          <w:szCs w:val="28"/>
        </w:rPr>
        <w:t>Подрігало</w:t>
      </w:r>
      <w:proofErr w:type="spellEnd"/>
      <w:r w:rsidRPr="00BF4114">
        <w:rPr>
          <w:rFonts w:ascii="Times New Roman" w:hAnsi="Times New Roman"/>
          <w:spacing w:val="-2"/>
          <w:sz w:val="28"/>
          <w:szCs w:val="28"/>
          <w:lang w:eastAsia="uk-UA"/>
        </w:rPr>
        <w:t> </w:t>
      </w:r>
      <w:r w:rsidRPr="00BF4114">
        <w:rPr>
          <w:rFonts w:ascii="Times New Roman" w:hAnsi="Times New Roman"/>
          <w:b/>
          <w:i/>
          <w:spacing w:val="-12"/>
          <w:sz w:val="28"/>
          <w:szCs w:val="28"/>
        </w:rPr>
        <w:t>Л.В., Ровна</w:t>
      </w:r>
      <w:r w:rsidRPr="00BF4114">
        <w:rPr>
          <w:rFonts w:ascii="Times New Roman" w:hAnsi="Times New Roman"/>
          <w:spacing w:val="-2"/>
          <w:sz w:val="28"/>
          <w:szCs w:val="28"/>
          <w:lang w:eastAsia="uk-UA"/>
        </w:rPr>
        <w:t> </w:t>
      </w:r>
      <w:r w:rsidRPr="00BF4114">
        <w:rPr>
          <w:rFonts w:ascii="Times New Roman" w:hAnsi="Times New Roman"/>
          <w:b/>
          <w:i/>
          <w:spacing w:val="-12"/>
          <w:sz w:val="28"/>
          <w:szCs w:val="28"/>
        </w:rPr>
        <w:t>О.О.,</w:t>
      </w:r>
      <w:r w:rsidRPr="00BF4114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proofErr w:type="spellStart"/>
      <w:r w:rsidRPr="00BF4114">
        <w:rPr>
          <w:rFonts w:ascii="Times New Roman" w:hAnsi="Times New Roman"/>
          <w:i/>
          <w:spacing w:val="-20"/>
          <w:sz w:val="28"/>
          <w:szCs w:val="28"/>
        </w:rPr>
        <w:t>Харківська</w:t>
      </w:r>
      <w:proofErr w:type="spellEnd"/>
      <w:r w:rsidRPr="00BF4114">
        <w:rPr>
          <w:rFonts w:ascii="Times New Roman" w:hAnsi="Times New Roman"/>
          <w:i/>
          <w:spacing w:val="-20"/>
          <w:sz w:val="28"/>
          <w:szCs w:val="28"/>
        </w:rPr>
        <w:t xml:space="preserve"> </w:t>
      </w:r>
      <w:proofErr w:type="spellStart"/>
      <w:r w:rsidRPr="00BF4114">
        <w:rPr>
          <w:rFonts w:ascii="Times New Roman" w:hAnsi="Times New Roman"/>
          <w:i/>
          <w:spacing w:val="-20"/>
          <w:sz w:val="28"/>
          <w:szCs w:val="28"/>
        </w:rPr>
        <w:t>державна</w:t>
      </w:r>
      <w:proofErr w:type="spellEnd"/>
      <w:r w:rsidRPr="00BF4114">
        <w:rPr>
          <w:rFonts w:ascii="Times New Roman" w:hAnsi="Times New Roman"/>
          <w:i/>
          <w:spacing w:val="-20"/>
          <w:sz w:val="28"/>
          <w:szCs w:val="28"/>
        </w:rPr>
        <w:t xml:space="preserve"> </w:t>
      </w:r>
      <w:proofErr w:type="spellStart"/>
      <w:r w:rsidRPr="00BF4114">
        <w:rPr>
          <w:rFonts w:ascii="Times New Roman" w:hAnsi="Times New Roman"/>
          <w:i/>
          <w:spacing w:val="-20"/>
          <w:sz w:val="28"/>
          <w:szCs w:val="28"/>
        </w:rPr>
        <w:t>академія</w:t>
      </w:r>
      <w:proofErr w:type="spellEnd"/>
      <w:r w:rsidRPr="00BF4114">
        <w:rPr>
          <w:rFonts w:ascii="Times New Roman" w:hAnsi="Times New Roman"/>
          <w:i/>
          <w:spacing w:val="-20"/>
          <w:sz w:val="28"/>
          <w:szCs w:val="28"/>
        </w:rPr>
        <w:t xml:space="preserve"> </w:t>
      </w:r>
      <w:proofErr w:type="spellStart"/>
      <w:r w:rsidRPr="00BF4114">
        <w:rPr>
          <w:rFonts w:ascii="Times New Roman" w:hAnsi="Times New Roman"/>
          <w:i/>
          <w:spacing w:val="-20"/>
          <w:sz w:val="28"/>
          <w:szCs w:val="28"/>
        </w:rPr>
        <w:t>фізичної</w:t>
      </w:r>
      <w:proofErr w:type="spellEnd"/>
      <w:r w:rsidRPr="00BF4114">
        <w:rPr>
          <w:rFonts w:ascii="Times New Roman" w:hAnsi="Times New Roman"/>
          <w:i/>
          <w:spacing w:val="-20"/>
          <w:sz w:val="28"/>
          <w:szCs w:val="28"/>
        </w:rPr>
        <w:t xml:space="preserve"> </w:t>
      </w:r>
      <w:proofErr w:type="spellStart"/>
      <w:r w:rsidRPr="00BF4114">
        <w:rPr>
          <w:rFonts w:ascii="Times New Roman" w:hAnsi="Times New Roman"/>
          <w:i/>
          <w:spacing w:val="-20"/>
          <w:sz w:val="28"/>
          <w:szCs w:val="28"/>
        </w:rPr>
        <w:t>культури</w:t>
      </w:r>
      <w:proofErr w:type="spellEnd"/>
      <w:r w:rsidRPr="00BF411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F4114">
        <w:rPr>
          <w:rFonts w:ascii="Times New Roman" w:hAnsi="Times New Roman"/>
          <w:i/>
          <w:sz w:val="28"/>
          <w:szCs w:val="28"/>
        </w:rPr>
        <w:t>Харкі</w:t>
      </w:r>
      <w:proofErr w:type="gramStart"/>
      <w:r w:rsidRPr="00BF4114">
        <w:rPr>
          <w:rFonts w:ascii="Times New Roman" w:hAnsi="Times New Roman"/>
          <w:i/>
          <w:sz w:val="28"/>
          <w:szCs w:val="28"/>
        </w:rPr>
        <w:t>в</w:t>
      </w:r>
      <w:proofErr w:type="spellEnd"/>
      <w:proofErr w:type="gramEnd"/>
    </w:p>
    <w:p w:rsidR="00BF4114" w:rsidRPr="00BF4114" w:rsidRDefault="00BF4114" w:rsidP="00BF4114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BF4114" w:rsidRPr="00BF4114" w:rsidRDefault="00BF4114" w:rsidP="00BF41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здоров’я сучасного молодого покоління обумовлює необхідність підвищення ефективності фізичного виховання, спрямованого на його оптимі</w:t>
      </w:r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зацію. Заняття фізичною культурою і спортом є важливим засобом його укріплення, але на цей час їх популярність суттєво знижується. Значні фізичні навантаження в спорті обумовлюють необхідність організації контролю стану здоров’я, відбору та прогнозу успішності спортсменів, профілактики можливих донозологічних станів, іншою мовою, обґрунтування й розробки моніторингу функціонального стану. Моніторинг (від </w:t>
      </w:r>
      <w:proofErr w:type="spellStart"/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spellEnd"/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monitor</w:t>
      </w:r>
      <w:proofErr w:type="spellEnd"/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наставляти, радити, контролювати, перевіряти) – безперервне або тривале спостереження.</w:t>
      </w:r>
    </w:p>
    <w:p w:rsidR="00BF4114" w:rsidRPr="00BF4114" w:rsidRDefault="00BF4114" w:rsidP="00BF41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соціально-гігієнічний моніторинг – система спостереження, аналізу, оцінки і прогнозу стану здоров’я населення та середовища життєдіяль</w:t>
      </w:r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ності людини, а також виявлення причинно-наслідкових зв’язків між станом здоров’я населення та впливом на нього факторів середовища життєдіяльності людини. Поняття моніторингу може бути визначено як постійне спостереження за процесом з метою виявлення його відповідності бажаному результату або первісним пропозиціям. В контексті спорту основою моніторингу є розглядання взаємовідносин у системі «спортсмен – навколишнє середовище» й керування впливом середовища на функціональний стан. У якості навколишнього середовища розглядаються особливості організації підготовки й, насамперед, тренувальні та змагальні навантаження, що здійснюють суттєвий вплив на здоров’я. Проведення моніторингу потребує виконання певного алгоритму. Найважливі</w:t>
      </w:r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шими моментами повинні бути визнані стадії, пов’язані із виявленням основних чинників, що обумовлюють стан спортсмена та його підготовку, формування робочої гіпотези про причинно-наслідкові зв’язки між ними та обґрунтування заходів, які дозволяють впливати на ці чинники.</w:t>
      </w:r>
    </w:p>
    <w:p w:rsidR="00BF4114" w:rsidRPr="00BF4114" w:rsidRDefault="00BF4114" w:rsidP="00BF41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Ще одним важливим поняттям в моніторингу є скринінг-тести. В меди</w:t>
      </w:r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 xml:space="preserve">цині вони визначаються як попереднє визначення з певною ймовірністю прихованих або ще не встановлених форм захворювань, а також виявлення чинників ризику, які можуть сприяти розвитку стійких порушень здоров’я. </w:t>
      </w:r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Результати цих досліджень, як правило, не дають ще підстави для встановлення діагнозу, вони лише допомагають виділити з умовно здорового контингенту тих осіб, у яких можливість наявності захворювання найбільш вірогідна.</w:t>
      </w:r>
    </w:p>
    <w:p w:rsidR="00BF4114" w:rsidRPr="00BF4114" w:rsidRDefault="00BF4114" w:rsidP="00BF41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контексті спорту та фізичного виховання, скринінг-тести повинні визначатися як спеціальні методики або тести, що є вірогідними, забезпечують вимір необхідного показника згідно з метою дослідження; мають достатню точність, ступінь якої залежить від потреб дослідження; характеризуються простотою, практичністю, зручністю, економічною прийнятністю та специфічністю. Важливою є відсутність травматизму при проведенні скринінгу.</w:t>
      </w:r>
    </w:p>
    <w:p w:rsidR="00BF4114" w:rsidRPr="00BF4114" w:rsidRDefault="00BF4114" w:rsidP="00BF41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Так, етап попереднього відбору спрямований на пошук осіб, перспективних для певного виду спорту, що доводиться за допомогою антропометричного дослідження, оцінки загальної фізичної підготованості за системою КОНТРЕКС-2 та використанням спеціалізованих для виду спорту тестів. Перспективними на цьому етапі є гоніометричні дослідження суглобів, оскільки збільшення амплітуди рухів у них надають спортсменові переваги.</w:t>
      </w:r>
    </w:p>
    <w:p w:rsidR="00BF4114" w:rsidRPr="00BF4114" w:rsidRDefault="00BF4114" w:rsidP="00BF41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етапі поточного моніторингу основне значення має динаміка реакцій організму на тренувальні навантаження. Для цього використовуються фізіологічні та гігієнічні методики (визначення пульсу та артеріального тиску, розрахунок загальної та моторної щільності тренування), а також визначення індексів на підставі отриманих результатів. Крім того, для оцінки адаптаційного потенціалу спортсменів пропонується визначення </w:t>
      </w:r>
      <w:proofErr w:type="spellStart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електронегативності</w:t>
      </w:r>
      <w:proofErr w:type="spellEnd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ядер</w:t>
      </w:r>
      <w:proofErr w:type="spellEnd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клітин </w:t>
      </w:r>
      <w:proofErr w:type="spellStart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букального</w:t>
      </w:r>
      <w:proofErr w:type="spellEnd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епітелію та стан системи антиокислювального захисту. Цю батарею тестів має сенс доповнити функціональним дослідженням психофізіологічним дослідження різних видів реакції, координації, оцінювати збалансованість і врівноваженість адаптаційних систем організму. Крім того, з метою накопичування інформації про психоемоційний стан спортсменів доцільним буде періодичне проведення оцінки психологічного стану за допомогою тесту визначення тривожності, працездатності, активності, настрою та самопочуття. Ця методика дозволяє </w:t>
      </w:r>
      <w:proofErr w:type="spellStart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оперативно</w:t>
      </w:r>
      <w:proofErr w:type="spellEnd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адекватно оцінювати психологічний стан спортсменів, прогнозувати їх успішність.</w:t>
      </w:r>
    </w:p>
    <w:p w:rsidR="00BF4114" w:rsidRPr="00BF4114" w:rsidRDefault="00BF4114" w:rsidP="00BF41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Основним завданням третього етапу моніторингу є визначення готовності спортсменів до змагань і прогноз успішності виступів. Тому на цьому етапі правомірним є використання всіх функціональних методик, що дозволяють надати комплексну оцінку </w:t>
      </w:r>
      <w:proofErr w:type="spellStart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морфофункціональним</w:t>
      </w:r>
      <w:proofErr w:type="spellEnd"/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особливостям спортсменів, більш чітко характеризувати його стан. Безпосередньо перед змаганнями має сенс дослідження основних компонентів психологічного </w:t>
      </w:r>
      <w:r w:rsidRPr="00BF4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стану та оцінка їх динаміки. Важливим моментом в цьому контексті є реалізація принципу зворотного зв’язку, коли використання запропонованих методик дозволяє не тільки оцінити стан спортсменів, але й внести конкретні корективи до тренувального процесу, що буде сприяти не тільки підвищенню спортивної підготовки, але й оптимізації здоров’я спортсменів.</w:t>
      </w:r>
    </w:p>
    <w:p w:rsidR="00BF4114" w:rsidRPr="00BF4114" w:rsidRDefault="00BF4114" w:rsidP="00BF41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основних переваг використаних методик повинні бути віднесені також простота, приступність та економічна доцільність, невеликий час, що потрібний на їх проведення. Важливим моментом також є адекватність методик, що дозволяє оцінювати </w:t>
      </w:r>
      <w:proofErr w:type="spellStart"/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морфофункціональні</w:t>
      </w:r>
      <w:proofErr w:type="spellEnd"/>
      <w:r w:rsidRPr="00BF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особливості, значущість для конкретного виду спорту.</w:t>
      </w:r>
    </w:p>
    <w:p w:rsidR="00CC5365" w:rsidRPr="00BF4114" w:rsidRDefault="00CC5365">
      <w:pPr>
        <w:rPr>
          <w:lang w:val="uk-UA"/>
        </w:rPr>
      </w:pPr>
      <w:bookmarkStart w:id="0" w:name="_GoBack"/>
      <w:bookmarkEnd w:id="0"/>
    </w:p>
    <w:sectPr w:rsidR="00CC5365" w:rsidRPr="00BF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1"/>
    <w:rsid w:val="00065AA0"/>
    <w:rsid w:val="001B11F9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415C2"/>
    <w:rsid w:val="009B7391"/>
    <w:rsid w:val="00A5025B"/>
    <w:rsid w:val="00A91018"/>
    <w:rsid w:val="00BF4114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2019-05-12T16:09:00Z</dcterms:created>
  <dcterms:modified xsi:type="dcterms:W3CDTF">2019-05-12T16:09:00Z</dcterms:modified>
</cp:coreProperties>
</file>