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5D" w:rsidRPr="0063325D" w:rsidRDefault="0063325D" w:rsidP="0063325D">
      <w:pPr>
        <w:pStyle w:val="a3"/>
        <w:spacing w:before="0" w:beforeAutospacing="0" w:after="0" w:afterAutospacing="0" w:line="360" w:lineRule="auto"/>
        <w:jc w:val="center"/>
        <w:rPr>
          <w:color w:val="000000"/>
          <w:sz w:val="28"/>
          <w:szCs w:val="28"/>
        </w:rPr>
      </w:pPr>
      <w:proofErr w:type="spellStart"/>
      <w:r w:rsidRPr="0063325D">
        <w:rPr>
          <w:color w:val="000000"/>
          <w:sz w:val="28"/>
          <w:szCs w:val="28"/>
        </w:rPr>
        <w:t>Табаченко</w:t>
      </w:r>
      <w:proofErr w:type="spellEnd"/>
      <w:r w:rsidRPr="0063325D">
        <w:rPr>
          <w:color w:val="000000"/>
          <w:sz w:val="28"/>
          <w:szCs w:val="28"/>
        </w:rPr>
        <w:t xml:space="preserve"> О.С., </w:t>
      </w:r>
      <w:proofErr w:type="spellStart"/>
      <w:r w:rsidR="00214786">
        <w:rPr>
          <w:color w:val="000000"/>
          <w:sz w:val="28"/>
          <w:szCs w:val="28"/>
        </w:rPr>
        <w:t>Кісь</w:t>
      </w:r>
      <w:proofErr w:type="spellEnd"/>
      <w:r w:rsidR="00214786">
        <w:rPr>
          <w:color w:val="000000"/>
          <w:sz w:val="28"/>
          <w:szCs w:val="28"/>
        </w:rPr>
        <w:t xml:space="preserve"> С.А., </w:t>
      </w:r>
      <w:proofErr w:type="spellStart"/>
      <w:r w:rsidR="00214786">
        <w:rPr>
          <w:color w:val="000000"/>
          <w:sz w:val="28"/>
          <w:szCs w:val="28"/>
        </w:rPr>
        <w:t>Галаніна</w:t>
      </w:r>
      <w:proofErr w:type="spellEnd"/>
      <w:r w:rsidR="00214786">
        <w:rPr>
          <w:color w:val="000000"/>
          <w:sz w:val="28"/>
          <w:szCs w:val="28"/>
        </w:rPr>
        <w:t xml:space="preserve"> Ю.В.</w:t>
      </w:r>
    </w:p>
    <w:p w:rsidR="00CF765F" w:rsidRPr="0063325D" w:rsidRDefault="00CF765F" w:rsidP="0063325D">
      <w:pPr>
        <w:pStyle w:val="a3"/>
        <w:spacing w:before="0" w:beforeAutospacing="0" w:after="0" w:afterAutospacing="0" w:line="360" w:lineRule="auto"/>
        <w:jc w:val="center"/>
        <w:rPr>
          <w:color w:val="000000"/>
          <w:sz w:val="28"/>
          <w:szCs w:val="28"/>
        </w:rPr>
      </w:pPr>
      <w:r w:rsidRPr="0063325D">
        <w:rPr>
          <w:color w:val="000000"/>
          <w:sz w:val="28"/>
          <w:szCs w:val="28"/>
        </w:rPr>
        <w:t>МОДЕЛЬ ПРОГНОЗУ ГІПЕРТРОФІЧНИХ ТИПІВ РЕМОДЕЛЮВАННЯ У ХВОРИХ З АРТЕРІАЛЬНОЮ ГІПЕРТЕНЗІЄЮ ТА ЦУКРОВИМ ДІАБЕТОМ 2 ТИПУ З ЗАЛУЧЕННЯМ АДИПОЦИТАРНИХ МЕДІАТОРІВ АПЕЛІНУ-12 ТА ОБЕСТАТИНУ.</w:t>
      </w:r>
    </w:p>
    <w:p w:rsidR="00CF765F" w:rsidRPr="0063325D" w:rsidRDefault="00CF765F" w:rsidP="0063325D">
      <w:pPr>
        <w:pStyle w:val="a3"/>
        <w:spacing w:before="0" w:beforeAutospacing="0" w:after="0" w:afterAutospacing="0" w:line="360" w:lineRule="auto"/>
        <w:jc w:val="center"/>
        <w:textAlignment w:val="baseline"/>
        <w:rPr>
          <w:color w:val="000000"/>
          <w:sz w:val="28"/>
          <w:szCs w:val="28"/>
        </w:rPr>
      </w:pPr>
      <w:r w:rsidRPr="0063325D">
        <w:rPr>
          <w:color w:val="000000"/>
          <w:sz w:val="28"/>
          <w:szCs w:val="28"/>
        </w:rPr>
        <w:t>Харківський національний медичний університет</w:t>
      </w:r>
    </w:p>
    <w:p w:rsidR="0063325D" w:rsidRPr="0063325D" w:rsidRDefault="00CF765F" w:rsidP="0063325D">
      <w:pPr>
        <w:pStyle w:val="a3"/>
        <w:spacing w:before="0" w:beforeAutospacing="0" w:after="0" w:afterAutospacing="0" w:line="360" w:lineRule="auto"/>
        <w:jc w:val="center"/>
        <w:textAlignment w:val="baseline"/>
        <w:rPr>
          <w:color w:val="000000"/>
          <w:sz w:val="28"/>
          <w:szCs w:val="28"/>
        </w:rPr>
      </w:pPr>
      <w:r w:rsidRPr="0063325D">
        <w:rPr>
          <w:color w:val="000000"/>
          <w:sz w:val="28"/>
          <w:szCs w:val="28"/>
        </w:rPr>
        <w:t xml:space="preserve">Кафедра внутрішньої медицини №2, клінічної імунології та алергології </w:t>
      </w:r>
    </w:p>
    <w:p w:rsidR="00CF765F" w:rsidRDefault="0063325D" w:rsidP="0063325D">
      <w:pPr>
        <w:pStyle w:val="a3"/>
        <w:spacing w:before="0" w:beforeAutospacing="0" w:after="0" w:afterAutospacing="0" w:line="360" w:lineRule="auto"/>
        <w:jc w:val="center"/>
        <w:textAlignment w:val="baseline"/>
        <w:rPr>
          <w:color w:val="000000"/>
          <w:sz w:val="28"/>
          <w:szCs w:val="28"/>
        </w:rPr>
      </w:pPr>
      <w:r w:rsidRPr="0063325D">
        <w:rPr>
          <w:color w:val="000000"/>
          <w:sz w:val="28"/>
          <w:szCs w:val="28"/>
        </w:rPr>
        <w:t>ім</w:t>
      </w:r>
      <w:r w:rsidRPr="004C1EE5">
        <w:rPr>
          <w:color w:val="000000"/>
          <w:sz w:val="28"/>
          <w:szCs w:val="28"/>
        </w:rPr>
        <w:t xml:space="preserve">ені </w:t>
      </w:r>
      <w:r w:rsidRPr="0063325D">
        <w:rPr>
          <w:color w:val="000000"/>
          <w:sz w:val="28"/>
          <w:szCs w:val="28"/>
        </w:rPr>
        <w:t>академіка</w:t>
      </w:r>
      <w:r w:rsidR="00CF765F" w:rsidRPr="0063325D">
        <w:rPr>
          <w:color w:val="000000"/>
          <w:sz w:val="28"/>
          <w:szCs w:val="28"/>
        </w:rPr>
        <w:t xml:space="preserve"> </w:t>
      </w:r>
      <w:proofErr w:type="spellStart"/>
      <w:r w:rsidR="00CF765F" w:rsidRPr="0063325D">
        <w:rPr>
          <w:color w:val="000000"/>
          <w:sz w:val="28"/>
          <w:szCs w:val="28"/>
        </w:rPr>
        <w:t>Л.Т.Малої</w:t>
      </w:r>
      <w:proofErr w:type="spellEnd"/>
      <w:r w:rsidRPr="0063325D">
        <w:rPr>
          <w:color w:val="000000"/>
          <w:sz w:val="28"/>
          <w:szCs w:val="28"/>
        </w:rPr>
        <w:t>, м. Харків Україна.</w:t>
      </w:r>
    </w:p>
    <w:p w:rsidR="004C1EE5" w:rsidRPr="0063325D" w:rsidRDefault="004C1EE5" w:rsidP="0063325D">
      <w:pPr>
        <w:pStyle w:val="a3"/>
        <w:spacing w:before="0" w:beforeAutospacing="0" w:after="0" w:afterAutospacing="0" w:line="360" w:lineRule="auto"/>
        <w:jc w:val="center"/>
        <w:textAlignment w:val="baseline"/>
        <w:rPr>
          <w:color w:val="000000"/>
          <w:sz w:val="28"/>
          <w:szCs w:val="28"/>
        </w:rPr>
      </w:pPr>
      <w:r>
        <w:rPr>
          <w:color w:val="000000"/>
          <w:sz w:val="28"/>
          <w:szCs w:val="28"/>
        </w:rPr>
        <w:t xml:space="preserve">Науковий керівник – професор </w:t>
      </w:r>
      <w:proofErr w:type="spellStart"/>
      <w:r>
        <w:rPr>
          <w:color w:val="000000"/>
          <w:sz w:val="28"/>
          <w:szCs w:val="28"/>
        </w:rPr>
        <w:t>Кравчун</w:t>
      </w:r>
      <w:proofErr w:type="spellEnd"/>
      <w:r>
        <w:rPr>
          <w:color w:val="000000"/>
          <w:sz w:val="28"/>
          <w:szCs w:val="28"/>
        </w:rPr>
        <w:t xml:space="preserve"> П.Г.</w:t>
      </w:r>
      <w:bookmarkStart w:id="0" w:name="_GoBack"/>
      <w:bookmarkEnd w:id="0"/>
    </w:p>
    <w:p w:rsidR="00CF765F" w:rsidRPr="0063325D" w:rsidRDefault="0063325D" w:rsidP="0063325D">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Мета. О</w:t>
      </w:r>
      <w:r w:rsidR="00CF765F" w:rsidRPr="0063325D">
        <w:rPr>
          <w:rFonts w:ascii="Times New Roman" w:hAnsi="Times New Roman"/>
          <w:color w:val="000000"/>
          <w:sz w:val="28"/>
          <w:szCs w:val="28"/>
        </w:rPr>
        <w:t xml:space="preserve">цінити </w:t>
      </w:r>
      <w:proofErr w:type="spellStart"/>
      <w:r w:rsidR="00CF765F" w:rsidRPr="0063325D">
        <w:rPr>
          <w:rFonts w:ascii="Times New Roman" w:hAnsi="Times New Roman"/>
          <w:color w:val="000000"/>
          <w:sz w:val="28"/>
          <w:szCs w:val="28"/>
        </w:rPr>
        <w:t>предикторні</w:t>
      </w:r>
      <w:proofErr w:type="spellEnd"/>
      <w:r w:rsidR="00CF765F" w:rsidRPr="0063325D">
        <w:rPr>
          <w:rFonts w:ascii="Times New Roman" w:hAnsi="Times New Roman"/>
          <w:color w:val="000000"/>
          <w:sz w:val="28"/>
          <w:szCs w:val="28"/>
        </w:rPr>
        <w:t xml:space="preserve"> властивості апеліну-12 та </w:t>
      </w:r>
      <w:proofErr w:type="spellStart"/>
      <w:r w:rsidR="00CF765F" w:rsidRPr="0063325D">
        <w:rPr>
          <w:rFonts w:ascii="Times New Roman" w:hAnsi="Times New Roman"/>
          <w:color w:val="000000"/>
          <w:sz w:val="28"/>
          <w:szCs w:val="28"/>
        </w:rPr>
        <w:t>обестатину</w:t>
      </w:r>
      <w:proofErr w:type="spellEnd"/>
      <w:r w:rsidR="00CF765F" w:rsidRPr="0063325D">
        <w:rPr>
          <w:rFonts w:ascii="Times New Roman" w:hAnsi="Times New Roman"/>
          <w:color w:val="000000"/>
          <w:sz w:val="28"/>
          <w:szCs w:val="28"/>
        </w:rPr>
        <w:t xml:space="preserve"> у відношенні структурно-функціональних змін міокарда у хворих з АГ та ЦД 2 типу, а також побудова моделі, що дозволяє прогнозувати розвиток гіпертрофічних типів ремоделювання, а саме концентричної гіпертрофії (КГ) або ексцентричної гіпертрофії (ЕГ) міокарда лівого шлуночка, на підставі рівнів апеліну-12 та </w:t>
      </w:r>
      <w:proofErr w:type="spellStart"/>
      <w:r w:rsidR="00CF765F" w:rsidRPr="0063325D">
        <w:rPr>
          <w:rFonts w:ascii="Times New Roman" w:hAnsi="Times New Roman"/>
          <w:color w:val="000000"/>
          <w:sz w:val="28"/>
          <w:szCs w:val="28"/>
        </w:rPr>
        <w:t>обестатину</w:t>
      </w:r>
      <w:proofErr w:type="spellEnd"/>
      <w:r w:rsidR="00CF765F" w:rsidRPr="0063325D">
        <w:rPr>
          <w:rFonts w:ascii="Times New Roman" w:hAnsi="Times New Roman"/>
          <w:color w:val="000000"/>
          <w:sz w:val="28"/>
          <w:szCs w:val="28"/>
        </w:rPr>
        <w:t xml:space="preserve"> з залученням рутинних лабораторних даних пацієнтів (глікемії, параметрів </w:t>
      </w:r>
      <w:proofErr w:type="spellStart"/>
      <w:r w:rsidR="00CF765F" w:rsidRPr="0063325D">
        <w:rPr>
          <w:rFonts w:ascii="Times New Roman" w:hAnsi="Times New Roman"/>
          <w:color w:val="000000"/>
          <w:sz w:val="28"/>
          <w:szCs w:val="28"/>
        </w:rPr>
        <w:t>ліпідограми</w:t>
      </w:r>
      <w:proofErr w:type="spellEnd"/>
      <w:r w:rsidR="00CF765F" w:rsidRPr="0063325D">
        <w:rPr>
          <w:rFonts w:ascii="Times New Roman" w:hAnsi="Times New Roman"/>
          <w:color w:val="000000"/>
          <w:sz w:val="28"/>
          <w:szCs w:val="28"/>
        </w:rPr>
        <w:t>).</w:t>
      </w:r>
    </w:p>
    <w:p w:rsidR="00CF765F" w:rsidRPr="0063325D" w:rsidRDefault="00CF765F" w:rsidP="0063325D">
      <w:pPr>
        <w:spacing w:after="0" w:line="360" w:lineRule="auto"/>
        <w:ind w:firstLine="708"/>
        <w:jc w:val="both"/>
        <w:rPr>
          <w:rFonts w:ascii="Times New Roman" w:hAnsi="Times New Roman"/>
          <w:color w:val="000000"/>
          <w:sz w:val="28"/>
          <w:szCs w:val="28"/>
        </w:rPr>
      </w:pPr>
      <w:r w:rsidRPr="0063325D">
        <w:rPr>
          <w:rFonts w:ascii="Times New Roman" w:hAnsi="Times New Roman"/>
          <w:color w:val="000000"/>
          <w:sz w:val="28"/>
          <w:szCs w:val="28"/>
        </w:rPr>
        <w:t>Матеріали і методи дослідження. Для збільшення якості прогнозу ми замінили кількісні змінні їх поданням у ранжируваному вигляді. Ранг показника (у нашому випадку 0 або 1) призначався залежно від того більше або менше його значення ніж точка поділу (</w:t>
      </w:r>
      <w:proofErr w:type="spellStart"/>
      <w:r w:rsidRPr="0063325D">
        <w:rPr>
          <w:rFonts w:ascii="Times New Roman" w:hAnsi="Times New Roman"/>
          <w:color w:val="000000"/>
          <w:sz w:val="28"/>
          <w:szCs w:val="28"/>
        </w:rPr>
        <w:t>cut-off</w:t>
      </w:r>
      <w:proofErr w:type="spellEnd"/>
      <w:r w:rsidRPr="0063325D">
        <w:rPr>
          <w:rFonts w:ascii="Times New Roman" w:hAnsi="Times New Roman"/>
          <w:color w:val="000000"/>
          <w:sz w:val="28"/>
          <w:szCs w:val="28"/>
        </w:rPr>
        <w:t xml:space="preserve"> </w:t>
      </w:r>
      <w:proofErr w:type="spellStart"/>
      <w:r w:rsidRPr="0063325D">
        <w:rPr>
          <w:rFonts w:ascii="Times New Roman" w:hAnsi="Times New Roman"/>
          <w:color w:val="000000"/>
          <w:sz w:val="28"/>
          <w:szCs w:val="28"/>
        </w:rPr>
        <w:t>value</w:t>
      </w:r>
      <w:proofErr w:type="spellEnd"/>
      <w:r w:rsidRPr="0063325D">
        <w:rPr>
          <w:rFonts w:ascii="Times New Roman" w:hAnsi="Times New Roman"/>
          <w:color w:val="000000"/>
          <w:sz w:val="28"/>
          <w:szCs w:val="28"/>
        </w:rPr>
        <w:t>) – величина при якій сума чутливості та специфічності досліджуваного незалежного показника по відношенню до прогнозованого є максимальною. Вибір точки поділу проводили шляхом побудови ROC (</w:t>
      </w:r>
      <w:proofErr w:type="spellStart"/>
      <w:r w:rsidRPr="0063325D">
        <w:rPr>
          <w:rFonts w:ascii="Times New Roman" w:hAnsi="Times New Roman"/>
          <w:color w:val="000000"/>
          <w:sz w:val="28"/>
          <w:szCs w:val="28"/>
        </w:rPr>
        <w:t>Receiver</w:t>
      </w:r>
      <w:proofErr w:type="spellEnd"/>
      <w:r w:rsidRPr="0063325D">
        <w:rPr>
          <w:rFonts w:ascii="Times New Roman" w:hAnsi="Times New Roman"/>
          <w:color w:val="000000"/>
          <w:sz w:val="28"/>
          <w:szCs w:val="28"/>
        </w:rPr>
        <w:t xml:space="preserve"> </w:t>
      </w:r>
      <w:proofErr w:type="spellStart"/>
      <w:r w:rsidRPr="0063325D">
        <w:rPr>
          <w:rFonts w:ascii="Times New Roman" w:hAnsi="Times New Roman"/>
          <w:color w:val="000000"/>
          <w:sz w:val="28"/>
          <w:szCs w:val="28"/>
        </w:rPr>
        <w:t>Operator</w:t>
      </w:r>
      <w:proofErr w:type="spellEnd"/>
      <w:r w:rsidRPr="0063325D">
        <w:rPr>
          <w:rFonts w:ascii="Times New Roman" w:hAnsi="Times New Roman"/>
          <w:color w:val="000000"/>
          <w:sz w:val="28"/>
          <w:szCs w:val="28"/>
        </w:rPr>
        <w:t xml:space="preserve"> </w:t>
      </w:r>
      <w:proofErr w:type="spellStart"/>
      <w:r w:rsidRPr="0063325D">
        <w:rPr>
          <w:rFonts w:ascii="Times New Roman" w:hAnsi="Times New Roman"/>
          <w:color w:val="000000"/>
          <w:sz w:val="28"/>
          <w:szCs w:val="28"/>
        </w:rPr>
        <w:t>Characteristic</w:t>
      </w:r>
      <w:proofErr w:type="spellEnd"/>
      <w:r w:rsidRPr="0063325D">
        <w:rPr>
          <w:rFonts w:ascii="Times New Roman" w:hAnsi="Times New Roman"/>
          <w:color w:val="000000"/>
          <w:sz w:val="28"/>
          <w:szCs w:val="28"/>
        </w:rPr>
        <w:t xml:space="preserve">) кривих на плоскості чутливість – специфічність. Площа під такою кривою – є інтегральною характеристикою прогностичних якостей досліджуваного </w:t>
      </w:r>
      <w:proofErr w:type="spellStart"/>
      <w:r w:rsidRPr="0063325D">
        <w:rPr>
          <w:rFonts w:ascii="Times New Roman" w:hAnsi="Times New Roman"/>
          <w:color w:val="000000"/>
          <w:sz w:val="28"/>
          <w:szCs w:val="28"/>
        </w:rPr>
        <w:t>предиктора</w:t>
      </w:r>
      <w:proofErr w:type="spellEnd"/>
      <w:r w:rsidRPr="0063325D">
        <w:rPr>
          <w:rFonts w:ascii="Times New Roman" w:hAnsi="Times New Roman"/>
          <w:color w:val="000000"/>
          <w:sz w:val="28"/>
          <w:szCs w:val="28"/>
        </w:rPr>
        <w:t>. Під час побудови моделі використано метод логістичної регресії.</w:t>
      </w:r>
    </w:p>
    <w:p w:rsidR="00CF765F" w:rsidRPr="0063325D" w:rsidRDefault="00CF765F" w:rsidP="0063325D">
      <w:pPr>
        <w:spacing w:after="0" w:line="360" w:lineRule="auto"/>
        <w:ind w:firstLine="708"/>
        <w:jc w:val="both"/>
        <w:rPr>
          <w:rFonts w:ascii="Times New Roman" w:hAnsi="Times New Roman"/>
          <w:color w:val="000000"/>
          <w:sz w:val="28"/>
          <w:szCs w:val="28"/>
        </w:rPr>
      </w:pPr>
      <w:r w:rsidRPr="0063325D">
        <w:rPr>
          <w:rFonts w:ascii="Times New Roman" w:hAnsi="Times New Roman"/>
          <w:color w:val="000000"/>
          <w:sz w:val="28"/>
          <w:szCs w:val="28"/>
        </w:rPr>
        <w:t xml:space="preserve">Результати дослідження. Найбільш придатною для вирішення поставленої задачі є метод </w:t>
      </w:r>
      <w:hyperlink w:anchor="LOGIT" w:history="1">
        <w:r w:rsidRPr="0063325D">
          <w:rPr>
            <w:rStyle w:val="a4"/>
            <w:rFonts w:ascii="Times New Roman" w:hAnsi="Times New Roman"/>
            <w:color w:val="000000"/>
            <w:sz w:val="28"/>
            <w:szCs w:val="28"/>
            <w:u w:val="none"/>
          </w:rPr>
          <w:t>логістичної регресії</w:t>
        </w:r>
      </w:hyperlink>
      <w:r w:rsidRPr="0063325D">
        <w:rPr>
          <w:rFonts w:ascii="Times New Roman" w:hAnsi="Times New Roman"/>
          <w:color w:val="000000"/>
          <w:sz w:val="28"/>
          <w:szCs w:val="28"/>
        </w:rPr>
        <w:t xml:space="preserve">. Для дихотомічної логістичної регресії прогнозована змінна, має лише два значення: «1» – подія відбулася та «0» у </w:t>
      </w:r>
      <w:r w:rsidRPr="0063325D">
        <w:rPr>
          <w:rFonts w:ascii="Times New Roman" w:hAnsi="Times New Roman"/>
          <w:color w:val="000000"/>
          <w:sz w:val="28"/>
          <w:szCs w:val="28"/>
        </w:rPr>
        <w:lastRenderedPageBreak/>
        <w:t xml:space="preserve">супротивному випадку. Результат підрахунку при проведенні прогнозу попадає в інтервал 0 – 1 і може бути інтерпретований, як імовірність прогнозованої події. Кожний з коефіцієнтів пропорційний вкладу незалежної змінної в прогнозований показник. Використовувався метод покрокової регресії, що дозволяє включати в модель лише </w:t>
      </w:r>
      <w:proofErr w:type="spellStart"/>
      <w:r w:rsidRPr="0063325D">
        <w:rPr>
          <w:rFonts w:ascii="Times New Roman" w:hAnsi="Times New Roman"/>
          <w:color w:val="000000"/>
          <w:sz w:val="28"/>
          <w:szCs w:val="28"/>
        </w:rPr>
        <w:t>предиктори</w:t>
      </w:r>
      <w:proofErr w:type="spellEnd"/>
      <w:r w:rsidRPr="0063325D">
        <w:rPr>
          <w:rFonts w:ascii="Times New Roman" w:hAnsi="Times New Roman"/>
          <w:color w:val="000000"/>
          <w:sz w:val="28"/>
          <w:szCs w:val="28"/>
        </w:rPr>
        <w:t xml:space="preserve"> з суттєвим вкладом у прогноз. Відносний внесок окремих </w:t>
      </w:r>
      <w:proofErr w:type="spellStart"/>
      <w:r w:rsidRPr="0063325D">
        <w:rPr>
          <w:rFonts w:ascii="Times New Roman" w:hAnsi="Times New Roman"/>
          <w:color w:val="000000"/>
          <w:sz w:val="28"/>
          <w:szCs w:val="28"/>
        </w:rPr>
        <w:t>предикторів</w:t>
      </w:r>
      <w:proofErr w:type="spellEnd"/>
      <w:r w:rsidRPr="0063325D">
        <w:rPr>
          <w:rFonts w:ascii="Times New Roman" w:hAnsi="Times New Roman"/>
          <w:color w:val="000000"/>
          <w:sz w:val="28"/>
          <w:szCs w:val="28"/>
        </w:rPr>
        <w:t xml:space="preserve"> виражається величиною статистики (WaldChi-Square). У модель включали змінні, що оцінюють стан вуглеводного і ліпідного обмінів, а також апелін-12 та обестатин у хворих з АГ та ЦД 2 типу. Після відсівання менш значущих </w:t>
      </w:r>
      <w:proofErr w:type="spellStart"/>
      <w:r w:rsidRPr="0063325D">
        <w:rPr>
          <w:rFonts w:ascii="Times New Roman" w:hAnsi="Times New Roman"/>
          <w:color w:val="000000"/>
          <w:sz w:val="28"/>
          <w:szCs w:val="28"/>
        </w:rPr>
        <w:t>предикторів</w:t>
      </w:r>
      <w:proofErr w:type="spellEnd"/>
      <w:r w:rsidRPr="0063325D">
        <w:rPr>
          <w:rFonts w:ascii="Times New Roman" w:hAnsi="Times New Roman"/>
          <w:color w:val="000000"/>
          <w:sz w:val="28"/>
          <w:szCs w:val="28"/>
        </w:rPr>
        <w:t xml:space="preserve"> отримали наступний набір з 4 змінних для пацієнтів з АГ та ЦД 2 типу: апелін-12, обестатин, загальний холестерин (ЗХ) та ліпопротеїди низької щільності (ЛПНЩ). Наявність гіпертрофічних типів ремоделювання (КГ або ЕГ) кодували значенням 1, відсутність як 0. Логістична модель, що включає наведені показники дозволила прогнозувати розвиток серцево-судинних ускладнень з чутливістю 93% і специфічністю 68%. Діагностична ефективність моделі складає 86%. Отже, серед усіх показників, що вивчалися найбільшу чутливість у прогнозуванні розвитку гіпертрофічних типів ремоделювання мали рівень апеліну-12, </w:t>
      </w:r>
      <w:proofErr w:type="spellStart"/>
      <w:r w:rsidRPr="0063325D">
        <w:rPr>
          <w:rFonts w:ascii="Times New Roman" w:hAnsi="Times New Roman"/>
          <w:color w:val="000000"/>
          <w:sz w:val="28"/>
          <w:szCs w:val="28"/>
        </w:rPr>
        <w:t>обестатину</w:t>
      </w:r>
      <w:proofErr w:type="spellEnd"/>
      <w:r w:rsidRPr="0063325D">
        <w:rPr>
          <w:rFonts w:ascii="Times New Roman" w:hAnsi="Times New Roman"/>
          <w:color w:val="000000"/>
          <w:sz w:val="28"/>
          <w:szCs w:val="28"/>
        </w:rPr>
        <w:t xml:space="preserve">, ЗХ, ЛПНЩ, тому ми можемо стверджувати, що ці показники є маркерами, що володіють </w:t>
      </w:r>
      <w:proofErr w:type="spellStart"/>
      <w:r w:rsidRPr="0063325D">
        <w:rPr>
          <w:rFonts w:ascii="Times New Roman" w:hAnsi="Times New Roman"/>
          <w:color w:val="000000"/>
          <w:sz w:val="28"/>
          <w:szCs w:val="28"/>
        </w:rPr>
        <w:t>предикторністю</w:t>
      </w:r>
      <w:proofErr w:type="spellEnd"/>
      <w:r w:rsidRPr="0063325D">
        <w:rPr>
          <w:rFonts w:ascii="Times New Roman" w:hAnsi="Times New Roman"/>
          <w:color w:val="000000"/>
          <w:sz w:val="28"/>
          <w:szCs w:val="28"/>
        </w:rPr>
        <w:t xml:space="preserve"> щодо ремоделювання ЛШ у хворих з АГ та ЦД 2 типу. </w:t>
      </w:r>
    </w:p>
    <w:p w:rsidR="00EF6847" w:rsidRPr="0063325D" w:rsidRDefault="00CF765F" w:rsidP="0063325D">
      <w:pPr>
        <w:spacing w:line="360" w:lineRule="auto"/>
        <w:ind w:firstLine="708"/>
        <w:jc w:val="both"/>
        <w:rPr>
          <w:rFonts w:ascii="Times New Roman" w:hAnsi="Times New Roman"/>
          <w:color w:val="000000"/>
          <w:sz w:val="28"/>
          <w:szCs w:val="28"/>
        </w:rPr>
      </w:pPr>
      <w:r w:rsidRPr="0063325D">
        <w:rPr>
          <w:rFonts w:ascii="Times New Roman" w:hAnsi="Times New Roman"/>
          <w:color w:val="000000"/>
          <w:sz w:val="28"/>
          <w:szCs w:val="28"/>
        </w:rPr>
        <w:t xml:space="preserve">Висновки. </w:t>
      </w:r>
      <w:proofErr w:type="spellStart"/>
      <w:r w:rsidRPr="0063325D">
        <w:rPr>
          <w:rFonts w:ascii="Times New Roman" w:hAnsi="Times New Roman"/>
          <w:color w:val="000000"/>
          <w:sz w:val="28"/>
          <w:szCs w:val="28"/>
        </w:rPr>
        <w:t>Апелінемія</w:t>
      </w:r>
      <w:proofErr w:type="spellEnd"/>
      <w:r w:rsidRPr="0063325D">
        <w:rPr>
          <w:rFonts w:ascii="Times New Roman" w:hAnsi="Times New Roman"/>
          <w:color w:val="000000"/>
          <w:sz w:val="28"/>
          <w:szCs w:val="28"/>
        </w:rPr>
        <w:t xml:space="preserve"> при рівні менше 1,3 </w:t>
      </w:r>
      <w:proofErr w:type="spellStart"/>
      <w:r w:rsidRPr="0063325D">
        <w:rPr>
          <w:rFonts w:ascii="Times New Roman" w:hAnsi="Times New Roman"/>
          <w:color w:val="000000"/>
          <w:sz w:val="28"/>
          <w:szCs w:val="28"/>
        </w:rPr>
        <w:t>нг</w:t>
      </w:r>
      <w:proofErr w:type="spellEnd"/>
      <w:r w:rsidRPr="0063325D">
        <w:rPr>
          <w:rFonts w:ascii="Times New Roman" w:hAnsi="Times New Roman"/>
          <w:color w:val="000000"/>
          <w:sz w:val="28"/>
          <w:szCs w:val="28"/>
        </w:rPr>
        <w:t xml:space="preserve">/мл виявляє прогностичні властивості щодо розвитку гіпертрофії лівого шлуночка у хворих з коморбідністю АГ та ЦД 2 типу. Залучення до моделі прогнозу типів ремоделювання ЛШ у хворих з АГ та ЦД 2 типу концентрацій апеліну-12 та </w:t>
      </w:r>
      <w:proofErr w:type="spellStart"/>
      <w:r w:rsidRPr="0063325D">
        <w:rPr>
          <w:rFonts w:ascii="Times New Roman" w:hAnsi="Times New Roman"/>
          <w:color w:val="000000"/>
          <w:sz w:val="28"/>
          <w:szCs w:val="28"/>
        </w:rPr>
        <w:t>обестатину</w:t>
      </w:r>
      <w:proofErr w:type="spellEnd"/>
      <w:r w:rsidRPr="0063325D">
        <w:rPr>
          <w:rFonts w:ascii="Times New Roman" w:hAnsi="Times New Roman"/>
          <w:color w:val="000000"/>
          <w:sz w:val="28"/>
          <w:szCs w:val="28"/>
        </w:rPr>
        <w:t xml:space="preserve"> демонструє високу </w:t>
      </w:r>
      <w:proofErr w:type="spellStart"/>
      <w:r w:rsidRPr="0063325D">
        <w:rPr>
          <w:rFonts w:ascii="Times New Roman" w:hAnsi="Times New Roman"/>
          <w:color w:val="000000"/>
          <w:sz w:val="28"/>
          <w:szCs w:val="28"/>
        </w:rPr>
        <w:t>предикторну</w:t>
      </w:r>
      <w:proofErr w:type="spellEnd"/>
      <w:r w:rsidRPr="0063325D">
        <w:rPr>
          <w:rFonts w:ascii="Times New Roman" w:hAnsi="Times New Roman"/>
          <w:color w:val="000000"/>
          <w:sz w:val="28"/>
          <w:szCs w:val="28"/>
        </w:rPr>
        <w:t xml:space="preserve"> інформативність, що може буде використано з метою оцінки перебігу поєднаної патології. Наявність рутинних маркерів, а саме, фракцій </w:t>
      </w:r>
      <w:proofErr w:type="spellStart"/>
      <w:r w:rsidRPr="0063325D">
        <w:rPr>
          <w:rFonts w:ascii="Times New Roman" w:hAnsi="Times New Roman"/>
          <w:color w:val="000000"/>
          <w:sz w:val="28"/>
          <w:szCs w:val="28"/>
        </w:rPr>
        <w:t>ліпідограми</w:t>
      </w:r>
      <w:proofErr w:type="spellEnd"/>
      <w:r w:rsidRPr="0063325D">
        <w:rPr>
          <w:rFonts w:ascii="Times New Roman" w:hAnsi="Times New Roman"/>
          <w:color w:val="000000"/>
          <w:sz w:val="28"/>
          <w:szCs w:val="28"/>
        </w:rPr>
        <w:t>, у складі моделі прогнозу гіпертрофічних типів ремоделювання ЛШ обумовлює можливість його практичного застосування з метою прогнозу.</w:t>
      </w:r>
    </w:p>
    <w:sectPr w:rsidR="00EF6847" w:rsidRPr="0063325D" w:rsidSect="0063325D">
      <w:pgSz w:w="12240" w:h="15840"/>
      <w:pgMar w:top="1135" w:right="104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F765F"/>
    <w:rsid w:val="00047020"/>
    <w:rsid w:val="00214786"/>
    <w:rsid w:val="00384815"/>
    <w:rsid w:val="004C1EE5"/>
    <w:rsid w:val="0063325D"/>
    <w:rsid w:val="00CF765F"/>
    <w:rsid w:val="00E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E8AE"/>
  <w15:docId w15:val="{A3F19C3D-E831-4E3D-B393-DB2CC6AB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65F"/>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65F"/>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CF7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aborovyk</dc:creator>
  <cp:keywords/>
  <dc:description/>
  <cp:lastModifiedBy>Kostr</cp:lastModifiedBy>
  <cp:revision>5</cp:revision>
  <dcterms:created xsi:type="dcterms:W3CDTF">2019-01-03T08:22:00Z</dcterms:created>
  <dcterms:modified xsi:type="dcterms:W3CDTF">2019-01-03T19:42:00Z</dcterms:modified>
</cp:coreProperties>
</file>