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FC" w:rsidRPr="00DE5EFC" w:rsidRDefault="00DE5EFC" w:rsidP="00DE5EFC">
      <w:pPr>
        <w:shd w:val="clear" w:color="auto" w:fill="FFFFFF"/>
        <w:spacing w:after="0" w:line="360" w:lineRule="auto"/>
        <w:jc w:val="center"/>
        <w:rPr>
          <w:rFonts w:eastAsia="Times New Roman"/>
          <w:color w:val="000000"/>
          <w:spacing w:val="-6"/>
          <w:szCs w:val="20"/>
          <w:lang w:eastAsia="ru-RU"/>
        </w:rPr>
      </w:pPr>
      <w:bookmarkStart w:id="0" w:name="_GoBack"/>
      <w:bookmarkEnd w:id="0"/>
      <w:r w:rsidRPr="00DE5EFC">
        <w:rPr>
          <w:rFonts w:eastAsia="Times New Roman"/>
          <w:color w:val="000000"/>
          <w:spacing w:val="-6"/>
          <w:szCs w:val="20"/>
          <w:lang w:val="ru-RU" w:eastAsia="ru-RU"/>
        </w:rPr>
        <w:t>Х</w:t>
      </w:r>
      <w:r w:rsidRPr="00DE5EFC">
        <w:rPr>
          <w:rFonts w:eastAsia="Times New Roman"/>
          <w:color w:val="000000"/>
          <w:spacing w:val="-6"/>
          <w:szCs w:val="20"/>
          <w:lang w:eastAsia="ru-RU"/>
        </w:rPr>
        <w:t>АРКІВСЬКИЙ НАЦІОНАЛЬНИЙ МЕДИЧНИЙ УНІВЕРСИТЕТ</w:t>
      </w:r>
    </w:p>
    <w:p w:rsidR="00DE5EFC" w:rsidRPr="00DE5EFC" w:rsidRDefault="00DE5EFC" w:rsidP="00DE5EFC">
      <w:pPr>
        <w:shd w:val="clear" w:color="auto" w:fill="FFFFFF"/>
        <w:spacing w:after="0" w:line="360" w:lineRule="auto"/>
        <w:jc w:val="center"/>
        <w:rPr>
          <w:rFonts w:eastAsia="Times New Roman"/>
          <w:color w:val="000000"/>
          <w:spacing w:val="-6"/>
          <w:szCs w:val="20"/>
          <w:lang w:eastAsia="ru-RU"/>
        </w:rPr>
      </w:pPr>
      <w:r w:rsidRPr="00DE5EFC">
        <w:rPr>
          <w:rFonts w:eastAsia="Times New Roman"/>
          <w:color w:val="000000"/>
          <w:spacing w:val="-6"/>
          <w:szCs w:val="20"/>
          <w:lang w:eastAsia="ru-RU"/>
        </w:rPr>
        <w:t>МІНІСТЕРСТВО ОХОРОНИ ЗДОРОВ′Я УКРАЇНИ</w:t>
      </w:r>
    </w:p>
    <w:p w:rsidR="00DE5EFC" w:rsidRPr="00DE5EFC" w:rsidRDefault="00DE5EFC" w:rsidP="00DE5EFC">
      <w:pPr>
        <w:shd w:val="clear" w:color="auto" w:fill="FFFFFF"/>
        <w:spacing w:after="0" w:line="360" w:lineRule="auto"/>
        <w:jc w:val="center"/>
        <w:rPr>
          <w:rFonts w:eastAsia="Times New Roman"/>
          <w:color w:val="000000"/>
          <w:spacing w:val="-6"/>
          <w:szCs w:val="20"/>
          <w:lang w:eastAsia="ru-RU"/>
        </w:rPr>
      </w:pPr>
    </w:p>
    <w:p w:rsidR="00DE5EFC" w:rsidRPr="00DE5EFC" w:rsidRDefault="00DE5EFC" w:rsidP="00DE5EFC">
      <w:pPr>
        <w:spacing w:after="0" w:line="360" w:lineRule="auto"/>
        <w:ind w:firstLine="4962"/>
        <w:rPr>
          <w:rFonts w:eastAsia="Calibri"/>
          <w:szCs w:val="28"/>
        </w:rPr>
      </w:pPr>
      <w:r w:rsidRPr="00DE5EFC">
        <w:rPr>
          <w:rFonts w:eastAsia="Calibri"/>
          <w:szCs w:val="28"/>
          <w:lang w:val="ru-RU"/>
        </w:rPr>
        <w:t>Кваліфікаційна наукова праця</w:t>
      </w:r>
    </w:p>
    <w:p w:rsidR="00DE5EFC" w:rsidRPr="00DE5EFC" w:rsidRDefault="00DE5EFC" w:rsidP="00DE5EFC">
      <w:pPr>
        <w:spacing w:after="0" w:line="360" w:lineRule="auto"/>
        <w:ind w:firstLine="4962"/>
        <w:rPr>
          <w:rFonts w:ascii="Calibri" w:eastAsia="Calibri" w:hAnsi="Calibri"/>
          <w:sz w:val="22"/>
          <w:lang w:val="ru-RU"/>
        </w:rPr>
      </w:pPr>
      <w:r w:rsidRPr="00DE5EFC">
        <w:rPr>
          <w:rFonts w:eastAsia="Calibri"/>
          <w:szCs w:val="28"/>
          <w:lang w:val="ru-RU"/>
        </w:rPr>
        <w:t>на правах рукопису</w:t>
      </w:r>
    </w:p>
    <w:p w:rsidR="00DE5EFC" w:rsidRPr="00DE5EFC" w:rsidRDefault="00DE5EFC" w:rsidP="00DE5EFC">
      <w:pPr>
        <w:keepNext/>
        <w:spacing w:before="240" w:after="60" w:line="360" w:lineRule="auto"/>
        <w:jc w:val="center"/>
        <w:outlineLvl w:val="2"/>
        <w:rPr>
          <w:rFonts w:eastAsia="Times New Roman"/>
          <w:bCs/>
          <w:szCs w:val="28"/>
          <w:lang w:eastAsia="ru-RU"/>
        </w:rPr>
      </w:pPr>
      <w:r w:rsidRPr="00F407BB">
        <w:rPr>
          <w:rFonts w:eastAsia="Times New Roman"/>
          <w:bCs/>
          <w:szCs w:val="28"/>
          <w:lang w:val="ru-RU" w:eastAsia="ru-RU"/>
        </w:rPr>
        <w:t>БОРОВИК КАТЕРИНА МИКОЛАЇВНА</w:t>
      </w:r>
    </w:p>
    <w:p w:rsidR="00DE5EFC" w:rsidRPr="00DE5EFC" w:rsidRDefault="00DE5EFC" w:rsidP="00DE5EFC">
      <w:pPr>
        <w:spacing w:after="0" w:line="240" w:lineRule="auto"/>
        <w:jc w:val="center"/>
        <w:rPr>
          <w:rFonts w:eastAsia="Times New Roman"/>
          <w:sz w:val="20"/>
          <w:szCs w:val="20"/>
          <w:lang w:val="ru-RU" w:eastAsia="ru-RU"/>
        </w:rPr>
      </w:pPr>
    </w:p>
    <w:p w:rsidR="00DE5EFC" w:rsidRPr="00162915" w:rsidRDefault="00DE5EFC" w:rsidP="00DE5EFC">
      <w:pPr>
        <w:spacing w:after="0" w:line="240" w:lineRule="auto"/>
        <w:jc w:val="center"/>
        <w:rPr>
          <w:rFonts w:eastAsia="Times New Roman"/>
          <w:szCs w:val="28"/>
          <w:lang w:eastAsia="ru-RU"/>
        </w:rPr>
      </w:pPr>
      <w:r w:rsidRPr="00DE5EFC">
        <w:rPr>
          <w:rFonts w:eastAsia="Times New Roman"/>
          <w:szCs w:val="28"/>
          <w:lang w:val="ru-RU" w:eastAsia="ru-RU"/>
        </w:rPr>
        <w:t xml:space="preserve"> УДК </w:t>
      </w:r>
      <w:r w:rsidRPr="003D34D5">
        <w:rPr>
          <w:rFonts w:eastAsia="Times New Roman"/>
          <w:szCs w:val="28"/>
          <w:lang w:eastAsia="ru-RU"/>
        </w:rPr>
        <w:t xml:space="preserve"> </w:t>
      </w:r>
      <w:r w:rsidRPr="00EE70AD">
        <w:rPr>
          <w:lang w:val="ru-RU"/>
        </w:rPr>
        <w:t>616</w:t>
      </w:r>
      <w:r w:rsidRPr="00043085">
        <w:rPr>
          <w:lang w:val="ru-RU"/>
        </w:rPr>
        <w:t>.</w:t>
      </w:r>
      <w:r w:rsidRPr="00EE70AD">
        <w:rPr>
          <w:lang w:val="ru-RU"/>
        </w:rPr>
        <w:t>127</w:t>
      </w:r>
      <w:r w:rsidRPr="00043085">
        <w:rPr>
          <w:lang w:val="ru-RU"/>
        </w:rPr>
        <w:t>-005.8-036.11-056.52:616.124.2-073.432.19(043.3)</w:t>
      </w:r>
    </w:p>
    <w:p w:rsidR="00DE5EFC" w:rsidRPr="00DE5EFC" w:rsidRDefault="00DE5EFC" w:rsidP="00DE5EFC">
      <w:pPr>
        <w:autoSpaceDE w:val="0"/>
        <w:autoSpaceDN w:val="0"/>
        <w:adjustRightInd w:val="0"/>
        <w:spacing w:after="0" w:line="360" w:lineRule="auto"/>
        <w:jc w:val="center"/>
        <w:rPr>
          <w:rFonts w:eastAsia="Times New Roman"/>
          <w:szCs w:val="28"/>
          <w:lang w:eastAsia="ru-RU"/>
        </w:rPr>
      </w:pPr>
    </w:p>
    <w:p w:rsidR="00DE5EFC" w:rsidRPr="00DE5EFC" w:rsidRDefault="00DE5EFC" w:rsidP="00DE5EFC">
      <w:pPr>
        <w:spacing w:after="0" w:line="360" w:lineRule="auto"/>
        <w:jc w:val="center"/>
        <w:rPr>
          <w:rFonts w:eastAsia="Times New Roman"/>
          <w:b/>
          <w:color w:val="000000"/>
          <w:szCs w:val="28"/>
          <w:lang w:eastAsia="uk-UA"/>
        </w:rPr>
      </w:pPr>
    </w:p>
    <w:p w:rsidR="00DE5EFC" w:rsidRPr="00DE5EFC" w:rsidRDefault="00DE5EFC" w:rsidP="00DE5EFC">
      <w:pPr>
        <w:spacing w:after="0" w:line="360" w:lineRule="auto"/>
        <w:jc w:val="center"/>
        <w:rPr>
          <w:rFonts w:ascii="Calibri" w:eastAsia="Times New Roman" w:hAnsi="Calibri" w:cs="Calibri"/>
          <w:color w:val="000000"/>
          <w:sz w:val="22"/>
          <w:lang w:eastAsia="uk-UA"/>
        </w:rPr>
      </w:pPr>
      <w:r w:rsidRPr="00DE5EFC">
        <w:rPr>
          <w:rFonts w:eastAsia="Times New Roman"/>
          <w:b/>
          <w:color w:val="000000"/>
          <w:szCs w:val="28"/>
          <w:lang w:eastAsia="uk-UA"/>
        </w:rPr>
        <w:t>ДИСЕРТАЦІЯ</w:t>
      </w:r>
    </w:p>
    <w:p w:rsidR="00DE5EFC" w:rsidRDefault="00DE5EFC" w:rsidP="00DE5EFC">
      <w:pPr>
        <w:shd w:val="clear" w:color="auto" w:fill="FFFFFF"/>
        <w:spacing w:before="293" w:after="0" w:line="360" w:lineRule="auto"/>
        <w:ind w:right="53"/>
        <w:jc w:val="center"/>
        <w:rPr>
          <w:szCs w:val="28"/>
          <w:lang w:val="ru-RU"/>
        </w:rPr>
      </w:pPr>
      <w:r w:rsidRPr="00755E61">
        <w:rPr>
          <w:szCs w:val="28"/>
          <w:lang w:val="ru-RU"/>
        </w:rPr>
        <w:t>РОЛЬ ВІТРОНЕКТИНУ ТА ГАЛЕКТИНУ-3 У РОЗВИТКУ ТА ПРОГНОЗУВАННІ ПЕРЕБІГУ ГОСТРОГО ІНФАРКТУ МІОКАРДА У ПОЄДНАННІ З ОЖИРІННЯМ</w:t>
      </w:r>
    </w:p>
    <w:p w:rsidR="00DA239E" w:rsidRPr="00755E61" w:rsidRDefault="00DA239E" w:rsidP="00DE5EFC">
      <w:pPr>
        <w:shd w:val="clear" w:color="auto" w:fill="FFFFFF"/>
        <w:spacing w:before="293" w:after="0" w:line="360" w:lineRule="auto"/>
        <w:ind w:right="53"/>
        <w:jc w:val="center"/>
        <w:rPr>
          <w:szCs w:val="28"/>
        </w:rPr>
      </w:pPr>
    </w:p>
    <w:p w:rsidR="00DE5EFC" w:rsidRPr="00DE5EFC" w:rsidRDefault="00DE5EFC" w:rsidP="00DE5EFC">
      <w:pPr>
        <w:shd w:val="clear" w:color="auto" w:fill="FFFFFF"/>
        <w:spacing w:after="0" w:line="360" w:lineRule="auto"/>
        <w:ind w:right="51"/>
        <w:jc w:val="center"/>
        <w:rPr>
          <w:rFonts w:eastAsia="Times New Roman"/>
          <w:color w:val="000000"/>
          <w:spacing w:val="-4"/>
          <w:szCs w:val="20"/>
          <w:lang w:eastAsia="ru-RU"/>
        </w:rPr>
      </w:pPr>
      <w:r w:rsidRPr="00DE5EFC">
        <w:rPr>
          <w:rFonts w:eastAsia="Times New Roman"/>
          <w:color w:val="000000"/>
          <w:spacing w:val="-4"/>
          <w:szCs w:val="20"/>
          <w:lang w:val="ru-RU" w:eastAsia="ru-RU"/>
        </w:rPr>
        <w:t>14.0</w:t>
      </w:r>
      <w:r w:rsidRPr="00DE5EFC">
        <w:rPr>
          <w:rFonts w:eastAsia="Times New Roman"/>
          <w:color w:val="000000"/>
          <w:spacing w:val="-4"/>
          <w:szCs w:val="20"/>
          <w:lang w:eastAsia="ru-RU"/>
        </w:rPr>
        <w:t>1</w:t>
      </w:r>
      <w:r w:rsidRPr="00DE5EFC">
        <w:rPr>
          <w:rFonts w:eastAsia="Times New Roman"/>
          <w:color w:val="000000"/>
          <w:spacing w:val="-4"/>
          <w:szCs w:val="20"/>
          <w:lang w:val="ru-RU" w:eastAsia="ru-RU"/>
        </w:rPr>
        <w:t xml:space="preserve">.02 – </w:t>
      </w:r>
      <w:r w:rsidRPr="00DE5EFC">
        <w:rPr>
          <w:rFonts w:eastAsia="Times New Roman"/>
          <w:color w:val="000000"/>
          <w:spacing w:val="-4"/>
          <w:szCs w:val="20"/>
          <w:lang w:eastAsia="ru-RU"/>
        </w:rPr>
        <w:t>внутрішні хвороби</w:t>
      </w:r>
    </w:p>
    <w:p w:rsidR="00DE5EFC" w:rsidRPr="00DE5EFC" w:rsidRDefault="00DE5EFC" w:rsidP="00DE5EFC">
      <w:pPr>
        <w:shd w:val="clear" w:color="auto" w:fill="FFFFFF"/>
        <w:spacing w:after="0" w:line="360" w:lineRule="auto"/>
        <w:ind w:right="51"/>
        <w:jc w:val="center"/>
        <w:rPr>
          <w:rFonts w:eastAsia="Times New Roman"/>
          <w:color w:val="000000"/>
          <w:spacing w:val="-4"/>
          <w:szCs w:val="20"/>
          <w:lang w:eastAsia="ru-RU"/>
        </w:rPr>
      </w:pPr>
      <w:r w:rsidRPr="00DE5EFC">
        <w:rPr>
          <w:rFonts w:eastAsia="Times New Roman"/>
          <w:color w:val="000000"/>
          <w:spacing w:val="-4"/>
          <w:szCs w:val="20"/>
          <w:lang w:eastAsia="ru-RU"/>
        </w:rPr>
        <w:t>222 – медицина</w:t>
      </w:r>
    </w:p>
    <w:p w:rsidR="00DE5EFC" w:rsidRDefault="00DE5EFC" w:rsidP="00CE0F75">
      <w:pPr>
        <w:shd w:val="clear" w:color="auto" w:fill="FFFFFF"/>
        <w:spacing w:after="0" w:line="360" w:lineRule="auto"/>
        <w:jc w:val="center"/>
        <w:rPr>
          <w:rFonts w:eastAsia="Times New Roman"/>
          <w:color w:val="000000"/>
          <w:spacing w:val="-6"/>
          <w:szCs w:val="28"/>
          <w:lang w:val="ru-RU" w:eastAsia="uk-UA"/>
        </w:rPr>
      </w:pPr>
      <w:r w:rsidRPr="00DE5EFC">
        <w:rPr>
          <w:rFonts w:eastAsia="Calibri"/>
          <w:szCs w:val="28"/>
          <w:lang w:val="ru-RU"/>
        </w:rPr>
        <w:t>Подається на здобуття наукового ступеня</w:t>
      </w:r>
      <w:r w:rsidRPr="00DE5EFC">
        <w:rPr>
          <w:rFonts w:eastAsia="Times New Roman"/>
          <w:color w:val="000000"/>
          <w:spacing w:val="-6"/>
          <w:szCs w:val="28"/>
          <w:lang w:eastAsia="uk-UA"/>
        </w:rPr>
        <w:t xml:space="preserve"> кандидата медичних наук</w:t>
      </w:r>
    </w:p>
    <w:p w:rsidR="00CE0F75" w:rsidRPr="00CE0F75" w:rsidRDefault="00CE0F75" w:rsidP="00CE0F75">
      <w:pPr>
        <w:shd w:val="clear" w:color="auto" w:fill="FFFFFF"/>
        <w:spacing w:after="0" w:line="360" w:lineRule="auto"/>
        <w:jc w:val="center"/>
        <w:rPr>
          <w:rFonts w:eastAsia="Times New Roman"/>
          <w:color w:val="000000"/>
          <w:spacing w:val="-6"/>
          <w:szCs w:val="28"/>
          <w:lang w:val="ru-RU" w:eastAsia="uk-UA"/>
        </w:rPr>
      </w:pPr>
    </w:p>
    <w:p w:rsidR="00DE5EFC" w:rsidRDefault="00DE5EFC" w:rsidP="00CE0F75">
      <w:pPr>
        <w:shd w:val="clear" w:color="auto" w:fill="FFFFFF"/>
        <w:spacing w:after="0" w:line="360" w:lineRule="auto"/>
        <w:ind w:left="567" w:right="685"/>
        <w:jc w:val="both"/>
        <w:rPr>
          <w:rFonts w:eastAsia="Calibri"/>
          <w:szCs w:val="28"/>
          <w:lang w:val="ru-RU"/>
        </w:rPr>
      </w:pPr>
      <w:r w:rsidRPr="00DE5EFC">
        <w:rPr>
          <w:rFonts w:eastAsia="Calibri"/>
          <w:szCs w:val="28"/>
          <w:lang w:val="ru-RU"/>
        </w:rPr>
        <w:t>Дисертація містить результати власних досліджень. Використання ідей, результатів і текстів інших авторів мають посилання на відповідне джерело</w:t>
      </w:r>
      <w:r w:rsidR="00CE0F75">
        <w:rPr>
          <w:rFonts w:eastAsia="Calibri"/>
          <w:szCs w:val="28"/>
          <w:lang w:val="ru-RU"/>
        </w:rPr>
        <w:t xml:space="preserve"> </w:t>
      </w:r>
      <w:r w:rsidR="00CE0F75">
        <w:rPr>
          <w:rFonts w:eastAsia="Calibri"/>
          <w:szCs w:val="28"/>
          <w:lang w:val="ru-RU"/>
        </w:rPr>
        <w:tab/>
      </w:r>
      <w:r w:rsidR="00CE0F75">
        <w:rPr>
          <w:rFonts w:eastAsia="Calibri"/>
          <w:szCs w:val="28"/>
          <w:lang w:val="ru-RU"/>
        </w:rPr>
        <w:tab/>
      </w:r>
      <w:r w:rsidRPr="00DE5EFC">
        <w:rPr>
          <w:rFonts w:eastAsia="Calibri"/>
          <w:szCs w:val="28"/>
          <w:lang w:val="ru-RU"/>
        </w:rPr>
        <w:t xml:space="preserve"> __________</w:t>
      </w:r>
      <w:r w:rsidR="00DA239E">
        <w:rPr>
          <w:rFonts w:eastAsia="Calibri"/>
          <w:szCs w:val="28"/>
        </w:rPr>
        <w:t>К.М. Боровик</w:t>
      </w:r>
    </w:p>
    <w:p w:rsidR="00CE0F75" w:rsidRPr="00CE0F75" w:rsidRDefault="00CE0F75" w:rsidP="00CE0F75">
      <w:pPr>
        <w:shd w:val="clear" w:color="auto" w:fill="FFFFFF"/>
        <w:spacing w:after="0" w:line="360" w:lineRule="auto"/>
        <w:ind w:left="567" w:right="685"/>
        <w:jc w:val="both"/>
        <w:rPr>
          <w:rFonts w:eastAsia="Times New Roman"/>
          <w:bCs/>
          <w:szCs w:val="28"/>
          <w:lang w:val="ru-RU" w:eastAsia="ru-RU"/>
        </w:rPr>
      </w:pPr>
    </w:p>
    <w:p w:rsidR="00DE5EFC" w:rsidRDefault="00DE5EFC" w:rsidP="00DE5EFC">
      <w:pPr>
        <w:keepNext/>
        <w:spacing w:after="0" w:line="360" w:lineRule="auto"/>
        <w:jc w:val="both"/>
        <w:outlineLvl w:val="3"/>
        <w:rPr>
          <w:rFonts w:eastAsia="Times New Roman"/>
          <w:szCs w:val="28"/>
          <w:lang w:eastAsia="ru-RU"/>
        </w:rPr>
      </w:pPr>
      <w:r w:rsidRPr="00DE5EFC">
        <w:rPr>
          <w:rFonts w:eastAsia="Times New Roman"/>
          <w:bCs/>
          <w:szCs w:val="28"/>
          <w:lang w:eastAsia="ru-RU"/>
        </w:rPr>
        <w:t xml:space="preserve">Науковий керівник: </w:t>
      </w:r>
      <w:r>
        <w:rPr>
          <w:rFonts w:eastAsia="Times New Roman"/>
          <w:szCs w:val="28"/>
          <w:lang w:eastAsia="ru-RU"/>
        </w:rPr>
        <w:t>Риндіна Наталія Геннадіївна</w:t>
      </w:r>
      <w:r w:rsidRPr="00DE5EFC">
        <w:rPr>
          <w:rFonts w:eastAsia="Times New Roman"/>
          <w:szCs w:val="28"/>
          <w:lang w:eastAsia="ru-RU"/>
        </w:rPr>
        <w:t>, доктор медичних наук, професор</w:t>
      </w:r>
    </w:p>
    <w:p w:rsidR="00DA239E" w:rsidRPr="00DE5EFC" w:rsidRDefault="00DA239E" w:rsidP="00DE5EFC">
      <w:pPr>
        <w:keepNext/>
        <w:spacing w:after="0" w:line="360" w:lineRule="auto"/>
        <w:jc w:val="both"/>
        <w:outlineLvl w:val="3"/>
        <w:rPr>
          <w:rFonts w:eastAsia="Times New Roman"/>
          <w:szCs w:val="28"/>
          <w:lang w:eastAsia="ru-RU"/>
        </w:rPr>
      </w:pPr>
    </w:p>
    <w:p w:rsidR="00CE0F75" w:rsidRDefault="00CE0F75" w:rsidP="00DE5EFC">
      <w:pPr>
        <w:spacing w:after="0" w:line="360" w:lineRule="auto"/>
        <w:jc w:val="center"/>
        <w:rPr>
          <w:rFonts w:eastAsia="Times New Roman"/>
          <w:bCs/>
          <w:iCs/>
          <w:szCs w:val="28"/>
          <w:lang w:val="ru-RU" w:eastAsia="ru-RU"/>
        </w:rPr>
      </w:pPr>
    </w:p>
    <w:p w:rsidR="00DE5EFC" w:rsidRDefault="00DE5EFC" w:rsidP="00DE5EFC">
      <w:pPr>
        <w:spacing w:after="0" w:line="360" w:lineRule="auto"/>
        <w:jc w:val="center"/>
        <w:rPr>
          <w:rFonts w:eastAsia="Times New Roman"/>
          <w:bCs/>
          <w:iCs/>
          <w:szCs w:val="28"/>
          <w:lang w:eastAsia="ru-RU"/>
        </w:rPr>
      </w:pPr>
      <w:r w:rsidRPr="00DE5EFC">
        <w:rPr>
          <w:rFonts w:eastAsia="Times New Roman"/>
          <w:bCs/>
          <w:iCs/>
          <w:szCs w:val="28"/>
          <w:lang w:val="ru-RU" w:eastAsia="ru-RU"/>
        </w:rPr>
        <w:t>Харків – 20</w:t>
      </w:r>
      <w:r w:rsidRPr="00DE5EFC">
        <w:rPr>
          <w:rFonts w:eastAsia="Times New Roman"/>
          <w:bCs/>
          <w:iCs/>
          <w:szCs w:val="28"/>
          <w:lang w:eastAsia="ru-RU"/>
        </w:rPr>
        <w:t>1</w:t>
      </w:r>
      <w:r>
        <w:rPr>
          <w:rFonts w:eastAsia="Times New Roman"/>
          <w:bCs/>
          <w:iCs/>
          <w:szCs w:val="28"/>
          <w:lang w:eastAsia="ru-RU"/>
        </w:rPr>
        <w:t>9</w:t>
      </w:r>
      <w:r>
        <w:rPr>
          <w:rFonts w:eastAsia="Times New Roman"/>
          <w:bCs/>
          <w:iCs/>
          <w:szCs w:val="28"/>
          <w:lang w:eastAsia="ru-RU"/>
        </w:rPr>
        <w:br w:type="page"/>
      </w:r>
    </w:p>
    <w:p w:rsidR="00DE5EFC" w:rsidRPr="00550F41" w:rsidRDefault="00DE5EFC" w:rsidP="00DE5EFC">
      <w:pPr>
        <w:shd w:val="clear" w:color="auto" w:fill="FFFFFF"/>
        <w:spacing w:after="0" w:line="360" w:lineRule="auto"/>
        <w:ind w:right="322" w:firstLine="851"/>
        <w:jc w:val="center"/>
        <w:textAlignment w:val="baseline"/>
        <w:rPr>
          <w:rFonts w:eastAsia="Times New Roman"/>
          <w:color w:val="000000"/>
          <w:szCs w:val="28"/>
          <w:lang w:eastAsia="ru-RU"/>
        </w:rPr>
      </w:pPr>
      <w:r w:rsidRPr="00550F41">
        <w:rPr>
          <w:rFonts w:eastAsia="Times New Roman"/>
          <w:b/>
          <w:bCs/>
          <w:color w:val="000000"/>
          <w:szCs w:val="28"/>
          <w:bdr w:val="none" w:sz="0" w:space="0" w:color="auto" w:frame="1"/>
          <w:lang w:eastAsia="ru-RU"/>
        </w:rPr>
        <w:lastRenderedPageBreak/>
        <w:t>АНОТАЦІЯ</w:t>
      </w:r>
    </w:p>
    <w:p w:rsidR="00DE5EFC" w:rsidRPr="00550F41" w:rsidRDefault="00DE5EFC" w:rsidP="00DE5EFC">
      <w:pPr>
        <w:shd w:val="clear" w:color="auto" w:fill="FFFFFF"/>
        <w:spacing w:after="0" w:line="360" w:lineRule="auto"/>
        <w:ind w:firstLine="851"/>
        <w:jc w:val="both"/>
        <w:textAlignment w:val="baseline"/>
        <w:rPr>
          <w:rFonts w:eastAsia="Times New Roman"/>
          <w:color w:val="000000"/>
          <w:szCs w:val="28"/>
          <w:lang w:eastAsia="ru-RU"/>
        </w:rPr>
      </w:pPr>
      <w:bookmarkStart w:id="1" w:name="n92"/>
      <w:bookmarkEnd w:id="1"/>
      <w:r w:rsidRPr="00550F41">
        <w:rPr>
          <w:rFonts w:eastAsia="Times New Roman"/>
          <w:i/>
          <w:iCs/>
          <w:color w:val="000000"/>
          <w:szCs w:val="28"/>
          <w:bdr w:val="none" w:sz="0" w:space="0" w:color="auto" w:frame="1"/>
          <w:lang w:eastAsia="ru-RU"/>
        </w:rPr>
        <w:t>Боровик К.М.</w:t>
      </w:r>
      <w:r w:rsidRPr="00550F41">
        <w:rPr>
          <w:rFonts w:eastAsia="Times New Roman"/>
          <w:color w:val="000000"/>
          <w:szCs w:val="28"/>
          <w:lang w:eastAsia="ru-RU"/>
        </w:rPr>
        <w:t> Роль вітронектину та галектину-3 у розвитку та прогнозуванні перебігу гострого інфаркту міокарда у поєднанні з ожирінням. – Кваліфікаційна наукова праця на правах рукопису.</w:t>
      </w:r>
    </w:p>
    <w:p w:rsidR="00DE5EFC" w:rsidRPr="00550F41" w:rsidRDefault="00DE5EFC" w:rsidP="00DE5EFC">
      <w:pPr>
        <w:shd w:val="clear" w:color="auto" w:fill="FFFFFF"/>
        <w:spacing w:after="0" w:line="360" w:lineRule="auto"/>
        <w:ind w:right="51" w:firstLine="851"/>
        <w:jc w:val="both"/>
        <w:rPr>
          <w:color w:val="000000"/>
          <w:szCs w:val="28"/>
        </w:rPr>
      </w:pPr>
      <w:bookmarkStart w:id="2" w:name="n93"/>
      <w:bookmarkEnd w:id="2"/>
    </w:p>
    <w:p w:rsidR="00DE5EFC" w:rsidRPr="00550F41" w:rsidRDefault="00DE5EFC" w:rsidP="00DE5EFC">
      <w:pPr>
        <w:shd w:val="clear" w:color="auto" w:fill="FFFFFF"/>
        <w:spacing w:after="0" w:line="360" w:lineRule="auto"/>
        <w:ind w:right="51" w:firstLine="851"/>
        <w:jc w:val="both"/>
        <w:rPr>
          <w:color w:val="000000"/>
          <w:szCs w:val="28"/>
        </w:rPr>
      </w:pPr>
      <w:r w:rsidRPr="00550F41">
        <w:rPr>
          <w:color w:val="000000"/>
          <w:szCs w:val="28"/>
        </w:rPr>
        <w:t xml:space="preserve">Дисертація на здобуття наукового ступеня кандидата медичних наук за спеціальністю </w:t>
      </w:r>
      <w:r w:rsidRPr="00550F41">
        <w:rPr>
          <w:rFonts w:eastAsia="Times New Roman"/>
          <w:color w:val="000000"/>
          <w:spacing w:val="-4"/>
          <w:szCs w:val="20"/>
          <w:lang w:eastAsia="ru-RU"/>
        </w:rPr>
        <w:t xml:space="preserve">14.01.02 «Внутрішні хвороби». </w:t>
      </w:r>
      <w:r w:rsidRPr="00550F41">
        <w:rPr>
          <w:color w:val="000000"/>
          <w:szCs w:val="28"/>
        </w:rPr>
        <w:t>– Харківський національний медичний університет, Харків, 2019.</w:t>
      </w:r>
    </w:p>
    <w:p w:rsidR="00DE5EFC" w:rsidRPr="00550F41" w:rsidRDefault="00DE5EFC" w:rsidP="00DE5EFC">
      <w:pPr>
        <w:spacing w:line="360" w:lineRule="auto"/>
        <w:ind w:firstLine="851"/>
      </w:pPr>
    </w:p>
    <w:p w:rsidR="00DE5EFC" w:rsidRPr="00550F41" w:rsidRDefault="00DE5EFC" w:rsidP="00DE5EFC">
      <w:pPr>
        <w:spacing w:after="0" w:line="360" w:lineRule="auto"/>
        <w:ind w:firstLine="851"/>
        <w:jc w:val="both"/>
        <w:rPr>
          <w:szCs w:val="28"/>
        </w:rPr>
      </w:pPr>
      <w:r w:rsidRPr="00550F41">
        <w:rPr>
          <w:szCs w:val="28"/>
        </w:rPr>
        <w:t>Відомо, що одним із найважливіших факторів ризику виникнення та прогресування серцево-судинних захворювань, в тому числі гострого інфаркту міокарда (ГІМ), є ожиріння. На сьогодні предметом наукової зацікавленості в галузі медицини є вивчення нових маркерів ураження серцево-судинної системи, які можуть бути корисним інструментом для ранньої діагностики захворювання, прогнозу його клінічних результатів та моніторування ефективності фармакотерапії.</w:t>
      </w:r>
    </w:p>
    <w:p w:rsidR="00DE5EFC" w:rsidRPr="00550F41" w:rsidRDefault="00DE5EFC" w:rsidP="00DE5EFC">
      <w:pPr>
        <w:spacing w:after="0" w:line="360" w:lineRule="auto"/>
        <w:ind w:firstLine="851"/>
        <w:jc w:val="both"/>
        <w:rPr>
          <w:rFonts w:eastAsia="Times New Roman"/>
          <w:szCs w:val="28"/>
        </w:rPr>
      </w:pPr>
      <w:r w:rsidRPr="00550F41">
        <w:rPr>
          <w:rFonts w:eastAsia="Times New Roman"/>
          <w:szCs w:val="28"/>
        </w:rPr>
        <w:t xml:space="preserve">У дослідженні було залучено 105 хворих на ГІМ залежно від наявності ожиріння. До основної групи увійшло 70 хворих на ГІМ та супутнє ожиріння, до групи порівняння – 35 осіб, що мали ГІМ на тлі нормальної ваги тіла. Контрольну групу склали 20 практично здорових осіб. Рівень вітронектину та галектину-3 визначали методом імуноферментного аналізу. </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rPr>
        <w:t xml:space="preserve">У дисертаційній роботі визначено зростання концентрації вітронектину та галектину-3 у хворих на ГІМ за наявності ожиріння на 1 добу спостереження. Виявлено, що у хворих на ГІМ та наявності ожиріння рівні вітронектину перевищували такі у пацієнтів без ожиріння на 25,9% (р&lt;0,05) та на 48,3% (р&lt;0,01) при співставленні з контрольною групою. Концентрація галектину-3 була вище на 32,4% </w:t>
      </w:r>
      <w:r w:rsidRPr="00550F41">
        <w:rPr>
          <w:rFonts w:cstheme="minorBidi"/>
          <w:szCs w:val="28"/>
        </w:rPr>
        <w:t>(p˂0,05)</w:t>
      </w:r>
      <w:r w:rsidRPr="00550F41">
        <w:rPr>
          <w:szCs w:val="28"/>
        </w:rPr>
        <w:t xml:space="preserve"> у пацієнтів за наявності ГІМ на тлі супутнього ожиріння, ніж у пацієнтів з ізольованим ГІМ та на 80,8% (р&lt;0,01) вище при зіставленні з групою контролю. Аналіз взаємин між маркером вітронектином та тропоніном I </w:t>
      </w:r>
      <w:r w:rsidRPr="00550F41">
        <w:rPr>
          <w:szCs w:val="28"/>
        </w:rPr>
        <w:lastRenderedPageBreak/>
        <w:t>продемонстрував наявність прямого зв’язку середньої сили (r=0,64; р&lt;0,05), в той час як при проведенні оцінки зв</w:t>
      </w:r>
      <w:r>
        <w:rPr>
          <w:szCs w:val="28"/>
        </w:rPr>
        <w:t>’</w:t>
      </w:r>
      <w:r w:rsidRPr="00550F41">
        <w:rPr>
          <w:szCs w:val="28"/>
        </w:rPr>
        <w:t xml:space="preserve">язків між галектином-3 та тропоніном I у хворих на ГІМ з наявністю супутнього ожиріння вірогідних кореляцій виявлено не було. </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lang w:eastAsia="ar-SA"/>
        </w:rPr>
        <w:t>При вивченні наявності та характеру зв’язків у хворих з ГІМ та ожирінням знайдено прямий зв’язок між показником індексу маси тіла (ІМТ) та концентрацією вітронектину (</w:t>
      </w:r>
      <w:r w:rsidRPr="00550F41">
        <w:rPr>
          <w:szCs w:val="28"/>
        </w:rPr>
        <w:t>r</w:t>
      </w:r>
      <w:r w:rsidRPr="00550F41">
        <w:rPr>
          <w:szCs w:val="28"/>
          <w:lang w:eastAsia="ar-SA"/>
        </w:rPr>
        <w:t>=0,42; p&lt;0,05), галектину-3 (</w:t>
      </w:r>
      <w:r w:rsidRPr="00550F41">
        <w:rPr>
          <w:szCs w:val="28"/>
        </w:rPr>
        <w:t>r</w:t>
      </w:r>
      <w:r w:rsidRPr="00550F41">
        <w:rPr>
          <w:szCs w:val="28"/>
          <w:lang w:eastAsia="ar-SA"/>
        </w:rPr>
        <w:t>=0,55; p&lt;0,05). Антропометричний параметр об’єму талії (ОТ) також виявив зв’язки прямого характеру з вітронектином (</w:t>
      </w:r>
      <w:r w:rsidRPr="00550F41">
        <w:rPr>
          <w:szCs w:val="28"/>
        </w:rPr>
        <w:t>r</w:t>
      </w:r>
      <w:r w:rsidRPr="00550F41">
        <w:rPr>
          <w:szCs w:val="28"/>
          <w:lang w:eastAsia="ar-SA"/>
        </w:rPr>
        <w:t>=0,48; p&lt;0,05) та галектином-3 (</w:t>
      </w:r>
      <w:r w:rsidRPr="00550F41">
        <w:rPr>
          <w:szCs w:val="28"/>
        </w:rPr>
        <w:t>r</w:t>
      </w:r>
      <w:r w:rsidRPr="00550F41">
        <w:rPr>
          <w:szCs w:val="28"/>
          <w:lang w:eastAsia="ar-SA"/>
        </w:rPr>
        <w:t>=0,55; p&lt;0,05).</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rPr>
        <w:t xml:space="preserve">Дослідження показало, що у хворих з ГІМ та супутнім ожирінням порівняно з хворими, що мали нормальну масу тіла, знайдено зростання об’єму порожнини лівого шлуночка </w:t>
      </w:r>
      <w:r w:rsidRPr="00F407BB">
        <w:rPr>
          <w:szCs w:val="28"/>
        </w:rPr>
        <w:t>(</w:t>
      </w:r>
      <w:r w:rsidRPr="00550F41">
        <w:rPr>
          <w:szCs w:val="28"/>
        </w:rPr>
        <w:t>ЛШ</w:t>
      </w:r>
      <w:r w:rsidRPr="00F407BB">
        <w:rPr>
          <w:szCs w:val="28"/>
        </w:rPr>
        <w:t>)</w:t>
      </w:r>
      <w:r w:rsidRPr="00550F41">
        <w:rPr>
          <w:szCs w:val="28"/>
        </w:rPr>
        <w:t xml:space="preserve">, ступеня гіпертрофії міокарда ЛШ та міокардіально-артеріальної жорсткості разом зі зниженням інотропізму ЛШ, які сягають максимуму у 4 квартілі галектину-3 (діапазон 29,87 – 41,42 нг/мл), а також за умов ускладненого перебігу </w:t>
      </w:r>
      <w:r>
        <w:rPr>
          <w:szCs w:val="28"/>
        </w:rPr>
        <w:t>ГІМ</w:t>
      </w:r>
      <w:r w:rsidRPr="00550F41">
        <w:rPr>
          <w:szCs w:val="28"/>
        </w:rPr>
        <w:t xml:space="preserve"> та мультисудинного ураження артерій коронарного русла. У хворих на ГІМ за наявності коморбідного ожиріння визначалося зростання розмірів і об’ємів </w:t>
      </w:r>
      <w:r>
        <w:rPr>
          <w:szCs w:val="28"/>
        </w:rPr>
        <w:t>ЛШ</w:t>
      </w:r>
      <w:r w:rsidRPr="00550F41">
        <w:rPr>
          <w:szCs w:val="28"/>
        </w:rPr>
        <w:t xml:space="preserve"> разом зі збільшенням параметрів, відповідальних за міокардіально-артеріальну жорсткість, асоційованих зі збільшенням концентрації маркерів, що вивчаються. Це підтверджується прямими зв’язками між вітронектином та кінцевим діастолічним об’ємом (КДО) (r=0,48; р&lt;0,05), кінцевим систолічним об’ємом (КСО) (r=0,44; р&lt;0,05), кінцевим діастолічним розміром (КДР) (r=0,56; р&lt;0,05), Еа/Es (r=0,59; р&lt;0,05) та зворотній зв’язок з фракцією викиду (ФВ) (r=-0,41; р&lt;0,05). Галектин-3 також виявив прямі кореляційні зв’язки з параметрами КДО (r=0,57; р&lt;0,05), КСО (r=0,64; р&lt;0,05), індексом маси міокарда лівого шлуночка (r=0,59; р&lt;0,05), Ea/Es (r=0,72; р&lt;0,05) та зв’язок зворотнього характеру з </w:t>
      </w:r>
      <w:r w:rsidR="00F5099E">
        <w:rPr>
          <w:szCs w:val="28"/>
        </w:rPr>
        <w:t xml:space="preserve">ФВ </w:t>
      </w:r>
      <w:r w:rsidRPr="00550F41">
        <w:rPr>
          <w:szCs w:val="28"/>
        </w:rPr>
        <w:t>(r=-0,38; р&lt;0,05).</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rPr>
        <w:t xml:space="preserve">На основі аналізу результатів дослідження було встановлено, що зростання концентрації галектину-3 до 23,48 – 41,42 нг/мл, що відповідає 3-4 квартілям рівнів галектину-3 у хворих з ГІМ та ожирінням, асоціювалось зі збільшенням кількості уражених судин та сегментів разом з високими балами шкали Генсіні, що свідчить на користь зростання тяжкості атеросклеротичного </w:t>
      </w:r>
      <w:r w:rsidRPr="00550F41">
        <w:rPr>
          <w:szCs w:val="28"/>
        </w:rPr>
        <w:lastRenderedPageBreak/>
        <w:t>ураження коронарних артерій на тлі високої концентрації галектину-3 у хворих на ГІМ з супутнім ожирінням. У хворих з ГІМ та ожирінням, що увійшли до 1 та 2 квартілей концентрації галектину-3, знайдено прямі зв΄язки середньої сили між галектином-3 та кількістю уражених судин (r=0,45; p&lt;0,05 для 1 квартіля та r=0,51; p&lt;0,05 для 2 квартіля), кількістю уражених сегментів (r=0,49; p&lt;0,05 та r=0,53; p&lt;0,05 відповідно), а також з балами шкали Генсіні (r=0,56; p&lt;0,05 та r=0,58; p&lt;0,05). Аналіз наявності звʹязків між параметрами, що вивчаються у хворих, залучених до 3 і 4 квартілей, встановило прямі зв΄язки сильні за силою між рівнем галектину-3 та балами шкали Генсіні (r=0,73; p&lt;0,05 для 3 квартіля та r=0,75; p&lt;0,05 для 4 квартіля), кількістю уражених судин (r=0,70; p&lt;0,05 та r=0,72; p&lt;0,05 відповідно), кількістю уражених сегментів (r=0,71; p&lt;0,05 та r=0,74; p&lt;0,05 відповідно) у хворих з ГІМ та ожирінням.</w:t>
      </w:r>
    </w:p>
    <w:p w:rsidR="00DE5EFC" w:rsidRPr="00550F41" w:rsidRDefault="00DE5EFC" w:rsidP="00DE5EFC">
      <w:pPr>
        <w:tabs>
          <w:tab w:val="left" w:pos="426"/>
          <w:tab w:val="left" w:pos="993"/>
        </w:tabs>
        <w:spacing w:after="0" w:line="360" w:lineRule="auto"/>
        <w:ind w:firstLine="851"/>
        <w:contextualSpacing/>
        <w:jc w:val="both"/>
        <w:rPr>
          <w:rFonts w:cstheme="minorBidi"/>
          <w:szCs w:val="28"/>
        </w:rPr>
      </w:pPr>
      <w:r w:rsidRPr="00550F41">
        <w:rPr>
          <w:rFonts w:cstheme="minorBidi"/>
          <w:szCs w:val="28"/>
        </w:rPr>
        <w:t>Аналіз результатів дослідження вітронектину та галектину-3 через 6 місяців після перенесеного інфаркту міокарда</w:t>
      </w:r>
      <w:r w:rsidRPr="00F407BB">
        <w:rPr>
          <w:rFonts w:cstheme="minorBidi"/>
          <w:szCs w:val="28"/>
        </w:rPr>
        <w:t xml:space="preserve"> (</w:t>
      </w:r>
      <w:r>
        <w:rPr>
          <w:rFonts w:cstheme="minorBidi"/>
          <w:szCs w:val="28"/>
        </w:rPr>
        <w:t>ІМ</w:t>
      </w:r>
      <w:r w:rsidRPr="00F407BB">
        <w:rPr>
          <w:rFonts w:cstheme="minorBidi"/>
          <w:szCs w:val="28"/>
        </w:rPr>
        <w:t>)</w:t>
      </w:r>
      <w:r w:rsidRPr="00550F41">
        <w:rPr>
          <w:rFonts w:cstheme="minorBidi"/>
          <w:szCs w:val="28"/>
        </w:rPr>
        <w:t xml:space="preserve"> на тлі супутнього ожиріння продемонстрував наступну динаміку, в залежності від обраної тактики реперфузійної терапії та подальшого лікування із застосуванням клопідогрелю або тикагрелору у поєднанні з ацетилсаліциловою кислотою (АСК) в складі подвійної антитромбоцитарної терапії (ПАТ). </w:t>
      </w:r>
    </w:p>
    <w:p w:rsidR="00DE5EFC" w:rsidRPr="00550F41" w:rsidRDefault="00DE5EFC" w:rsidP="00DE5EFC">
      <w:pPr>
        <w:tabs>
          <w:tab w:val="num" w:pos="330"/>
        </w:tabs>
        <w:spacing w:after="0" w:line="360" w:lineRule="auto"/>
        <w:ind w:firstLine="851"/>
        <w:jc w:val="both"/>
        <w:rPr>
          <w:iCs/>
          <w:szCs w:val="28"/>
        </w:rPr>
      </w:pPr>
      <w:r w:rsidRPr="00550F41">
        <w:rPr>
          <w:iCs/>
          <w:szCs w:val="28"/>
        </w:rPr>
        <w:t>У хворих після проведеного</w:t>
      </w:r>
      <w:r w:rsidRPr="00F407BB">
        <w:rPr>
          <w:iCs/>
          <w:szCs w:val="28"/>
          <w:lang w:val="ru-RU"/>
        </w:rPr>
        <w:t xml:space="preserve"> перкутанного втручання</w:t>
      </w:r>
      <w:r w:rsidRPr="00550F41">
        <w:rPr>
          <w:iCs/>
          <w:szCs w:val="28"/>
        </w:rPr>
        <w:t xml:space="preserve"> </w:t>
      </w:r>
      <w:r>
        <w:rPr>
          <w:iCs/>
          <w:szCs w:val="28"/>
        </w:rPr>
        <w:t>(</w:t>
      </w:r>
      <w:r w:rsidRPr="00550F41">
        <w:rPr>
          <w:iCs/>
          <w:szCs w:val="28"/>
        </w:rPr>
        <w:t>ПКВ</w:t>
      </w:r>
      <w:r>
        <w:rPr>
          <w:iCs/>
          <w:szCs w:val="28"/>
        </w:rPr>
        <w:t>) з наступним встановленням стенту в уражену артерію</w:t>
      </w:r>
      <w:r w:rsidRPr="00550F41">
        <w:rPr>
          <w:iCs/>
          <w:szCs w:val="28"/>
        </w:rPr>
        <w:t xml:space="preserve"> рівень вітронектину вірогідно знизився на 24,4% (p&lt;0,05), у той час коли в групі хворих після проведеного тромболізису на 13,9% (p&lt;0,05). Що стосується галектину-3, у хворих після ПКВ </w:t>
      </w:r>
      <w:r w:rsidRPr="00F407BB">
        <w:rPr>
          <w:iCs/>
          <w:szCs w:val="28"/>
          <w:lang w:val="ru-RU"/>
        </w:rPr>
        <w:t xml:space="preserve">його </w:t>
      </w:r>
      <w:r w:rsidRPr="00550F41">
        <w:rPr>
          <w:iCs/>
          <w:szCs w:val="28"/>
        </w:rPr>
        <w:t>рівень був достовірно менше порівняно з вихідними даними на 56,8% (p&lt;0,05). У групі хворих після використання тромболітичної терапії концентрація галектину-3 зменшилась на 33,8% (p&lt;0,05) при порівнянні з концентрацією до лікування.</w:t>
      </w:r>
    </w:p>
    <w:p w:rsidR="00DE5EFC" w:rsidRPr="00550F41" w:rsidRDefault="00DE5EFC" w:rsidP="00DE5EFC">
      <w:pPr>
        <w:tabs>
          <w:tab w:val="num" w:pos="330"/>
        </w:tabs>
        <w:spacing w:after="0" w:line="360" w:lineRule="auto"/>
        <w:ind w:firstLine="851"/>
        <w:jc w:val="both"/>
        <w:rPr>
          <w:iCs/>
          <w:szCs w:val="28"/>
        </w:rPr>
      </w:pPr>
      <w:r w:rsidRPr="00550F41">
        <w:rPr>
          <w:iCs/>
          <w:szCs w:val="28"/>
        </w:rPr>
        <w:t xml:space="preserve">Було проведено оцінку змін гуморальних параметрів, а саме галектину-3 та вітронектину, залежно від обраної комбінації препаратів у складі ПАТ. У групі хворих на ГІМ та ожиріння, які отримували тикагрелор у поєднанні з АСК достовірно знизився рівень галектину-3 на 35,1% (p&lt;0,05) та концентрація вітронектину на 24,7% (p&lt;0,05). При залученні до схеми ПАТ АСК та </w:t>
      </w:r>
      <w:r w:rsidRPr="00550F41">
        <w:rPr>
          <w:iCs/>
          <w:szCs w:val="28"/>
        </w:rPr>
        <w:lastRenderedPageBreak/>
        <w:t>клопідогрелю концентрація вітронектину знизилася на 23,04% (p&lt;0,05), а галектину-3 – на 19,2% (p&lt;0,05).</w:t>
      </w:r>
    </w:p>
    <w:p w:rsidR="00DE5EFC" w:rsidRPr="00550F41" w:rsidRDefault="00DE5EFC" w:rsidP="00DE5EFC">
      <w:pPr>
        <w:tabs>
          <w:tab w:val="num" w:pos="330"/>
        </w:tabs>
        <w:spacing w:after="0" w:line="360" w:lineRule="auto"/>
        <w:ind w:firstLine="851"/>
        <w:jc w:val="both"/>
        <w:rPr>
          <w:iCs/>
          <w:szCs w:val="28"/>
        </w:rPr>
      </w:pPr>
      <w:r w:rsidRPr="00550F41">
        <w:rPr>
          <w:iCs/>
          <w:szCs w:val="28"/>
        </w:rPr>
        <w:t xml:space="preserve">У групі хворих, які отримували ПАТ із залученням АСК та тикагрелору протягом 6 місяців після перенесеного ІМ в 11 осіб зафіксовано повторний ІМ та/або </w:t>
      </w:r>
      <w:r>
        <w:rPr>
          <w:iCs/>
          <w:szCs w:val="28"/>
        </w:rPr>
        <w:t>нестабільну стенокардію (</w:t>
      </w:r>
      <w:r w:rsidRPr="00550F41">
        <w:rPr>
          <w:iCs/>
          <w:szCs w:val="28"/>
        </w:rPr>
        <w:t>НС</w:t>
      </w:r>
      <w:r>
        <w:rPr>
          <w:iCs/>
          <w:szCs w:val="28"/>
        </w:rPr>
        <w:t>)</w:t>
      </w:r>
      <w:r w:rsidRPr="00550F41">
        <w:rPr>
          <w:iCs/>
          <w:szCs w:val="28"/>
        </w:rPr>
        <w:t>, що складає 37,56%. У той час, коли в групі хворих, що отримували ПАТ у комбінації АСК з клопідогрелем, повторні серцево-судинні катастрофи виявлено у 17 осіб, що склало 22,8%. Тобто у групі хворих, які отримували лікування з використанням АСК з тикагрелором у складі ПАТ спостерігався нижчій рівень розвитку повторних коронарних подій, ніж у групі пацієнтів, що отримували АСК з клопідогрелем.</w:t>
      </w:r>
    </w:p>
    <w:p w:rsidR="00DE5EFC" w:rsidRPr="00550F41" w:rsidRDefault="00DE5EFC" w:rsidP="00DE5EFC">
      <w:pPr>
        <w:shd w:val="clear" w:color="auto" w:fill="FFFFFF"/>
        <w:spacing w:after="0" w:line="360" w:lineRule="auto"/>
        <w:ind w:right="1" w:firstLine="851"/>
        <w:jc w:val="both"/>
        <w:rPr>
          <w:szCs w:val="28"/>
        </w:rPr>
      </w:pPr>
      <w:r w:rsidRPr="00550F41">
        <w:rPr>
          <w:rFonts w:eastAsia="Times New Roman"/>
          <w:spacing w:val="-7"/>
          <w:szCs w:val="28"/>
          <w:lang w:eastAsia="ru-RU"/>
        </w:rPr>
        <w:t xml:space="preserve">Наукова новизна одержаних результатів дисертаційної роботи розширила </w:t>
      </w:r>
      <w:r w:rsidRPr="00550F41">
        <w:rPr>
          <w:szCs w:val="28"/>
        </w:rPr>
        <w:t xml:space="preserve">дані стосовно ролі вітронектину та галектину-3 щодо </w:t>
      </w:r>
      <w:r w:rsidRPr="00550F41">
        <w:rPr>
          <w:rFonts w:eastAsia="Times New Roman"/>
          <w:color w:val="000000"/>
          <w:szCs w:val="28"/>
          <w:lang w:eastAsia="ru-RU"/>
        </w:rPr>
        <w:t>розвитку та прогнозування перебігу ГІМ у хворих, що мають супутнє ожиріння</w:t>
      </w:r>
      <w:r w:rsidRPr="00550F41">
        <w:rPr>
          <w:szCs w:val="28"/>
        </w:rPr>
        <w:t>.</w:t>
      </w:r>
    </w:p>
    <w:p w:rsidR="00DE5EFC" w:rsidRPr="00550F41" w:rsidRDefault="00DE5EFC" w:rsidP="00DE5EFC">
      <w:pPr>
        <w:shd w:val="clear" w:color="auto" w:fill="FFFFFF"/>
        <w:spacing w:after="0" w:line="360" w:lineRule="auto"/>
        <w:ind w:right="1" w:firstLine="851"/>
        <w:jc w:val="both"/>
        <w:rPr>
          <w:szCs w:val="28"/>
        </w:rPr>
      </w:pPr>
      <w:r w:rsidRPr="00550F41">
        <w:rPr>
          <w:szCs w:val="28"/>
        </w:rPr>
        <w:t xml:space="preserve">Встановлено роль вітронектину як маркера прогнозу виникнення повторних кардіоваскулярних подій протягом 6-місячного терміну спостереження за хворими після перенесеного </w:t>
      </w:r>
      <w:r>
        <w:rPr>
          <w:szCs w:val="28"/>
        </w:rPr>
        <w:t>ІМ</w:t>
      </w:r>
      <w:r w:rsidRPr="00550F41">
        <w:rPr>
          <w:szCs w:val="28"/>
        </w:rPr>
        <w:t xml:space="preserve"> на тлі ожиріння. Розширено дані щодо ролі галектину-3 як індикатора тяжкості ураження коронарних артерій у хворих на ГІМ за наявності коморбідного ожиріння.</w:t>
      </w:r>
    </w:p>
    <w:p w:rsidR="00DE5EFC" w:rsidRPr="00550F41" w:rsidRDefault="00DE5EFC" w:rsidP="00DE5EFC">
      <w:pPr>
        <w:shd w:val="clear" w:color="auto" w:fill="FFFFFF"/>
        <w:spacing w:after="0" w:line="360" w:lineRule="auto"/>
        <w:ind w:right="1" w:firstLine="851"/>
        <w:jc w:val="both"/>
        <w:rPr>
          <w:szCs w:val="28"/>
        </w:rPr>
      </w:pPr>
      <w:r w:rsidRPr="00550F41">
        <w:rPr>
          <w:szCs w:val="28"/>
        </w:rPr>
        <w:t xml:space="preserve">Доведено, що активність галектину-3 та вітронектину взаємопов’язані з дилатацією порожнини </w:t>
      </w:r>
      <w:r>
        <w:rPr>
          <w:szCs w:val="28"/>
        </w:rPr>
        <w:t>ЛШ</w:t>
      </w:r>
      <w:r w:rsidRPr="00550F41">
        <w:rPr>
          <w:szCs w:val="28"/>
        </w:rPr>
        <w:t xml:space="preserve"> разом зі збільшенням міокардіально-артеріальної ригідності за умов мультисудинного ураження.</w:t>
      </w:r>
    </w:p>
    <w:p w:rsidR="00DE5EFC" w:rsidRPr="00550F41" w:rsidRDefault="00DE5EFC" w:rsidP="00DE5EFC">
      <w:pPr>
        <w:shd w:val="clear" w:color="auto" w:fill="FFFFFF"/>
        <w:spacing w:after="0" w:line="360" w:lineRule="auto"/>
        <w:ind w:right="1" w:firstLine="851"/>
        <w:jc w:val="both"/>
        <w:rPr>
          <w:szCs w:val="28"/>
        </w:rPr>
      </w:pPr>
      <w:r w:rsidRPr="00550F41">
        <w:rPr>
          <w:szCs w:val="28"/>
        </w:rPr>
        <w:t xml:space="preserve">Обґрунтовано можливість персоніфікації терапевтичних підходів при лікуванні хворих на </w:t>
      </w:r>
      <w:r>
        <w:rPr>
          <w:szCs w:val="28"/>
        </w:rPr>
        <w:t>ГІМ</w:t>
      </w:r>
      <w:r w:rsidRPr="00550F41">
        <w:rPr>
          <w:szCs w:val="28"/>
        </w:rPr>
        <w:t xml:space="preserve"> та ожиріння з урахуванням зниження ризику виникнення повторних кардіоваскулярних подій.</w:t>
      </w:r>
    </w:p>
    <w:p w:rsidR="00DE5EFC" w:rsidRPr="00550F41" w:rsidRDefault="00DE5EFC" w:rsidP="00DE5EFC">
      <w:pPr>
        <w:shd w:val="clear" w:color="auto" w:fill="FFFFFF"/>
        <w:spacing w:after="0" w:line="360" w:lineRule="auto"/>
        <w:ind w:right="1" w:firstLine="851"/>
        <w:jc w:val="both"/>
        <w:rPr>
          <w:szCs w:val="28"/>
        </w:rPr>
      </w:pPr>
      <w:r w:rsidRPr="00550F41">
        <w:rPr>
          <w:szCs w:val="28"/>
        </w:rPr>
        <w:t>Визначено роль антропометричних параметрів, показників функціонального стану нирок разом з використанням галектину-3 та вітронектину як факторів ризику повторних серцево-судинних катастроф.</w:t>
      </w:r>
    </w:p>
    <w:p w:rsidR="00DE5EFC" w:rsidRPr="00550F41" w:rsidRDefault="00DE5EFC" w:rsidP="00DE5EFC">
      <w:pPr>
        <w:pStyle w:val="a3"/>
        <w:spacing w:after="0" w:line="360" w:lineRule="auto"/>
        <w:ind w:left="0" w:firstLine="851"/>
        <w:jc w:val="both"/>
      </w:pPr>
      <w:r w:rsidRPr="00550F41">
        <w:rPr>
          <w:rFonts w:eastAsia="Times New Roman"/>
          <w:spacing w:val="-7"/>
          <w:szCs w:val="28"/>
          <w:lang w:eastAsia="ru-RU"/>
        </w:rPr>
        <w:t>Практичне значення одержаних результатів впроваджено</w:t>
      </w:r>
      <w:r w:rsidRPr="00550F41">
        <w:rPr>
          <w:szCs w:val="28"/>
        </w:rPr>
        <w:t xml:space="preserve"> у практику прогнозування повторних кардіоваскулярних подій протягом 6-місячного терміну спостереження за хворими, що перенесли </w:t>
      </w:r>
      <w:r>
        <w:rPr>
          <w:szCs w:val="28"/>
        </w:rPr>
        <w:t>ГІМ</w:t>
      </w:r>
      <w:r w:rsidRPr="00550F41">
        <w:rPr>
          <w:szCs w:val="28"/>
        </w:rPr>
        <w:t xml:space="preserve"> на тлі супутнього ожиріння за </w:t>
      </w:r>
      <w:r w:rsidRPr="00550F41">
        <w:rPr>
          <w:szCs w:val="28"/>
        </w:rPr>
        <w:lastRenderedPageBreak/>
        <w:t xml:space="preserve">допомогою оцінки концентрації вітронектину сироватки крові, який при рівні &gt;283,26 нг/мл мав предикторну інформативність щодо розвитку повторних коронарних подій у хворих на ГІМ та ожиріння, а також при вивченні рівня галектину-3, </w:t>
      </w:r>
      <w:r w:rsidRPr="00550F41">
        <w:t xml:space="preserve">зростання якого вище 12,83 нг/мл при рівнях ОТ&gt;130 см, ІМТ&gt;34,13 кг/м2 та креатиніну сироватки крові &gt;85 мкмоль/л виявив прогностичні властивості у хворих на ГІМ з ожирінням протягом півроку спостереження. </w:t>
      </w:r>
    </w:p>
    <w:p w:rsidR="00DE5EFC" w:rsidRPr="00550F41" w:rsidRDefault="00DE5EFC" w:rsidP="00DE5EFC">
      <w:pPr>
        <w:shd w:val="clear" w:color="auto" w:fill="FFFFFF"/>
        <w:spacing w:after="0" w:line="360" w:lineRule="auto"/>
        <w:ind w:firstLine="851"/>
        <w:jc w:val="both"/>
        <w:rPr>
          <w:szCs w:val="28"/>
        </w:rPr>
      </w:pPr>
      <w:r w:rsidRPr="00550F41">
        <w:rPr>
          <w:szCs w:val="28"/>
        </w:rPr>
        <w:t xml:space="preserve">Розроблений спосіб прогнозування повторних кардіоваскулярних подій протягом півроку спостереження при зростанні концентрації вітронектину &gt;283,26 нг/мл дозволяє лікарю загальної практики сімейної медицини, терапевту, кардіологу своєчасно виділити когорту хворих високого ризику виникнення </w:t>
      </w:r>
      <w:r>
        <w:rPr>
          <w:szCs w:val="28"/>
        </w:rPr>
        <w:t>НС</w:t>
      </w:r>
      <w:r w:rsidRPr="00550F41">
        <w:rPr>
          <w:szCs w:val="28"/>
        </w:rPr>
        <w:t xml:space="preserve"> або повторного </w:t>
      </w:r>
      <w:r>
        <w:rPr>
          <w:szCs w:val="28"/>
        </w:rPr>
        <w:t>ІМ</w:t>
      </w:r>
      <w:r w:rsidRPr="00550F41">
        <w:rPr>
          <w:szCs w:val="28"/>
        </w:rPr>
        <w:t xml:space="preserve"> при ожирінні у віддаленому постінфарктному періоді, а використання концентрації галектину-3 разом з оцінкою балів шкали Генсіні сприяє підвищенню ефективності діагностики ступеня тяжкості ураження коронарних артерій у хворих з </w:t>
      </w:r>
      <w:r>
        <w:rPr>
          <w:szCs w:val="28"/>
        </w:rPr>
        <w:t>ГІМ</w:t>
      </w:r>
      <w:r w:rsidRPr="00550F41">
        <w:rPr>
          <w:szCs w:val="28"/>
        </w:rPr>
        <w:t xml:space="preserve"> та ожирінням.</w:t>
      </w:r>
    </w:p>
    <w:p w:rsidR="00DE5EFC" w:rsidRPr="00F407BB" w:rsidRDefault="00DE5EFC" w:rsidP="00DE5EFC">
      <w:pPr>
        <w:shd w:val="clear" w:color="auto" w:fill="FFFFFF"/>
        <w:spacing w:after="0" w:line="360" w:lineRule="auto"/>
        <w:ind w:firstLine="851"/>
        <w:jc w:val="both"/>
        <w:rPr>
          <w:szCs w:val="28"/>
          <w:lang w:val="ru-RU"/>
        </w:rPr>
      </w:pPr>
      <w:r w:rsidRPr="00550F41">
        <w:rPr>
          <w:szCs w:val="28"/>
        </w:rPr>
        <w:t>Ключові слова: гострий інфаркт міокарда, вітронектин, галектин-3, ожиріння.</w:t>
      </w:r>
    </w:p>
    <w:p w:rsidR="00DE5EFC" w:rsidRPr="00F407BB" w:rsidRDefault="00DE5EFC" w:rsidP="00DE5EFC">
      <w:pPr>
        <w:shd w:val="clear" w:color="auto" w:fill="FFFFFF"/>
        <w:spacing w:after="0" w:line="360" w:lineRule="auto"/>
        <w:ind w:firstLine="851"/>
        <w:jc w:val="both"/>
        <w:rPr>
          <w:b/>
          <w:szCs w:val="28"/>
          <w:lang w:val="ru-RU"/>
        </w:rPr>
      </w:pPr>
    </w:p>
    <w:p w:rsidR="00DE5EFC" w:rsidRPr="00FA0CA5" w:rsidRDefault="00DE5EFC" w:rsidP="00DE5EFC">
      <w:pPr>
        <w:shd w:val="clear" w:color="auto" w:fill="FFFFFF"/>
        <w:spacing w:after="0" w:line="360" w:lineRule="auto"/>
        <w:ind w:left="3469" w:firstLine="851"/>
        <w:jc w:val="both"/>
        <w:rPr>
          <w:b/>
          <w:szCs w:val="28"/>
          <w:lang w:val="en-US"/>
        </w:rPr>
      </w:pPr>
      <w:r w:rsidRPr="00FA0CA5">
        <w:rPr>
          <w:b/>
          <w:szCs w:val="28"/>
          <w:lang w:val="en-US"/>
        </w:rPr>
        <w:t>SUMMARY</w:t>
      </w:r>
    </w:p>
    <w:p w:rsidR="00DE5EFC" w:rsidRPr="00FA0CA5" w:rsidRDefault="00DE5EFC" w:rsidP="00DE5EFC">
      <w:pPr>
        <w:shd w:val="clear" w:color="auto" w:fill="FFFFFF"/>
        <w:spacing w:after="0" w:line="360" w:lineRule="auto"/>
        <w:ind w:firstLine="851"/>
        <w:jc w:val="both"/>
        <w:rPr>
          <w:szCs w:val="28"/>
          <w:lang w:val="en-US"/>
        </w:rPr>
      </w:pPr>
      <w:r w:rsidRPr="00FA0CA5">
        <w:rPr>
          <w:i/>
          <w:szCs w:val="28"/>
          <w:lang w:val="en-US"/>
        </w:rPr>
        <w:t>Borovyk K.M.</w:t>
      </w:r>
      <w:r w:rsidRPr="00FA0CA5">
        <w:rPr>
          <w:szCs w:val="28"/>
          <w:lang w:val="en-US"/>
        </w:rPr>
        <w:t xml:space="preserve">  The role of vitronectin and galectin-3 in the development and prediction of the course of acute myocardial infarction in combination with obesity. - Research project manuscript.</w:t>
      </w:r>
    </w:p>
    <w:p w:rsidR="00DE5EFC" w:rsidRPr="00FA0CA5" w:rsidRDefault="00DE5EFC" w:rsidP="00DE5EFC">
      <w:pPr>
        <w:shd w:val="clear" w:color="auto" w:fill="FFFFFF"/>
        <w:spacing w:after="0" w:line="360" w:lineRule="auto"/>
        <w:ind w:firstLine="851"/>
        <w:jc w:val="both"/>
        <w:rPr>
          <w:szCs w:val="28"/>
          <w:lang w:val="en-US"/>
        </w:rPr>
      </w:pPr>
    </w:p>
    <w:p w:rsidR="00DE5EFC" w:rsidRPr="00FA0CA5" w:rsidRDefault="00DE5EFC" w:rsidP="00DE5EFC">
      <w:pPr>
        <w:shd w:val="clear" w:color="auto" w:fill="FFFFFF"/>
        <w:spacing w:after="0" w:line="360" w:lineRule="auto"/>
        <w:ind w:firstLine="851"/>
        <w:jc w:val="both"/>
        <w:rPr>
          <w:szCs w:val="28"/>
          <w:lang w:val="en-US"/>
        </w:rPr>
      </w:pPr>
      <w:r w:rsidRPr="00FA0CA5">
        <w:rPr>
          <w:szCs w:val="28"/>
          <w:lang w:val="en-US"/>
        </w:rPr>
        <w:t>Thesis for the degree of Candidate of Medical Science in speciality 14.01.02 «Internal diseases». – Kharkiv National Medical University, Kharkiv, 2019.</w:t>
      </w:r>
    </w:p>
    <w:p w:rsidR="00DE5EFC" w:rsidRPr="00FA0CA5" w:rsidRDefault="00DE5EFC" w:rsidP="00DE5EFC">
      <w:pPr>
        <w:shd w:val="clear" w:color="auto" w:fill="FFFFFF"/>
        <w:spacing w:after="0" w:line="360" w:lineRule="auto"/>
        <w:ind w:firstLine="851"/>
        <w:jc w:val="both"/>
        <w:rPr>
          <w:szCs w:val="28"/>
          <w:lang w:val="en-US"/>
        </w:rPr>
      </w:pPr>
    </w:p>
    <w:p w:rsidR="00DE5EFC" w:rsidRPr="00FA0CA5" w:rsidRDefault="00DE5EFC" w:rsidP="00DE5EFC">
      <w:pPr>
        <w:shd w:val="clear" w:color="auto" w:fill="FFFFFF"/>
        <w:spacing w:after="0" w:line="360" w:lineRule="auto"/>
        <w:ind w:firstLine="851"/>
        <w:jc w:val="both"/>
        <w:rPr>
          <w:szCs w:val="28"/>
          <w:lang w:val="en-US"/>
        </w:rPr>
      </w:pPr>
      <w:r w:rsidRPr="00FA0CA5">
        <w:rPr>
          <w:szCs w:val="28"/>
          <w:lang w:val="en-US"/>
        </w:rPr>
        <w:t xml:space="preserve">It is known that obesity is one of the most important risk factors for the emergence and progression of cardiovascular diseases, including acute myocardial infarction (AMI). Today, the subject of scientific interest in the field of medicine is the study of new markers of the cardiovascular lesion, which can be a useful tool for early </w:t>
      </w:r>
      <w:r w:rsidRPr="00FA0CA5">
        <w:rPr>
          <w:szCs w:val="28"/>
          <w:lang w:val="en-US"/>
        </w:rPr>
        <w:lastRenderedPageBreak/>
        <w:t>disease diagnostic, prediction of its clinical results and the effectiveness of pharmacotherapy monitoring.</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study involved 105 patients with AMI depending on the presence of obesity. The main group included 70 patients with AMI and concomitant obesity, the comparison group - 35 people who had AMI </w:t>
      </w:r>
      <w:r w:rsidRPr="00FA0CA5">
        <w:rPr>
          <w:szCs w:val="28"/>
          <w:lang w:val="en-US"/>
        </w:rPr>
        <w:t>o</w:t>
      </w:r>
      <w:r w:rsidRPr="00FA0CA5">
        <w:rPr>
          <w:szCs w:val="28"/>
        </w:rPr>
        <w:t>n the background of normal body weight. The control group consisted of 20 practically healthy persons. The level of vitronectin and galectin-3 was determined by the enzyme-linked immunosorbent assay.</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In the dissertation the growth of concentration of vitronectin and galectin-3 in patients with AMI in the presence of obesity for 1 day of observation was determined. It was found that in patients with AMI and obesity, the levels of vitronectin in patients without obesity were 25.9% (p&lt;0.05) and 48.3% higher (p&lt;0.01) when compared </w:t>
      </w:r>
      <w:r w:rsidRPr="00FA0CA5">
        <w:rPr>
          <w:szCs w:val="28"/>
          <w:lang w:val="en-US"/>
        </w:rPr>
        <w:t>to</w:t>
      </w:r>
      <w:r w:rsidRPr="00FA0CA5">
        <w:rPr>
          <w:szCs w:val="28"/>
        </w:rPr>
        <w:t xml:space="preserve"> the control group. The concentration of galectin-3 was 32.4% (p˂0.05) higher in patients with AMI in the context of concomitant obesity than in patients with isolated AMI and 80.8% (p &lt;0.01) higher when compared </w:t>
      </w:r>
      <w:r w:rsidRPr="00FA0CA5">
        <w:rPr>
          <w:szCs w:val="28"/>
          <w:lang w:val="en-US"/>
        </w:rPr>
        <w:t>to</w:t>
      </w:r>
      <w:r w:rsidRPr="00FA0CA5">
        <w:rPr>
          <w:szCs w:val="28"/>
        </w:rPr>
        <w:t xml:space="preserve"> a control group. The analysis of the relationship between vitronectin and troponin I demonstrated a direct mediational association (r = 0.64; p &lt;0.05), while evaluating the connections between galectin-3 and troponin I in patients with There were no AMI with the presence of concomitant obesity of probable correlations.</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In the study of the presence and nature of ligaments in patients with AMI and obesity, a direct </w:t>
      </w:r>
      <w:r w:rsidRPr="00FA0CA5">
        <w:rPr>
          <w:szCs w:val="28"/>
          <w:lang w:val="en-US"/>
        </w:rPr>
        <w:t>relationship</w:t>
      </w:r>
      <w:r w:rsidRPr="00FA0CA5">
        <w:rPr>
          <w:szCs w:val="28"/>
        </w:rPr>
        <w:t xml:space="preserve"> was found between  body mass index (BMI) and the concentration of vitronectin (r=0.42; p&lt;0.05); galectin-3 (r=0.55; p &lt;0.05). Anthropometric waist circumference parameter (</w:t>
      </w:r>
      <w:r w:rsidRPr="00FA0CA5">
        <w:rPr>
          <w:szCs w:val="28"/>
          <w:lang w:val="en-US"/>
        </w:rPr>
        <w:t>WC</w:t>
      </w:r>
      <w:r w:rsidRPr="00FA0CA5">
        <w:rPr>
          <w:szCs w:val="28"/>
        </w:rPr>
        <w:t xml:space="preserve">) also revealed direct </w:t>
      </w:r>
      <w:r w:rsidRPr="00FA0CA5">
        <w:rPr>
          <w:szCs w:val="28"/>
          <w:lang w:val="en-US"/>
        </w:rPr>
        <w:t>correlation</w:t>
      </w:r>
      <w:r w:rsidRPr="00FA0CA5">
        <w:rPr>
          <w:szCs w:val="28"/>
        </w:rPr>
        <w:t xml:space="preserve"> with vitronectin (r=0.48; p&lt;0.05) and galectin-3 (r=0.55; p&lt;0.05).</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study showed that in patients with </w:t>
      </w:r>
      <w:r w:rsidRPr="00FA0CA5">
        <w:rPr>
          <w:szCs w:val="28"/>
          <w:lang w:val="en-US"/>
        </w:rPr>
        <w:t>AMI</w:t>
      </w:r>
      <w:r w:rsidRPr="00FA0CA5">
        <w:rPr>
          <w:szCs w:val="28"/>
        </w:rPr>
        <w:t xml:space="preserve"> and </w:t>
      </w:r>
      <w:r w:rsidRPr="00FA0CA5">
        <w:rPr>
          <w:szCs w:val="28"/>
          <w:lang w:val="en-US"/>
        </w:rPr>
        <w:t xml:space="preserve">concomitant </w:t>
      </w:r>
      <w:r w:rsidRPr="00FA0CA5">
        <w:rPr>
          <w:szCs w:val="28"/>
        </w:rPr>
        <w:t xml:space="preserve">obesity, in comparison with patients with normal body </w:t>
      </w:r>
      <w:r w:rsidRPr="00FA0CA5">
        <w:rPr>
          <w:szCs w:val="28"/>
          <w:lang w:val="en-US"/>
        </w:rPr>
        <w:t>weight</w:t>
      </w:r>
      <w:r w:rsidRPr="00FA0CA5">
        <w:rPr>
          <w:szCs w:val="28"/>
        </w:rPr>
        <w:t>, an increase</w:t>
      </w:r>
      <w:r w:rsidRPr="00FA0CA5">
        <w:rPr>
          <w:szCs w:val="28"/>
          <w:lang w:val="en-US"/>
        </w:rPr>
        <w:t>d</w:t>
      </w:r>
      <w:r w:rsidRPr="00FA0CA5">
        <w:rPr>
          <w:szCs w:val="28"/>
        </w:rPr>
        <w:t xml:space="preserve"> volume of the cavity of </w:t>
      </w:r>
      <w:r w:rsidRPr="00FA0CA5">
        <w:rPr>
          <w:szCs w:val="28"/>
          <w:lang w:val="en-US"/>
        </w:rPr>
        <w:t>left ventricle (LV)</w:t>
      </w:r>
      <w:r w:rsidRPr="00FA0CA5">
        <w:rPr>
          <w:szCs w:val="28"/>
        </w:rPr>
        <w:t>, the degree of</w:t>
      </w:r>
      <w:r w:rsidRPr="00FA0CA5">
        <w:rPr>
          <w:szCs w:val="28"/>
          <w:lang w:val="en-US"/>
        </w:rPr>
        <w:t xml:space="preserve"> LV</w:t>
      </w:r>
      <w:r w:rsidRPr="00FA0CA5">
        <w:rPr>
          <w:szCs w:val="28"/>
        </w:rPr>
        <w:t xml:space="preserve"> myocardium hypertrophy and myocardial arterial stiffness, together with the decrease </w:t>
      </w:r>
      <w:r w:rsidRPr="00FA0CA5">
        <w:rPr>
          <w:szCs w:val="28"/>
          <w:lang w:val="en-US"/>
        </w:rPr>
        <w:t>of LV</w:t>
      </w:r>
      <w:r w:rsidRPr="00FA0CA5">
        <w:rPr>
          <w:szCs w:val="28"/>
        </w:rPr>
        <w:t>, reaching a maximum of 4 quart</w:t>
      </w:r>
      <w:r w:rsidRPr="00FA0CA5">
        <w:rPr>
          <w:szCs w:val="28"/>
          <w:lang w:val="en-US"/>
        </w:rPr>
        <w:t>ile</w:t>
      </w:r>
      <w:r w:rsidRPr="00FA0CA5">
        <w:rPr>
          <w:szCs w:val="28"/>
        </w:rPr>
        <w:t xml:space="preserve"> galectin-3 (range 29.87 - 41.42 ng/ml), as well as in the complicated course of </w:t>
      </w:r>
      <w:r w:rsidRPr="00FA0CA5">
        <w:rPr>
          <w:szCs w:val="28"/>
          <w:lang w:val="en-US"/>
        </w:rPr>
        <w:t>AMI</w:t>
      </w:r>
      <w:r w:rsidRPr="00FA0CA5">
        <w:rPr>
          <w:szCs w:val="28"/>
        </w:rPr>
        <w:t xml:space="preserve"> and multi-vessel lesions of coronary arteries. In patients with AMI in the presence of comorbid obesity, growth in the size and volume of LV was determined with an </w:t>
      </w:r>
      <w:r w:rsidRPr="00FA0CA5">
        <w:rPr>
          <w:szCs w:val="28"/>
        </w:rPr>
        <w:lastRenderedPageBreak/>
        <w:t xml:space="preserve">increase </w:t>
      </w:r>
      <w:r w:rsidRPr="00FA0CA5">
        <w:rPr>
          <w:szCs w:val="28"/>
          <w:lang w:val="en-US"/>
        </w:rPr>
        <w:t>of</w:t>
      </w:r>
      <w:r w:rsidRPr="00FA0CA5">
        <w:rPr>
          <w:szCs w:val="28"/>
        </w:rPr>
        <w:t xml:space="preserve"> the parameters responsible for myocardial arterial stiffness associated with increas</w:t>
      </w:r>
      <w:r w:rsidRPr="00FA0CA5">
        <w:rPr>
          <w:szCs w:val="28"/>
          <w:lang w:val="en-US"/>
        </w:rPr>
        <w:t>ed</w:t>
      </w:r>
      <w:r w:rsidRPr="00FA0CA5">
        <w:rPr>
          <w:szCs w:val="28"/>
        </w:rPr>
        <w:t xml:space="preserve"> concentrations of markers being studied. This is confirmed by the direct </w:t>
      </w:r>
      <w:r w:rsidRPr="00FA0CA5">
        <w:rPr>
          <w:szCs w:val="28"/>
          <w:lang w:val="en-US"/>
        </w:rPr>
        <w:t>relations</w:t>
      </w:r>
      <w:r w:rsidRPr="00FA0CA5">
        <w:rPr>
          <w:szCs w:val="28"/>
        </w:rPr>
        <w:t xml:space="preserve"> between </w:t>
      </w:r>
      <w:r w:rsidRPr="00FA0CA5">
        <w:rPr>
          <w:szCs w:val="28"/>
          <w:lang w:val="en-US"/>
        </w:rPr>
        <w:t>vitronectin</w:t>
      </w:r>
      <w:r w:rsidRPr="00FA0CA5">
        <w:rPr>
          <w:szCs w:val="28"/>
        </w:rPr>
        <w:t xml:space="preserve"> and </w:t>
      </w:r>
      <w:r w:rsidRPr="00FA0CA5">
        <w:rPr>
          <w:szCs w:val="28"/>
          <w:lang w:val="en-US"/>
        </w:rPr>
        <w:t xml:space="preserve">end-diastolic volume (EDV) </w:t>
      </w:r>
      <w:r w:rsidRPr="00FA0CA5">
        <w:rPr>
          <w:szCs w:val="28"/>
        </w:rPr>
        <w:t>(</w:t>
      </w:r>
      <w:r w:rsidRPr="00FA0CA5">
        <w:rPr>
          <w:szCs w:val="28"/>
          <w:lang w:val="en-US"/>
        </w:rPr>
        <w:t>r</w:t>
      </w:r>
      <w:r w:rsidRPr="00FA0CA5">
        <w:rPr>
          <w:szCs w:val="28"/>
        </w:rPr>
        <w:t>=0.48; p&lt;0.05), end</w:t>
      </w:r>
      <w:r w:rsidRPr="00FA0CA5">
        <w:rPr>
          <w:szCs w:val="28"/>
          <w:lang w:val="en-US"/>
        </w:rPr>
        <w:t>-</w:t>
      </w:r>
      <w:r w:rsidRPr="00FA0CA5">
        <w:rPr>
          <w:szCs w:val="28"/>
        </w:rPr>
        <w:t>systolic volume (</w:t>
      </w:r>
      <w:r w:rsidRPr="00FA0CA5">
        <w:rPr>
          <w:szCs w:val="28"/>
          <w:lang w:val="en-US"/>
        </w:rPr>
        <w:t>ESV</w:t>
      </w:r>
      <w:r w:rsidRPr="00FA0CA5">
        <w:rPr>
          <w:szCs w:val="28"/>
        </w:rPr>
        <w:t>) (r=0.44, p &lt;0, 05), end</w:t>
      </w:r>
      <w:r w:rsidRPr="00FA0CA5">
        <w:rPr>
          <w:szCs w:val="28"/>
          <w:lang w:val="en-US"/>
        </w:rPr>
        <w:t>-</w:t>
      </w:r>
      <w:r w:rsidRPr="00FA0CA5">
        <w:rPr>
          <w:szCs w:val="28"/>
        </w:rPr>
        <w:t>diastolic size (</w:t>
      </w:r>
      <w:r w:rsidRPr="00FA0CA5">
        <w:rPr>
          <w:szCs w:val="28"/>
          <w:lang w:val="en-US"/>
        </w:rPr>
        <w:t>EDS</w:t>
      </w:r>
      <w:r w:rsidRPr="00FA0CA5">
        <w:rPr>
          <w:szCs w:val="28"/>
        </w:rPr>
        <w:t>) (r=0,56; p&lt;0,05), Ea/Es (r=0,59; p&lt;0,05) and inverse</w:t>
      </w:r>
      <w:r w:rsidRPr="00FA0CA5">
        <w:rPr>
          <w:szCs w:val="28"/>
          <w:lang w:val="en-US"/>
        </w:rPr>
        <w:t xml:space="preserve"> correlation</w:t>
      </w:r>
      <w:r w:rsidRPr="00FA0CA5">
        <w:rPr>
          <w:szCs w:val="28"/>
        </w:rPr>
        <w:t xml:space="preserve"> with the e</w:t>
      </w:r>
      <w:r w:rsidRPr="00FA0CA5">
        <w:rPr>
          <w:szCs w:val="28"/>
          <w:lang w:val="en-US"/>
        </w:rPr>
        <w:t>jection</w:t>
      </w:r>
      <w:r w:rsidRPr="00FA0CA5">
        <w:rPr>
          <w:szCs w:val="28"/>
        </w:rPr>
        <w:t xml:space="preserve"> fraction (</w:t>
      </w:r>
      <w:r w:rsidRPr="00FA0CA5">
        <w:rPr>
          <w:szCs w:val="28"/>
          <w:lang w:val="en-US"/>
        </w:rPr>
        <w:t>EF</w:t>
      </w:r>
      <w:r w:rsidRPr="00FA0CA5">
        <w:rPr>
          <w:szCs w:val="28"/>
        </w:rPr>
        <w:t xml:space="preserve">) (r=-0.41; p&lt;0.05). Galectin-3 also showed direct correlation with the parameters of </w:t>
      </w:r>
      <w:r w:rsidRPr="00FA0CA5">
        <w:rPr>
          <w:szCs w:val="28"/>
          <w:lang w:val="en-US"/>
        </w:rPr>
        <w:t>EDV</w:t>
      </w:r>
      <w:r w:rsidRPr="00FA0CA5">
        <w:rPr>
          <w:szCs w:val="28"/>
        </w:rPr>
        <w:t xml:space="preserve"> (r=0.57; p&lt;0.05), </w:t>
      </w:r>
      <w:r w:rsidRPr="00FA0CA5">
        <w:rPr>
          <w:szCs w:val="28"/>
          <w:lang w:val="en-US"/>
        </w:rPr>
        <w:t>ESV</w:t>
      </w:r>
      <w:r w:rsidRPr="00FA0CA5">
        <w:rPr>
          <w:szCs w:val="28"/>
        </w:rPr>
        <w:t xml:space="preserve"> (r=0.64; p&lt;0.05), left ventricular myocardial mass index (r=0.59; p&lt;0.05), Ea/Es (r=0.72; p&lt;0.05) and the </w:t>
      </w:r>
      <w:r w:rsidRPr="00FA0CA5">
        <w:rPr>
          <w:szCs w:val="28"/>
          <w:lang w:val="en-US"/>
        </w:rPr>
        <w:t>in</w:t>
      </w:r>
      <w:r w:rsidRPr="00FA0CA5">
        <w:rPr>
          <w:szCs w:val="28"/>
        </w:rPr>
        <w:t xml:space="preserve">verse link with </w:t>
      </w:r>
      <w:r w:rsidRPr="00FA0CA5">
        <w:rPr>
          <w:szCs w:val="28"/>
          <w:lang w:val="en-US"/>
        </w:rPr>
        <w:t>EF</w:t>
      </w:r>
      <w:r w:rsidRPr="00FA0CA5">
        <w:rPr>
          <w:szCs w:val="28"/>
        </w:rPr>
        <w:t xml:space="preserve"> (r=-0.38; p&lt;0.05).</w:t>
      </w:r>
    </w:p>
    <w:p w:rsidR="00DE5EFC" w:rsidRPr="00FA0CA5" w:rsidRDefault="00DE5EFC" w:rsidP="00DE5EFC">
      <w:pPr>
        <w:shd w:val="clear" w:color="auto" w:fill="FFFFFF"/>
        <w:spacing w:after="0" w:line="360" w:lineRule="auto"/>
        <w:ind w:firstLine="851"/>
        <w:jc w:val="both"/>
        <w:rPr>
          <w:szCs w:val="28"/>
        </w:rPr>
      </w:pPr>
      <w:r w:rsidRPr="00FA0CA5">
        <w:rPr>
          <w:szCs w:val="28"/>
        </w:rPr>
        <w:t>Based on the analysis of the results of the study, it was found that the growth of the concentration of galectin-3</w:t>
      </w:r>
      <w:r w:rsidRPr="00FA0CA5">
        <w:rPr>
          <w:szCs w:val="28"/>
          <w:lang w:val="en-US"/>
        </w:rPr>
        <w:t xml:space="preserve"> up</w:t>
      </w:r>
      <w:r w:rsidRPr="00FA0CA5">
        <w:rPr>
          <w:szCs w:val="28"/>
        </w:rPr>
        <w:t xml:space="preserve"> to 23.48 - 41.42 ng/ml, corresponding to 3-4 quart</w:t>
      </w:r>
      <w:r w:rsidRPr="00FA0CA5">
        <w:rPr>
          <w:szCs w:val="28"/>
          <w:lang w:val="en-US"/>
        </w:rPr>
        <w:t>ile</w:t>
      </w:r>
      <w:r w:rsidRPr="00FA0CA5">
        <w:rPr>
          <w:szCs w:val="28"/>
        </w:rPr>
        <w:t xml:space="preserve"> of galectin-3 levels in patients with </w:t>
      </w:r>
      <w:r w:rsidRPr="00FA0CA5">
        <w:rPr>
          <w:szCs w:val="28"/>
          <w:lang w:val="en-US"/>
        </w:rPr>
        <w:t>AMI</w:t>
      </w:r>
      <w:r w:rsidRPr="00FA0CA5">
        <w:rPr>
          <w:szCs w:val="28"/>
        </w:rPr>
        <w:t xml:space="preserve"> and obesity, was associated with an increase in the number of affected vessels and segments along with the high points of the </w:t>
      </w:r>
      <w:r w:rsidRPr="00FA0CA5">
        <w:rPr>
          <w:szCs w:val="28"/>
          <w:lang w:val="en-US"/>
        </w:rPr>
        <w:t>Gensini</w:t>
      </w:r>
      <w:r w:rsidRPr="00FA0CA5">
        <w:rPr>
          <w:szCs w:val="28"/>
        </w:rPr>
        <w:t xml:space="preserve"> scale, which indicates the increase in the severity of atherosclerotic lesions of the coronary arteries </w:t>
      </w:r>
      <w:r w:rsidRPr="00FA0CA5">
        <w:rPr>
          <w:szCs w:val="28"/>
          <w:lang w:val="en-US"/>
        </w:rPr>
        <w:t xml:space="preserve">on the </w:t>
      </w:r>
      <w:r w:rsidRPr="00FA0CA5">
        <w:rPr>
          <w:szCs w:val="28"/>
        </w:rPr>
        <w:t xml:space="preserve">background of high of galectin-3 concentration in patients with </w:t>
      </w:r>
      <w:r w:rsidRPr="00FA0CA5">
        <w:rPr>
          <w:szCs w:val="28"/>
          <w:lang w:val="en-US"/>
        </w:rPr>
        <w:t>AMI</w:t>
      </w:r>
      <w:r w:rsidRPr="00FA0CA5">
        <w:rPr>
          <w:szCs w:val="28"/>
        </w:rPr>
        <w:t xml:space="preserve"> with concomitant obesity. In patients with AMI and obesity included in 1 and 2 quartile </w:t>
      </w:r>
      <w:r w:rsidRPr="00FA0CA5">
        <w:rPr>
          <w:szCs w:val="28"/>
          <w:lang w:val="en-US"/>
        </w:rPr>
        <w:t xml:space="preserve">of </w:t>
      </w:r>
      <w:r w:rsidRPr="00FA0CA5">
        <w:rPr>
          <w:szCs w:val="28"/>
        </w:rPr>
        <w:t>galectin-3 concentration, direct correlations of mean strength between galectin-3 and the number of affected vessels were found (r=0.45; p&lt;0.05 for 1 quartile and r=0.51; p&lt;0.05 for 2 quart</w:t>
      </w:r>
      <w:r w:rsidRPr="00FA0CA5">
        <w:rPr>
          <w:szCs w:val="28"/>
          <w:lang w:val="en-US"/>
        </w:rPr>
        <w:t>ile</w:t>
      </w:r>
      <w:r w:rsidRPr="00FA0CA5">
        <w:rPr>
          <w:szCs w:val="28"/>
        </w:rPr>
        <w:t>), the number of affected segments (r=0.49; p&lt;0.05 and r=0.53; p&lt;0.05 respectively), as well as with points Gensin</w:t>
      </w:r>
      <w:r w:rsidRPr="00FA0CA5">
        <w:rPr>
          <w:szCs w:val="28"/>
          <w:lang w:val="en-US"/>
        </w:rPr>
        <w:t>i</w:t>
      </w:r>
      <w:r w:rsidRPr="00FA0CA5">
        <w:rPr>
          <w:szCs w:val="28"/>
        </w:rPr>
        <w:t xml:space="preserve"> scale (r=0.56; p&lt;0.05 and r=0.58; p&lt;0.05). An analysis of the relationship</w:t>
      </w:r>
      <w:r w:rsidRPr="00FA0CA5">
        <w:rPr>
          <w:szCs w:val="28"/>
          <w:lang w:val="en-US"/>
        </w:rPr>
        <w:t>s</w:t>
      </w:r>
      <w:r w:rsidRPr="00FA0CA5">
        <w:rPr>
          <w:szCs w:val="28"/>
        </w:rPr>
        <w:t xml:space="preserve"> between the parameters studied in patients involved in 3 and 4 quart</w:t>
      </w:r>
      <w:r w:rsidRPr="00FA0CA5">
        <w:rPr>
          <w:szCs w:val="28"/>
          <w:lang w:val="en-US"/>
        </w:rPr>
        <w:t>iles</w:t>
      </w:r>
      <w:r w:rsidRPr="00FA0CA5">
        <w:rPr>
          <w:szCs w:val="28"/>
        </w:rPr>
        <w:t xml:space="preserve"> has established direct strong </w:t>
      </w:r>
      <w:r w:rsidRPr="00FA0CA5">
        <w:rPr>
          <w:szCs w:val="28"/>
          <w:lang w:val="en-US"/>
        </w:rPr>
        <w:t>correlations</w:t>
      </w:r>
      <w:r w:rsidRPr="00FA0CA5">
        <w:rPr>
          <w:szCs w:val="28"/>
        </w:rPr>
        <w:t xml:space="preserve"> between the level of galectin-3 and the points of the </w:t>
      </w:r>
      <w:r w:rsidRPr="00FA0CA5">
        <w:rPr>
          <w:szCs w:val="28"/>
          <w:lang w:val="en-US"/>
        </w:rPr>
        <w:t>Gensini</w:t>
      </w:r>
      <w:r w:rsidRPr="00FA0CA5">
        <w:rPr>
          <w:szCs w:val="28"/>
        </w:rPr>
        <w:t xml:space="preserve"> scale (r=0.73; p&lt;0.05 for 3 quart</w:t>
      </w:r>
      <w:r w:rsidRPr="00FA0CA5">
        <w:rPr>
          <w:szCs w:val="28"/>
          <w:lang w:val="en-US"/>
        </w:rPr>
        <w:t>ile</w:t>
      </w:r>
      <w:r w:rsidRPr="00FA0CA5">
        <w:rPr>
          <w:szCs w:val="28"/>
        </w:rPr>
        <w:t xml:space="preserve"> and r=0.75; p&lt;0.05 for 4 quart</w:t>
      </w:r>
      <w:r w:rsidRPr="00FA0CA5">
        <w:rPr>
          <w:szCs w:val="28"/>
          <w:lang w:val="en-US"/>
        </w:rPr>
        <w:t>ile</w:t>
      </w:r>
      <w:r w:rsidRPr="00FA0CA5">
        <w:rPr>
          <w:szCs w:val="28"/>
        </w:rPr>
        <w:t xml:space="preserve">), the number of affected vessels (r=0.70, p&lt;0.05 and r=0.72, p&lt;0.05 respectively), the number of affected segments (r=0.71; p&lt;0.05 and r=0.74; p&lt;0.05 respectively) in patients with </w:t>
      </w:r>
      <w:r w:rsidRPr="00FA0CA5">
        <w:rPr>
          <w:szCs w:val="28"/>
          <w:lang w:val="en-US"/>
        </w:rPr>
        <w:t>AMI</w:t>
      </w:r>
      <w:r w:rsidRPr="00FA0CA5">
        <w:rPr>
          <w:szCs w:val="28"/>
        </w:rPr>
        <w:t xml:space="preserve"> and obesity.</w:t>
      </w:r>
    </w:p>
    <w:p w:rsidR="00DE5EFC" w:rsidRPr="00FA0CA5" w:rsidRDefault="00DE5EFC" w:rsidP="00DE5EFC">
      <w:pPr>
        <w:shd w:val="clear" w:color="auto" w:fill="FFFFFF"/>
        <w:spacing w:after="0" w:line="360" w:lineRule="auto"/>
        <w:ind w:firstLine="851"/>
        <w:jc w:val="both"/>
        <w:rPr>
          <w:szCs w:val="28"/>
        </w:rPr>
      </w:pPr>
      <w:r w:rsidRPr="00FA0CA5">
        <w:rPr>
          <w:szCs w:val="28"/>
          <w:lang w:val="en-US"/>
        </w:rPr>
        <w:t>The a</w:t>
      </w:r>
      <w:r w:rsidRPr="00FA0CA5">
        <w:rPr>
          <w:szCs w:val="28"/>
        </w:rPr>
        <w:t>nalysis of the results of vitronectin and galectin-3 study after 6 months after myocardial infarction (MI) in the context of concomitant obesity demonstrated the following dynamics, depending on the chosen tactic of reperfusion therapy and further treatment with clopidogrel or t</w:t>
      </w:r>
      <w:r w:rsidRPr="00FA0CA5">
        <w:rPr>
          <w:szCs w:val="28"/>
          <w:lang w:val="en-US"/>
        </w:rPr>
        <w:t>i</w:t>
      </w:r>
      <w:r w:rsidRPr="00FA0CA5">
        <w:rPr>
          <w:szCs w:val="28"/>
        </w:rPr>
        <w:t>cagrelor in combination with acetylsalicylic acid (ASA) in double antiplatelet therapy (</w:t>
      </w:r>
      <w:r w:rsidRPr="00FA0CA5">
        <w:rPr>
          <w:szCs w:val="28"/>
          <w:lang w:val="en-US"/>
        </w:rPr>
        <w:t>DAT</w:t>
      </w:r>
      <w:r w:rsidRPr="00FA0CA5">
        <w:rPr>
          <w:szCs w:val="28"/>
        </w:rPr>
        <w:t>).</w:t>
      </w:r>
    </w:p>
    <w:p w:rsidR="00DE5EFC" w:rsidRPr="00FA0CA5" w:rsidRDefault="00DE5EFC" w:rsidP="00DE5EFC">
      <w:pPr>
        <w:shd w:val="clear" w:color="auto" w:fill="FFFFFF"/>
        <w:spacing w:after="0" w:line="360" w:lineRule="auto"/>
        <w:ind w:firstLine="851"/>
        <w:jc w:val="both"/>
        <w:rPr>
          <w:szCs w:val="28"/>
        </w:rPr>
      </w:pPr>
      <w:r w:rsidRPr="00FA0CA5">
        <w:rPr>
          <w:szCs w:val="28"/>
        </w:rPr>
        <w:lastRenderedPageBreak/>
        <w:t>In patients with</w:t>
      </w:r>
      <w:r w:rsidRPr="00FA0CA5">
        <w:rPr>
          <w:szCs w:val="28"/>
          <w:lang w:val="en-US"/>
        </w:rPr>
        <w:t xml:space="preserve"> percutaneous intervention</w:t>
      </w:r>
      <w:r w:rsidRPr="00FA0CA5">
        <w:rPr>
          <w:szCs w:val="28"/>
        </w:rPr>
        <w:t xml:space="preserve"> </w:t>
      </w:r>
      <w:r w:rsidRPr="00FA0CA5">
        <w:rPr>
          <w:szCs w:val="28"/>
          <w:lang w:val="en-US"/>
        </w:rPr>
        <w:t>(PCI)</w:t>
      </w:r>
      <w:r w:rsidRPr="00FA0CA5">
        <w:rPr>
          <w:szCs w:val="28"/>
        </w:rPr>
        <w:t xml:space="preserve"> with subsequent stent placement in the affected artery the level of vitronectin decreased significantly by 24.4% (p&lt;0.05), while in the group of patients after thrombolysis – 13.9% (p&lt;0.05). </w:t>
      </w:r>
      <w:r w:rsidRPr="00FA0CA5">
        <w:rPr>
          <w:szCs w:val="28"/>
          <w:lang w:val="en-US"/>
        </w:rPr>
        <w:t>As for</w:t>
      </w:r>
      <w:r w:rsidRPr="00FA0CA5">
        <w:rPr>
          <w:szCs w:val="28"/>
        </w:rPr>
        <w:t xml:space="preserve"> galectin-3, in patients with PCI, its level was significantly lower than the baseline data </w:t>
      </w:r>
      <w:r w:rsidRPr="00FA0CA5">
        <w:rPr>
          <w:szCs w:val="28"/>
          <w:lang w:val="en-US"/>
        </w:rPr>
        <w:t>by</w:t>
      </w:r>
      <w:r w:rsidRPr="00FA0CA5">
        <w:rPr>
          <w:szCs w:val="28"/>
        </w:rPr>
        <w:t xml:space="preserve"> 56.8% (p&lt;0.05). In the group of patients after the thrombolytic therapy, the concentration of galectin-3 decreased by 33.8% (p&lt;0.05) compared with the concentration before treatment.</w:t>
      </w:r>
    </w:p>
    <w:p w:rsidR="00DE5EFC" w:rsidRPr="00FA0CA5" w:rsidRDefault="00DE5EFC" w:rsidP="00DE5EFC">
      <w:pPr>
        <w:shd w:val="clear" w:color="auto" w:fill="FFFFFF"/>
        <w:spacing w:after="0" w:line="360" w:lineRule="auto"/>
        <w:ind w:firstLine="851"/>
        <w:jc w:val="both"/>
        <w:rPr>
          <w:szCs w:val="28"/>
          <w:lang w:val="en-US"/>
        </w:rPr>
      </w:pPr>
      <w:r w:rsidRPr="00FA0CA5">
        <w:rPr>
          <w:szCs w:val="28"/>
        </w:rPr>
        <w:t>An evaluation of changes in humoral parameters, namely, gal</w:t>
      </w:r>
      <w:r w:rsidRPr="00FA0CA5">
        <w:rPr>
          <w:szCs w:val="28"/>
          <w:lang w:val="en-US"/>
        </w:rPr>
        <w:t>ectin</w:t>
      </w:r>
      <w:r w:rsidRPr="00FA0CA5">
        <w:rPr>
          <w:szCs w:val="28"/>
        </w:rPr>
        <w:t xml:space="preserve">-3 and vitronectin, was performed, depending on the selected combination of drugs in the </w:t>
      </w:r>
      <w:r w:rsidRPr="00FA0CA5">
        <w:rPr>
          <w:szCs w:val="28"/>
          <w:lang w:val="en-US"/>
        </w:rPr>
        <w:t>DAT</w:t>
      </w:r>
      <w:r w:rsidRPr="00FA0CA5">
        <w:rPr>
          <w:szCs w:val="28"/>
        </w:rPr>
        <w:t xml:space="preserve">. In the group of patients with AMI and obesity receiving ticagrelor in combination with ASA, the level of galectin-3 decreased by 35.1% (p&lt;0.05) and the concentration of vitronectin by 24.7% (p&lt;0.05). </w:t>
      </w:r>
      <w:r w:rsidRPr="00FA0CA5">
        <w:rPr>
          <w:szCs w:val="28"/>
          <w:lang w:val="en-US"/>
        </w:rPr>
        <w:t xml:space="preserve">The </w:t>
      </w:r>
      <w:r w:rsidRPr="00FA0CA5">
        <w:rPr>
          <w:szCs w:val="28"/>
        </w:rPr>
        <w:t>vit</w:t>
      </w:r>
      <w:r w:rsidRPr="00FA0CA5">
        <w:rPr>
          <w:szCs w:val="28"/>
          <w:lang w:val="en-US"/>
        </w:rPr>
        <w:t>r</w:t>
      </w:r>
      <w:r w:rsidRPr="00FA0CA5">
        <w:rPr>
          <w:szCs w:val="28"/>
        </w:rPr>
        <w:t>onectin concentration</w:t>
      </w:r>
      <w:r w:rsidRPr="00FA0CA5">
        <w:rPr>
          <w:szCs w:val="28"/>
          <w:lang w:val="en-US"/>
        </w:rPr>
        <w:t xml:space="preserve"> decreased</w:t>
      </w:r>
      <w:r w:rsidRPr="00FA0CA5">
        <w:rPr>
          <w:szCs w:val="28"/>
        </w:rPr>
        <w:t xml:space="preserve"> </w:t>
      </w:r>
      <w:r w:rsidRPr="00FA0CA5">
        <w:rPr>
          <w:szCs w:val="28"/>
          <w:lang w:val="en-US"/>
        </w:rPr>
        <w:t>by</w:t>
      </w:r>
      <w:r w:rsidRPr="00FA0CA5">
        <w:rPr>
          <w:szCs w:val="28"/>
        </w:rPr>
        <w:t xml:space="preserve"> 23.04% (p&lt;0.05) and gale</w:t>
      </w:r>
      <w:r w:rsidRPr="00FA0CA5">
        <w:rPr>
          <w:szCs w:val="28"/>
          <w:lang w:val="en-US"/>
        </w:rPr>
        <w:t>cti</w:t>
      </w:r>
      <w:r w:rsidRPr="00FA0CA5">
        <w:rPr>
          <w:szCs w:val="28"/>
        </w:rPr>
        <w:t xml:space="preserve">n-3 </w:t>
      </w:r>
      <w:r w:rsidRPr="00FA0CA5">
        <w:rPr>
          <w:szCs w:val="28"/>
          <w:lang w:val="en-US"/>
        </w:rPr>
        <w:t xml:space="preserve">– by </w:t>
      </w:r>
      <w:r w:rsidRPr="00FA0CA5">
        <w:rPr>
          <w:szCs w:val="28"/>
        </w:rPr>
        <w:t xml:space="preserve">19.2% (p&lt;0.05) </w:t>
      </w:r>
      <w:r w:rsidRPr="00FA0CA5">
        <w:rPr>
          <w:szCs w:val="28"/>
          <w:lang w:val="en-US"/>
        </w:rPr>
        <w:t>on the background of use in</w:t>
      </w:r>
      <w:r w:rsidRPr="00FA0CA5">
        <w:rPr>
          <w:szCs w:val="28"/>
        </w:rPr>
        <w:t xml:space="preserve"> </w:t>
      </w:r>
      <w:r w:rsidRPr="00FA0CA5">
        <w:rPr>
          <w:szCs w:val="28"/>
          <w:lang w:val="en-US"/>
        </w:rPr>
        <w:t>DAT</w:t>
      </w:r>
      <w:r w:rsidRPr="00FA0CA5">
        <w:rPr>
          <w:szCs w:val="28"/>
        </w:rPr>
        <w:t xml:space="preserve"> </w:t>
      </w:r>
      <w:r w:rsidRPr="00FA0CA5">
        <w:rPr>
          <w:szCs w:val="28"/>
          <w:lang w:val="en-US"/>
        </w:rPr>
        <w:t>ASA</w:t>
      </w:r>
      <w:r w:rsidRPr="00FA0CA5">
        <w:rPr>
          <w:szCs w:val="28"/>
        </w:rPr>
        <w:t xml:space="preserve"> and clopidogrel</w:t>
      </w:r>
      <w:r w:rsidRPr="00FA0CA5">
        <w:rPr>
          <w:szCs w:val="28"/>
          <w:lang w:val="en-US"/>
        </w:rPr>
        <w:t>.</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In the group of patients receiving </w:t>
      </w:r>
      <w:r w:rsidRPr="00FA0CA5">
        <w:rPr>
          <w:szCs w:val="28"/>
          <w:lang w:val="en-US"/>
        </w:rPr>
        <w:t>DAT</w:t>
      </w:r>
      <w:r w:rsidRPr="00FA0CA5">
        <w:rPr>
          <w:szCs w:val="28"/>
        </w:rPr>
        <w:t xml:space="preserve"> with the involvement of ASA and </w:t>
      </w:r>
      <w:r w:rsidRPr="00FA0CA5">
        <w:rPr>
          <w:szCs w:val="28"/>
          <w:lang w:val="en-US"/>
        </w:rPr>
        <w:t>ti</w:t>
      </w:r>
      <w:r w:rsidRPr="00FA0CA5">
        <w:rPr>
          <w:szCs w:val="28"/>
        </w:rPr>
        <w:t>cagr</w:t>
      </w:r>
      <w:r w:rsidRPr="00FA0CA5">
        <w:rPr>
          <w:szCs w:val="28"/>
          <w:lang w:val="en-US"/>
        </w:rPr>
        <w:t>e</w:t>
      </w:r>
      <w:r w:rsidRPr="00FA0CA5">
        <w:rPr>
          <w:szCs w:val="28"/>
        </w:rPr>
        <w:t xml:space="preserve">lor for 6 months after the MI </w:t>
      </w:r>
      <w:r w:rsidRPr="00FA0CA5">
        <w:rPr>
          <w:szCs w:val="28"/>
          <w:lang w:val="en-US"/>
        </w:rPr>
        <w:t xml:space="preserve"> there </w:t>
      </w:r>
      <w:r w:rsidRPr="00FA0CA5">
        <w:rPr>
          <w:szCs w:val="28"/>
        </w:rPr>
        <w:t xml:space="preserve">was </w:t>
      </w:r>
      <w:r w:rsidRPr="00FA0CA5">
        <w:rPr>
          <w:szCs w:val="28"/>
          <w:lang w:val="en-US"/>
        </w:rPr>
        <w:t xml:space="preserve">fixed </w:t>
      </w:r>
      <w:r w:rsidRPr="00FA0CA5">
        <w:rPr>
          <w:szCs w:val="28"/>
        </w:rPr>
        <w:t>re</w:t>
      </w:r>
      <w:r w:rsidRPr="00FA0CA5">
        <w:rPr>
          <w:szCs w:val="28"/>
          <w:lang w:val="en-US"/>
        </w:rPr>
        <w:t xml:space="preserve">current </w:t>
      </w:r>
      <w:r w:rsidRPr="00FA0CA5">
        <w:rPr>
          <w:szCs w:val="28"/>
        </w:rPr>
        <w:t xml:space="preserve">MI and/or </w:t>
      </w:r>
      <w:r w:rsidRPr="00FA0CA5">
        <w:rPr>
          <w:szCs w:val="28"/>
          <w:lang w:val="en-US"/>
        </w:rPr>
        <w:t>unstable angina</w:t>
      </w:r>
      <w:r w:rsidRPr="00FA0CA5">
        <w:rPr>
          <w:szCs w:val="28"/>
        </w:rPr>
        <w:t xml:space="preserve"> </w:t>
      </w:r>
      <w:r w:rsidRPr="00FA0CA5">
        <w:rPr>
          <w:szCs w:val="28"/>
          <w:lang w:val="en-US"/>
        </w:rPr>
        <w:t>in</w:t>
      </w:r>
      <w:r w:rsidRPr="00FA0CA5">
        <w:rPr>
          <w:szCs w:val="28"/>
        </w:rPr>
        <w:t xml:space="preserve"> 11 people, accounting for 37.56%. At the time when in the group of patients receiving </w:t>
      </w:r>
      <w:r w:rsidRPr="00FA0CA5">
        <w:rPr>
          <w:szCs w:val="28"/>
          <w:lang w:val="en-US"/>
        </w:rPr>
        <w:t>DAT</w:t>
      </w:r>
      <w:r w:rsidRPr="00FA0CA5">
        <w:rPr>
          <w:szCs w:val="28"/>
        </w:rPr>
        <w:t xml:space="preserve"> in combination with </w:t>
      </w:r>
      <w:r w:rsidRPr="00FA0CA5">
        <w:rPr>
          <w:szCs w:val="28"/>
          <w:lang w:val="en-US"/>
        </w:rPr>
        <w:t>ASA</w:t>
      </w:r>
      <w:r w:rsidRPr="00FA0CA5">
        <w:rPr>
          <w:szCs w:val="28"/>
        </w:rPr>
        <w:t xml:space="preserve"> with clopidogrel, re</w:t>
      </w:r>
      <w:r w:rsidRPr="00FA0CA5">
        <w:rPr>
          <w:szCs w:val="28"/>
          <w:lang w:val="en-US"/>
        </w:rPr>
        <w:t xml:space="preserve">current </w:t>
      </w:r>
      <w:r w:rsidRPr="00FA0CA5">
        <w:rPr>
          <w:szCs w:val="28"/>
        </w:rPr>
        <w:t xml:space="preserve">cardiovascular catastrophes were detected in 17 patients, which was 22.8%. That is, in the group of patients receiving treatment with ASA with tacagrelor in </w:t>
      </w:r>
      <w:r w:rsidRPr="00FA0CA5">
        <w:rPr>
          <w:szCs w:val="28"/>
          <w:lang w:val="en-US"/>
        </w:rPr>
        <w:t>DAT</w:t>
      </w:r>
      <w:r w:rsidRPr="00FA0CA5">
        <w:rPr>
          <w:szCs w:val="28"/>
        </w:rPr>
        <w:t xml:space="preserve"> there was a lower level of development of r</w:t>
      </w:r>
      <w:r w:rsidRPr="00FA0CA5">
        <w:rPr>
          <w:szCs w:val="28"/>
          <w:lang w:val="en-US"/>
        </w:rPr>
        <w:t xml:space="preserve">ecurrent </w:t>
      </w:r>
      <w:r w:rsidRPr="00FA0CA5">
        <w:rPr>
          <w:szCs w:val="28"/>
        </w:rPr>
        <w:t xml:space="preserve">coronary events than in the group of patients receiving </w:t>
      </w:r>
      <w:r w:rsidRPr="00FA0CA5">
        <w:rPr>
          <w:szCs w:val="28"/>
          <w:lang w:val="en-US"/>
        </w:rPr>
        <w:t>ASA</w:t>
      </w:r>
      <w:r w:rsidRPr="00FA0CA5">
        <w:rPr>
          <w:szCs w:val="28"/>
        </w:rPr>
        <w:t xml:space="preserve"> with clopidogrel.</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scientific novelty of the results of the dissertation has expanded </w:t>
      </w:r>
      <w:r w:rsidRPr="00FA0CA5">
        <w:rPr>
          <w:szCs w:val="28"/>
          <w:lang w:val="en-US"/>
        </w:rPr>
        <w:t xml:space="preserve">the </w:t>
      </w:r>
      <w:r w:rsidRPr="00FA0CA5">
        <w:rPr>
          <w:szCs w:val="28"/>
        </w:rPr>
        <w:t>data concerning the role of vitronectin and galectin-3 in the development and prediction of the course of AMI in patients with concomitant obesity.</w:t>
      </w:r>
    </w:p>
    <w:p w:rsidR="00DE5EFC" w:rsidRPr="00FA0CA5" w:rsidRDefault="00DE5EFC" w:rsidP="00DE5EFC">
      <w:pPr>
        <w:shd w:val="clear" w:color="auto" w:fill="FFFFFF"/>
        <w:spacing w:after="0" w:line="360" w:lineRule="auto"/>
        <w:ind w:firstLine="851"/>
        <w:jc w:val="both"/>
        <w:rPr>
          <w:szCs w:val="28"/>
        </w:rPr>
      </w:pPr>
      <w:r w:rsidRPr="00FA0CA5">
        <w:rPr>
          <w:szCs w:val="28"/>
        </w:rPr>
        <w:t>The role of vitronectin as a prognostic marker for the occurrence of re</w:t>
      </w:r>
      <w:r w:rsidRPr="00FA0CA5">
        <w:rPr>
          <w:szCs w:val="28"/>
          <w:lang w:val="en-US"/>
        </w:rPr>
        <w:t xml:space="preserve">current </w:t>
      </w:r>
      <w:r w:rsidRPr="00FA0CA5">
        <w:rPr>
          <w:szCs w:val="28"/>
        </w:rPr>
        <w:t xml:space="preserve">cardiovascular events during the 6-month follow-up period for patients after </w:t>
      </w:r>
      <w:r w:rsidRPr="00FA0CA5">
        <w:rPr>
          <w:szCs w:val="28"/>
          <w:lang w:val="en-US"/>
        </w:rPr>
        <w:t>MI</w:t>
      </w:r>
      <w:r w:rsidRPr="00FA0CA5">
        <w:rPr>
          <w:szCs w:val="28"/>
        </w:rPr>
        <w:t xml:space="preserve"> with obesity has been established. Data on the role of galectin-3 as an indicator of the severity of coronary artery disease in patients with </w:t>
      </w:r>
      <w:r w:rsidRPr="00FA0CA5">
        <w:rPr>
          <w:szCs w:val="28"/>
          <w:lang w:val="en-US"/>
        </w:rPr>
        <w:t>AMI</w:t>
      </w:r>
      <w:r w:rsidRPr="00FA0CA5">
        <w:rPr>
          <w:szCs w:val="28"/>
        </w:rPr>
        <w:t xml:space="preserve"> in the presence of comorbid obesity have been expanded.</w:t>
      </w:r>
    </w:p>
    <w:p w:rsidR="00DE5EFC" w:rsidRPr="00FA0CA5" w:rsidRDefault="00DE5EFC" w:rsidP="00DE5EFC">
      <w:pPr>
        <w:shd w:val="clear" w:color="auto" w:fill="FFFFFF"/>
        <w:spacing w:after="0" w:line="360" w:lineRule="auto"/>
        <w:ind w:firstLine="851"/>
        <w:jc w:val="both"/>
        <w:rPr>
          <w:szCs w:val="28"/>
        </w:rPr>
      </w:pPr>
      <w:r w:rsidRPr="00FA0CA5">
        <w:rPr>
          <w:szCs w:val="28"/>
        </w:rPr>
        <w:lastRenderedPageBreak/>
        <w:t xml:space="preserve">The activity of galectin-3 and vitronectin has been shown to correlate with the dilation of the </w:t>
      </w:r>
      <w:r w:rsidRPr="00FA0CA5">
        <w:rPr>
          <w:szCs w:val="28"/>
          <w:lang w:val="en-US"/>
        </w:rPr>
        <w:t>LV</w:t>
      </w:r>
      <w:r w:rsidRPr="00FA0CA5">
        <w:rPr>
          <w:szCs w:val="28"/>
        </w:rPr>
        <w:t xml:space="preserve"> cavity with an increase in myocardial arterial stiffness in the case of multi-vessel lesions.</w:t>
      </w:r>
    </w:p>
    <w:p w:rsidR="00DE5EFC" w:rsidRPr="00FA0CA5" w:rsidRDefault="00DE5EFC" w:rsidP="00DE5EFC">
      <w:pPr>
        <w:shd w:val="clear" w:color="auto" w:fill="FFFFFF"/>
        <w:spacing w:after="0" w:line="360" w:lineRule="auto"/>
        <w:ind w:firstLine="851"/>
        <w:jc w:val="both"/>
        <w:rPr>
          <w:szCs w:val="28"/>
          <w:lang w:val="en-US"/>
        </w:rPr>
      </w:pPr>
      <w:r w:rsidRPr="00FA0CA5">
        <w:rPr>
          <w:szCs w:val="28"/>
        </w:rPr>
        <w:t xml:space="preserve">The possibility of therapeutic approaches personification in treatment of patients with </w:t>
      </w:r>
      <w:r w:rsidRPr="00FA0CA5">
        <w:rPr>
          <w:szCs w:val="28"/>
          <w:lang w:val="en-US"/>
        </w:rPr>
        <w:t>AMI</w:t>
      </w:r>
      <w:r w:rsidRPr="00FA0CA5">
        <w:rPr>
          <w:szCs w:val="28"/>
        </w:rPr>
        <w:t xml:space="preserve"> and obesity </w:t>
      </w:r>
      <w:r w:rsidRPr="00FA0CA5">
        <w:rPr>
          <w:szCs w:val="28"/>
          <w:lang w:val="en-US"/>
        </w:rPr>
        <w:t xml:space="preserve">was found </w:t>
      </w:r>
      <w:r w:rsidRPr="00FA0CA5">
        <w:rPr>
          <w:szCs w:val="28"/>
        </w:rPr>
        <w:t>with the consideration of the risk of recurrent cardiovascular events reducing</w:t>
      </w:r>
      <w:r w:rsidRPr="00FA0CA5">
        <w:rPr>
          <w:szCs w:val="28"/>
          <w:lang w:val="en-US"/>
        </w:rPr>
        <w:t>.</w:t>
      </w:r>
    </w:p>
    <w:p w:rsidR="00DE5EFC" w:rsidRPr="00FA0CA5" w:rsidRDefault="00DE5EFC" w:rsidP="00DE5EFC">
      <w:pPr>
        <w:shd w:val="clear" w:color="auto" w:fill="FFFFFF"/>
        <w:spacing w:after="0" w:line="360" w:lineRule="auto"/>
        <w:ind w:firstLine="851"/>
        <w:jc w:val="both"/>
        <w:rPr>
          <w:szCs w:val="28"/>
        </w:rPr>
      </w:pPr>
      <w:r w:rsidRPr="00FA0CA5">
        <w:rPr>
          <w:szCs w:val="28"/>
        </w:rPr>
        <w:t>The role of anthropometric parameters, indicators of functional state of the kidneys together with use of galectin-3 and vitronectin as risk factors for re</w:t>
      </w:r>
      <w:r w:rsidRPr="00FA0CA5">
        <w:rPr>
          <w:szCs w:val="28"/>
          <w:lang w:val="en-US"/>
        </w:rPr>
        <w:t>current</w:t>
      </w:r>
      <w:r w:rsidRPr="00FA0CA5">
        <w:rPr>
          <w:szCs w:val="28"/>
        </w:rPr>
        <w:t xml:space="preserve"> cardiovascular catastrophes was determined.</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practical significance of the results obtained is introduced into the practice of predicting repeated cardiovascular events during the 6-month follow-up period for patients with </w:t>
      </w:r>
      <w:r w:rsidRPr="00FA0CA5">
        <w:rPr>
          <w:szCs w:val="28"/>
          <w:lang w:val="en-US"/>
        </w:rPr>
        <w:t>AMI</w:t>
      </w:r>
      <w:r w:rsidRPr="00FA0CA5">
        <w:rPr>
          <w:szCs w:val="28"/>
        </w:rPr>
        <w:t xml:space="preserve"> in the context of concomitant obesity by assessing the concentration of serum vitronectin, which had a predictive informative level at</w:t>
      </w:r>
      <w:r w:rsidRPr="00FA0CA5">
        <w:rPr>
          <w:szCs w:val="28"/>
          <w:lang w:val="en-US"/>
        </w:rPr>
        <w:t xml:space="preserve"> </w:t>
      </w:r>
      <w:r w:rsidRPr="00FA0CA5">
        <w:rPr>
          <w:szCs w:val="28"/>
        </w:rPr>
        <w:t>&gt;283.26 ng/ml on the development of re</w:t>
      </w:r>
      <w:r w:rsidRPr="00FA0CA5">
        <w:rPr>
          <w:szCs w:val="28"/>
          <w:lang w:val="en-US"/>
        </w:rPr>
        <w:t>current</w:t>
      </w:r>
      <w:r w:rsidRPr="00FA0CA5">
        <w:rPr>
          <w:szCs w:val="28"/>
        </w:rPr>
        <w:t xml:space="preserve"> coronary events in patients with </w:t>
      </w:r>
      <w:r w:rsidRPr="00FA0CA5">
        <w:rPr>
          <w:szCs w:val="28"/>
          <w:lang w:val="en-US"/>
        </w:rPr>
        <w:t>AMI</w:t>
      </w:r>
      <w:r w:rsidRPr="00FA0CA5">
        <w:rPr>
          <w:szCs w:val="28"/>
        </w:rPr>
        <w:t xml:space="preserve"> and obesity, as well as in studying the level of galectin-3, the growth of which higher than 12.83 ng/ml considering </w:t>
      </w:r>
      <w:r w:rsidRPr="00FA0CA5">
        <w:rPr>
          <w:szCs w:val="28"/>
          <w:lang w:val="en-US"/>
        </w:rPr>
        <w:t>WC</w:t>
      </w:r>
      <w:r w:rsidRPr="00FA0CA5">
        <w:rPr>
          <w:szCs w:val="28"/>
        </w:rPr>
        <w:t xml:space="preserve">&gt; 130 cm, BMI&gt; 34.13 kg / m2 and creatinine </w:t>
      </w:r>
      <w:r w:rsidRPr="00FA0CA5">
        <w:rPr>
          <w:szCs w:val="28"/>
          <w:lang w:val="en-US"/>
        </w:rPr>
        <w:t xml:space="preserve">level </w:t>
      </w:r>
      <w:r w:rsidRPr="00FA0CA5">
        <w:rPr>
          <w:szCs w:val="28"/>
        </w:rPr>
        <w:t xml:space="preserve">&gt; 85 μmol/L revealed prognostic properties in patients with </w:t>
      </w:r>
      <w:r w:rsidRPr="00FA0CA5">
        <w:rPr>
          <w:szCs w:val="28"/>
          <w:lang w:val="en-US"/>
        </w:rPr>
        <w:t>AMI</w:t>
      </w:r>
      <w:r w:rsidRPr="00FA0CA5">
        <w:rPr>
          <w:szCs w:val="28"/>
        </w:rPr>
        <w:t xml:space="preserve"> </w:t>
      </w:r>
      <w:r w:rsidRPr="00FA0CA5">
        <w:rPr>
          <w:szCs w:val="28"/>
          <w:lang w:val="en-US"/>
        </w:rPr>
        <w:t>and</w:t>
      </w:r>
      <w:r w:rsidRPr="00FA0CA5">
        <w:rPr>
          <w:szCs w:val="28"/>
        </w:rPr>
        <w:t xml:space="preserve"> obesity for six months of follow-up.</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A method for predicting </w:t>
      </w:r>
      <w:r w:rsidRPr="00FA0CA5">
        <w:rPr>
          <w:szCs w:val="28"/>
          <w:lang w:val="en-US"/>
        </w:rPr>
        <w:t>recurrent</w:t>
      </w:r>
      <w:r w:rsidRPr="00FA0CA5">
        <w:rPr>
          <w:szCs w:val="28"/>
        </w:rPr>
        <w:t xml:space="preserve"> cardiovascular events during half a year of observation with an increase in vitronectin concentration &gt; 283.26 ng/ml allows a general practitioner of family medicine, a therapist, a cardiologist to distinguish a cohort of patients </w:t>
      </w:r>
      <w:r w:rsidRPr="00FA0CA5">
        <w:rPr>
          <w:szCs w:val="28"/>
          <w:lang w:val="en-US"/>
        </w:rPr>
        <w:t>with</w:t>
      </w:r>
      <w:r w:rsidRPr="00FA0CA5">
        <w:rPr>
          <w:szCs w:val="28"/>
        </w:rPr>
        <w:t xml:space="preserve"> high risk of unstable angina or recurrent </w:t>
      </w:r>
      <w:r w:rsidRPr="00FA0CA5">
        <w:rPr>
          <w:szCs w:val="28"/>
          <w:lang w:val="en-US"/>
        </w:rPr>
        <w:t>MI</w:t>
      </w:r>
      <w:r w:rsidRPr="00FA0CA5">
        <w:rPr>
          <w:szCs w:val="28"/>
        </w:rPr>
        <w:t xml:space="preserve"> develop</w:t>
      </w:r>
      <w:r w:rsidRPr="00FA0CA5">
        <w:rPr>
          <w:szCs w:val="28"/>
          <w:lang w:val="en-US"/>
        </w:rPr>
        <w:t>ment</w:t>
      </w:r>
      <w:r w:rsidRPr="00FA0CA5">
        <w:rPr>
          <w:szCs w:val="28"/>
        </w:rPr>
        <w:t xml:space="preserve"> with obesity </w:t>
      </w:r>
      <w:r w:rsidRPr="00FA0CA5">
        <w:rPr>
          <w:szCs w:val="28"/>
          <w:lang w:val="en-US"/>
        </w:rPr>
        <w:t xml:space="preserve">on time </w:t>
      </w:r>
      <w:r w:rsidRPr="00FA0CA5">
        <w:rPr>
          <w:szCs w:val="28"/>
        </w:rPr>
        <w:t xml:space="preserve">in the distant post- </w:t>
      </w:r>
      <w:r w:rsidRPr="00FA0CA5">
        <w:rPr>
          <w:szCs w:val="28"/>
          <w:lang w:val="en-US"/>
        </w:rPr>
        <w:t xml:space="preserve">MI period </w:t>
      </w:r>
      <w:r w:rsidRPr="00FA0CA5">
        <w:rPr>
          <w:szCs w:val="28"/>
        </w:rPr>
        <w:t>and the use of galectin-3 concentration together with the assessment of the points of the Gensin</w:t>
      </w:r>
      <w:r w:rsidRPr="00FA0CA5">
        <w:rPr>
          <w:szCs w:val="28"/>
          <w:lang w:val="en-US"/>
        </w:rPr>
        <w:t>i</w:t>
      </w:r>
      <w:r w:rsidRPr="00FA0CA5">
        <w:rPr>
          <w:szCs w:val="28"/>
        </w:rPr>
        <w:t xml:space="preserve"> scale helps to increase the effectiveness of diagnos</w:t>
      </w:r>
      <w:r w:rsidRPr="00FA0CA5">
        <w:rPr>
          <w:szCs w:val="28"/>
          <w:lang w:val="en-US"/>
        </w:rPr>
        <w:t>tic</w:t>
      </w:r>
      <w:r w:rsidRPr="00FA0CA5">
        <w:rPr>
          <w:szCs w:val="28"/>
        </w:rPr>
        <w:t xml:space="preserve"> of </w:t>
      </w:r>
      <w:r w:rsidRPr="00FA0CA5">
        <w:rPr>
          <w:szCs w:val="28"/>
          <w:lang w:val="en-US"/>
        </w:rPr>
        <w:t xml:space="preserve"> the </w:t>
      </w:r>
      <w:r w:rsidRPr="00FA0CA5">
        <w:rPr>
          <w:szCs w:val="28"/>
        </w:rPr>
        <w:t xml:space="preserve">severity </w:t>
      </w:r>
      <w:r w:rsidRPr="00FA0CA5">
        <w:rPr>
          <w:szCs w:val="28"/>
          <w:lang w:val="en-US"/>
        </w:rPr>
        <w:t xml:space="preserve">of </w:t>
      </w:r>
      <w:r w:rsidRPr="00FA0CA5">
        <w:rPr>
          <w:szCs w:val="28"/>
        </w:rPr>
        <w:t xml:space="preserve">coronary arteries </w:t>
      </w:r>
      <w:r w:rsidRPr="00FA0CA5">
        <w:rPr>
          <w:szCs w:val="28"/>
          <w:lang w:val="en-US"/>
        </w:rPr>
        <w:t>lesions</w:t>
      </w:r>
      <w:r w:rsidRPr="00FA0CA5">
        <w:rPr>
          <w:szCs w:val="28"/>
        </w:rPr>
        <w:t xml:space="preserve"> in patients with </w:t>
      </w:r>
      <w:r w:rsidRPr="00FA0CA5">
        <w:rPr>
          <w:szCs w:val="28"/>
          <w:lang w:val="en-US"/>
        </w:rPr>
        <w:t>AMI</w:t>
      </w:r>
      <w:r w:rsidRPr="00FA0CA5">
        <w:rPr>
          <w:szCs w:val="28"/>
        </w:rPr>
        <w:t xml:space="preserve"> and obesity.</w:t>
      </w:r>
    </w:p>
    <w:p w:rsidR="00DE5EFC" w:rsidRPr="00FA0CA5" w:rsidRDefault="00DE5EFC" w:rsidP="00DE5EFC">
      <w:pPr>
        <w:shd w:val="clear" w:color="auto" w:fill="FFFFFF"/>
        <w:spacing w:after="0" w:line="360" w:lineRule="auto"/>
        <w:ind w:firstLine="851"/>
        <w:jc w:val="both"/>
        <w:rPr>
          <w:szCs w:val="28"/>
        </w:rPr>
      </w:pPr>
      <w:r w:rsidRPr="00FA0CA5">
        <w:rPr>
          <w:szCs w:val="28"/>
        </w:rPr>
        <w:t>Key words: acute myocardial infarction, vitronectin, galectin-3, obesity.</w:t>
      </w:r>
    </w:p>
    <w:p w:rsidR="00DE5EFC" w:rsidRDefault="00DE5EFC" w:rsidP="00DE5EFC">
      <w:pPr>
        <w:shd w:val="clear" w:color="auto" w:fill="FFFFFF"/>
        <w:spacing w:after="0" w:line="360" w:lineRule="auto"/>
        <w:ind w:firstLine="851"/>
        <w:jc w:val="both"/>
        <w:rPr>
          <w:szCs w:val="28"/>
        </w:rPr>
      </w:pPr>
    </w:p>
    <w:p w:rsidR="00864DAF" w:rsidRDefault="00864DAF" w:rsidP="00DA239E">
      <w:pPr>
        <w:shd w:val="clear" w:color="auto" w:fill="FFFFFF"/>
        <w:spacing w:after="0" w:line="360" w:lineRule="auto"/>
        <w:ind w:left="1309" w:firstLine="851"/>
        <w:jc w:val="both"/>
        <w:rPr>
          <w:b/>
          <w:szCs w:val="28"/>
          <w:lang w:val="en-US"/>
        </w:rPr>
      </w:pPr>
    </w:p>
    <w:p w:rsidR="00864DAF" w:rsidRDefault="00864DAF" w:rsidP="00DA239E">
      <w:pPr>
        <w:shd w:val="clear" w:color="auto" w:fill="FFFFFF"/>
        <w:spacing w:after="0" w:line="360" w:lineRule="auto"/>
        <w:ind w:left="1309" w:firstLine="851"/>
        <w:jc w:val="both"/>
        <w:rPr>
          <w:b/>
          <w:szCs w:val="28"/>
          <w:lang w:val="en-US"/>
        </w:rPr>
      </w:pPr>
    </w:p>
    <w:p w:rsidR="00DA239E" w:rsidRPr="00DA239E" w:rsidRDefault="00DA239E" w:rsidP="00DA239E">
      <w:pPr>
        <w:shd w:val="clear" w:color="auto" w:fill="FFFFFF"/>
        <w:spacing w:after="0" w:line="360" w:lineRule="auto"/>
        <w:ind w:left="1309" w:firstLine="851"/>
        <w:jc w:val="both"/>
        <w:rPr>
          <w:b/>
          <w:szCs w:val="28"/>
        </w:rPr>
      </w:pPr>
      <w:r w:rsidRPr="00DA239E">
        <w:rPr>
          <w:b/>
          <w:szCs w:val="28"/>
        </w:rPr>
        <w:lastRenderedPageBreak/>
        <w:t xml:space="preserve">СПИСОК </w:t>
      </w:r>
      <w:r>
        <w:rPr>
          <w:b/>
          <w:szCs w:val="28"/>
        </w:rPr>
        <w:t>ПУБЛІКАЦІЙ ЗДОБУВАЧА</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Уровень галектина-3 у пациентов с острым инфарктом миокарда и ожирением различной степени тяжести: связь с антропометрией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П.Г.</w:t>
      </w:r>
      <w:r>
        <w:rPr>
          <w:rFonts w:eastAsia="Times New Roman"/>
          <w:szCs w:val="28"/>
          <w:lang w:val="ru-RU"/>
        </w:rPr>
        <w:t> </w:t>
      </w:r>
      <w:r w:rsidRPr="00EA76D7">
        <w:rPr>
          <w:rFonts w:eastAsia="Times New Roman"/>
          <w:szCs w:val="28"/>
          <w:lang w:val="ru-RU"/>
        </w:rPr>
        <w:t xml:space="preserve">Кравчун // Georgian Medical News. 2016. №12. С. 42–45.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Особливості вітронектинемії та антропометричних параметрів у хворих на гострий інфаркт міокарда за наявності ожиріння / К.М. Боровик, Н.Г. Риндіна, П.Г. Кравчун, Л.В. Сапричова // Актуальні проблеми сучасної медицини: вісник Української медичної стоматологічної академії. 2017. №1</w:t>
      </w:r>
      <w:r>
        <w:rPr>
          <w:rFonts w:eastAsia="Times New Roman"/>
          <w:szCs w:val="28"/>
          <w:lang w:val="ru-RU"/>
        </w:rPr>
        <w:t> </w:t>
      </w:r>
      <w:r w:rsidRPr="00EA76D7">
        <w:rPr>
          <w:rFonts w:eastAsia="Times New Roman"/>
          <w:szCs w:val="28"/>
          <w:lang w:val="ru-RU"/>
        </w:rPr>
        <w:t>(57), Т.17. С.</w:t>
      </w:r>
      <w:r>
        <w:rPr>
          <w:rFonts w:eastAsia="Times New Roman"/>
          <w:szCs w:val="28"/>
          <w:lang w:val="ru-RU"/>
        </w:rPr>
        <w:t> </w:t>
      </w:r>
      <w:r w:rsidRPr="00EA76D7">
        <w:rPr>
          <w:rFonts w:eastAsia="Times New Roman"/>
          <w:szCs w:val="28"/>
          <w:lang w:val="ru-RU"/>
        </w:rPr>
        <w:t xml:space="preserve">60-62.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Вітронектин як маркер прогнозу повторних кардіоваскулярних подій протягом 6-місячного терміну спостереження після перенесеного гострого інфаркту міокарда за наявності ожиріння / К.М. Боровик, П.Г.</w:t>
      </w:r>
      <w:r>
        <w:rPr>
          <w:rFonts w:eastAsia="Times New Roman"/>
          <w:szCs w:val="28"/>
          <w:lang w:val="ru-RU"/>
        </w:rPr>
        <w:t> </w:t>
      </w:r>
      <w:r w:rsidRPr="00EA76D7">
        <w:rPr>
          <w:rFonts w:eastAsia="Times New Roman"/>
          <w:szCs w:val="28"/>
          <w:lang w:val="ru-RU"/>
        </w:rPr>
        <w:t xml:space="preserve">Кравчун, Н.Г. Риндіна // Буковинський медичний вісник. 2017. № 3 (83), Т. 21. С. 8-14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i/>
          <w:szCs w:val="28"/>
          <w:lang w:val="ru-RU"/>
        </w:rPr>
        <w:t xml:space="preserve"> </w:t>
      </w: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Якість життя у хворих за коморбідності гострого інфаркту міокарда та ожиріння: фокус на фізичний і емоційний компоненти / П.Г.</w:t>
      </w:r>
      <w:r>
        <w:rPr>
          <w:rFonts w:eastAsia="Times New Roman"/>
          <w:szCs w:val="28"/>
          <w:lang w:val="ru-RU"/>
        </w:rPr>
        <w:t> </w:t>
      </w:r>
      <w:r w:rsidRPr="00EA76D7">
        <w:rPr>
          <w:rFonts w:eastAsia="Times New Roman"/>
          <w:szCs w:val="28"/>
          <w:lang w:val="ru-RU"/>
        </w:rPr>
        <w:t>Кравчун, Н.Г. Риндіна  К.М. Боровик, О.В.</w:t>
      </w:r>
      <w:r>
        <w:rPr>
          <w:rFonts w:eastAsia="Times New Roman"/>
          <w:szCs w:val="28"/>
          <w:lang w:val="ru-RU"/>
        </w:rPr>
        <w:t> </w:t>
      </w:r>
      <w:r w:rsidRPr="00EA76D7">
        <w:rPr>
          <w:rFonts w:eastAsia="Times New Roman"/>
          <w:szCs w:val="28"/>
          <w:lang w:val="ru-RU"/>
        </w:rPr>
        <w:t>Глєбова, В.І.</w:t>
      </w:r>
      <w:r>
        <w:rPr>
          <w:rFonts w:eastAsia="Times New Roman"/>
          <w:szCs w:val="28"/>
          <w:lang w:val="ru-RU"/>
        </w:rPr>
        <w:t> </w:t>
      </w:r>
      <w:r w:rsidRPr="00EA76D7">
        <w:rPr>
          <w:rFonts w:eastAsia="Times New Roman"/>
          <w:szCs w:val="28"/>
          <w:lang w:val="ru-RU"/>
        </w:rPr>
        <w:t>Леонідова // Кардіологія: від науки до практики. 2017. №1 (25). С. 26-32.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 xml:space="preserve"> Боровик</w:t>
      </w:r>
      <w:r>
        <w:rPr>
          <w:rFonts w:eastAsia="Times New Roman"/>
          <w:szCs w:val="28"/>
          <w:lang w:val="ru-RU"/>
        </w:rPr>
        <w:t> </w:t>
      </w:r>
      <w:r w:rsidRPr="00EA76D7">
        <w:rPr>
          <w:rFonts w:eastAsia="Times New Roman"/>
          <w:szCs w:val="28"/>
          <w:lang w:val="ru-RU"/>
        </w:rPr>
        <w:t>К.М. Особливості ліпідограми, рівнів тропоніну та аналіз показників якості життя у хворих на Q-позитивний інфаркт міокарда за наявності супутнього ожиріння / К.М.</w:t>
      </w:r>
      <w:r>
        <w:rPr>
          <w:rFonts w:eastAsia="Times New Roman"/>
          <w:szCs w:val="28"/>
          <w:lang w:val="ru-RU"/>
        </w:rPr>
        <w:t> </w:t>
      </w:r>
      <w:r w:rsidRPr="00EA76D7">
        <w:rPr>
          <w:rFonts w:eastAsia="Times New Roman"/>
          <w:szCs w:val="28"/>
          <w:lang w:val="ru-RU"/>
        </w:rPr>
        <w:t>Боровик, П.Г.</w:t>
      </w:r>
      <w:r>
        <w:rPr>
          <w:rFonts w:eastAsia="Times New Roman"/>
          <w:szCs w:val="28"/>
          <w:lang w:val="ru-RU"/>
        </w:rPr>
        <w:t> </w:t>
      </w:r>
      <w:r w:rsidRPr="00EA76D7">
        <w:rPr>
          <w:rFonts w:eastAsia="Times New Roman"/>
          <w:szCs w:val="28"/>
          <w:lang w:val="ru-RU"/>
        </w:rPr>
        <w:t>Кравчун, Н.Г.</w:t>
      </w:r>
      <w:r>
        <w:rPr>
          <w:rFonts w:eastAsia="Times New Roman"/>
          <w:szCs w:val="28"/>
          <w:lang w:val="ru-RU"/>
        </w:rPr>
        <w:t> </w:t>
      </w:r>
      <w:r w:rsidRPr="00EA76D7">
        <w:rPr>
          <w:rFonts w:eastAsia="Times New Roman"/>
          <w:szCs w:val="28"/>
          <w:lang w:val="ru-RU"/>
        </w:rPr>
        <w:t xml:space="preserve">Риндіна // Проблеми ендокринної патології. 2017. №2 (60). С. 20-26.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lastRenderedPageBreak/>
        <w:t>Боровик</w:t>
      </w:r>
      <w:r>
        <w:rPr>
          <w:rFonts w:eastAsia="Times New Roman"/>
          <w:szCs w:val="28"/>
          <w:lang w:val="ru-RU"/>
        </w:rPr>
        <w:t> </w:t>
      </w:r>
      <w:r w:rsidRPr="00EA76D7">
        <w:rPr>
          <w:rFonts w:eastAsia="Times New Roman"/>
          <w:szCs w:val="28"/>
          <w:lang w:val="ru-RU"/>
        </w:rPr>
        <w:t xml:space="preserve">К.М. Фактори ризику розвитку повторних кардіоваскулярних подій у хворих протягом півроку після перенесеного гострого інфаркту міокарда за наявності ожиріння // Український журнал медицини, біології та спорту. 2017. №6 (8). С. 63-67.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9E19DB">
        <w:rPr>
          <w:rFonts w:eastAsia="Times New Roman"/>
          <w:szCs w:val="28"/>
          <w:lang w:val="ru-RU"/>
        </w:rPr>
        <w:t xml:space="preserve"> </w:t>
      </w:r>
      <w:r w:rsidRPr="00EA76D7">
        <w:rPr>
          <w:rFonts w:eastAsia="Times New Roman"/>
          <w:szCs w:val="28"/>
          <w:lang w:val="en-US"/>
        </w:rPr>
        <w:t>Borovyk K.M. Forecasting of recurrent cardiovascular events in 6 months of monitoring of patients after acute myocardial infarction with concomitant obesity / P.G. Kravchun, N.</w:t>
      </w:r>
      <w:r w:rsidRPr="009E19DB">
        <w:rPr>
          <w:rFonts w:eastAsia="Times New Roman"/>
          <w:szCs w:val="28"/>
          <w:lang w:val="en-US"/>
        </w:rPr>
        <w:t>G</w:t>
      </w:r>
      <w:r w:rsidRPr="00EA76D7">
        <w:rPr>
          <w:rFonts w:eastAsia="Times New Roman"/>
          <w:szCs w:val="28"/>
          <w:lang w:val="en-US"/>
        </w:rPr>
        <w:t xml:space="preserve">. Ryndina, K.M. Borovyk // Science Review. </w:t>
      </w:r>
      <w:r w:rsidRPr="00EA76D7">
        <w:rPr>
          <w:rFonts w:eastAsia="Times New Roman"/>
          <w:szCs w:val="28"/>
          <w:lang w:val="ru-RU"/>
        </w:rPr>
        <w:t xml:space="preserve">2018. №1 (8). Р. 41-45.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bCs/>
          <w:szCs w:val="28"/>
          <w:lang w:val="ru-RU"/>
        </w:rPr>
      </w:pPr>
      <w:r w:rsidRPr="00C5528A">
        <w:rPr>
          <w:rFonts w:eastAsia="Times New Roman"/>
          <w:szCs w:val="28"/>
          <w:lang w:val="ru-RU"/>
        </w:rPr>
        <w:t xml:space="preserve"> </w:t>
      </w:r>
      <w:r w:rsidRPr="00EA76D7">
        <w:rPr>
          <w:rFonts w:eastAsia="Times New Roman"/>
          <w:szCs w:val="28"/>
          <w:lang w:val="en-US"/>
        </w:rPr>
        <w:t>Borovyk</w:t>
      </w:r>
      <w:r>
        <w:rPr>
          <w:rFonts w:eastAsia="Times New Roman"/>
          <w:szCs w:val="28"/>
        </w:rPr>
        <w:t> </w:t>
      </w:r>
      <w:r w:rsidRPr="00EA76D7">
        <w:rPr>
          <w:rFonts w:eastAsia="Times New Roman"/>
          <w:szCs w:val="28"/>
          <w:lang w:val="en-US"/>
        </w:rPr>
        <w:t>K.M. Gensini score as a marker of the coronary artery atherosclerotic lesions severity and its relation with galectin-3 concentration in patients with acute myocardial infarction and abdominal obesity / P.G.</w:t>
      </w:r>
      <w:r>
        <w:rPr>
          <w:rFonts w:eastAsia="Times New Roman"/>
          <w:szCs w:val="28"/>
        </w:rPr>
        <w:t> </w:t>
      </w:r>
      <w:r w:rsidRPr="00EA76D7">
        <w:rPr>
          <w:rFonts w:eastAsia="Times New Roman"/>
          <w:szCs w:val="28"/>
          <w:lang w:val="en-US"/>
        </w:rPr>
        <w:t>Kravchun, N.G.</w:t>
      </w:r>
      <w:r>
        <w:rPr>
          <w:rFonts w:eastAsia="Times New Roman"/>
          <w:szCs w:val="28"/>
        </w:rPr>
        <w:t> </w:t>
      </w:r>
      <w:r w:rsidRPr="00EA76D7">
        <w:rPr>
          <w:rFonts w:eastAsia="Times New Roman"/>
          <w:szCs w:val="28"/>
          <w:lang w:val="en-US"/>
        </w:rPr>
        <w:t>Ryndina, G.Yu. Tytova, K.M.</w:t>
      </w:r>
      <w:r>
        <w:rPr>
          <w:rFonts w:eastAsia="Times New Roman"/>
          <w:szCs w:val="28"/>
        </w:rPr>
        <w:t> </w:t>
      </w:r>
      <w:r w:rsidRPr="00EA76D7">
        <w:rPr>
          <w:rFonts w:eastAsia="Times New Roman"/>
          <w:szCs w:val="28"/>
          <w:lang w:val="en-US"/>
        </w:rPr>
        <w:t>Borovyk, O.S.</w:t>
      </w:r>
      <w:r>
        <w:rPr>
          <w:rFonts w:eastAsia="Times New Roman"/>
          <w:szCs w:val="28"/>
        </w:rPr>
        <w:t> </w:t>
      </w:r>
      <w:r w:rsidRPr="00EA76D7">
        <w:rPr>
          <w:rFonts w:eastAsia="Times New Roman"/>
          <w:szCs w:val="28"/>
          <w:lang w:val="en-US"/>
        </w:rPr>
        <w:t xml:space="preserve">Yermak // World Science. </w:t>
      </w:r>
      <w:r w:rsidRPr="009E19DB">
        <w:rPr>
          <w:rFonts w:eastAsia="Times New Roman"/>
          <w:szCs w:val="28"/>
          <w:lang w:val="ru-RU"/>
        </w:rPr>
        <w:t xml:space="preserve">2018. №4 (32). </w:t>
      </w:r>
      <w:r w:rsidRPr="00EA76D7">
        <w:rPr>
          <w:rFonts w:eastAsia="Times New Roman"/>
          <w:szCs w:val="28"/>
          <w:lang w:val="ru-RU"/>
        </w:rPr>
        <w:t>Р</w:t>
      </w:r>
      <w:r w:rsidRPr="009E19DB">
        <w:rPr>
          <w:rFonts w:eastAsia="Times New Roman"/>
          <w:szCs w:val="28"/>
          <w:lang w:val="ru-RU"/>
        </w:rPr>
        <w:t xml:space="preserve">. 22-27.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bCs/>
          <w:szCs w:val="28"/>
          <w:lang w:val="ru-RU"/>
        </w:rPr>
        <w:t>Патент України на корисну модель «Спосіб прогнозування повторних кардіоваскулярних подій протягом 6-місячного терміну спостереження у хворих після перенесеного гострого інфаркту міокарда в поєднанні з ожирінням за рівнем вітронектину» №121305, UА, МПК (2017.01) G01N 33/00 G01N 33/50 (2006.01), u 2017 06952 від 27.11.2017, Бюл. №22.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заявки на патент).</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211F8E">
        <w:rPr>
          <w:rFonts w:eastAsia="Times New Roman"/>
          <w:bCs/>
          <w:szCs w:val="28"/>
        </w:rPr>
        <w:t xml:space="preserve">Патент України на корисну модель «Спосіб оцінки факторів ризику розвитку повторного інфаркту міокарда після перенесеного гострого коронарного синдрому з елевацією сегмента </w:t>
      </w:r>
      <w:r w:rsidRPr="00EA76D7">
        <w:rPr>
          <w:rFonts w:eastAsia="Times New Roman"/>
          <w:bCs/>
          <w:szCs w:val="28"/>
          <w:lang w:val="ru-RU"/>
        </w:rPr>
        <w:t>ST</w:t>
      </w:r>
      <w:r w:rsidRPr="00211F8E">
        <w:rPr>
          <w:rFonts w:eastAsia="Times New Roman"/>
          <w:bCs/>
          <w:szCs w:val="28"/>
        </w:rPr>
        <w:t xml:space="preserve"> та ожирінням» № 123559, </w:t>
      </w:r>
      <w:r w:rsidRPr="00EA76D7">
        <w:rPr>
          <w:rFonts w:eastAsia="Times New Roman"/>
          <w:bCs/>
          <w:szCs w:val="28"/>
          <w:lang w:val="ru-RU"/>
        </w:rPr>
        <w:t>U</w:t>
      </w:r>
      <w:r w:rsidRPr="00211F8E">
        <w:rPr>
          <w:rFonts w:eastAsia="Times New Roman"/>
          <w:bCs/>
          <w:szCs w:val="28"/>
        </w:rPr>
        <w:t xml:space="preserve">А, МПК (2018.01)  </w:t>
      </w:r>
      <w:r w:rsidRPr="00EA76D7">
        <w:rPr>
          <w:rFonts w:eastAsia="Times New Roman"/>
          <w:bCs/>
          <w:szCs w:val="28"/>
          <w:lang w:val="ru-RU"/>
        </w:rPr>
        <w:t>G</w:t>
      </w:r>
      <w:r w:rsidRPr="00211F8E">
        <w:rPr>
          <w:rFonts w:eastAsia="Times New Roman"/>
          <w:bCs/>
          <w:szCs w:val="28"/>
        </w:rPr>
        <w:t>01</w:t>
      </w:r>
      <w:r w:rsidRPr="00EA76D7">
        <w:rPr>
          <w:rFonts w:eastAsia="Times New Roman"/>
          <w:bCs/>
          <w:szCs w:val="28"/>
          <w:lang w:val="ru-RU"/>
        </w:rPr>
        <w:t>N</w:t>
      </w:r>
      <w:r w:rsidRPr="00211F8E">
        <w:rPr>
          <w:rFonts w:eastAsia="Times New Roman"/>
          <w:bCs/>
          <w:szCs w:val="28"/>
        </w:rPr>
        <w:t xml:space="preserve"> 33/00 </w:t>
      </w:r>
      <w:r w:rsidRPr="00EA76D7">
        <w:rPr>
          <w:rFonts w:eastAsia="Times New Roman"/>
          <w:bCs/>
          <w:szCs w:val="28"/>
          <w:lang w:val="ru-RU"/>
        </w:rPr>
        <w:t>G</w:t>
      </w:r>
      <w:r w:rsidRPr="00211F8E">
        <w:rPr>
          <w:rFonts w:eastAsia="Times New Roman"/>
          <w:bCs/>
          <w:szCs w:val="28"/>
        </w:rPr>
        <w:t>01</w:t>
      </w:r>
      <w:r w:rsidRPr="00EA76D7">
        <w:rPr>
          <w:rFonts w:eastAsia="Times New Roman"/>
          <w:bCs/>
          <w:szCs w:val="28"/>
          <w:lang w:val="ru-RU"/>
        </w:rPr>
        <w:t>N</w:t>
      </w:r>
      <w:r w:rsidRPr="00211F8E">
        <w:rPr>
          <w:rFonts w:eastAsia="Times New Roman"/>
          <w:bCs/>
          <w:szCs w:val="28"/>
        </w:rPr>
        <w:t xml:space="preserve"> 33/48, </w:t>
      </w:r>
      <w:r w:rsidRPr="00EA76D7">
        <w:rPr>
          <w:rFonts w:eastAsia="Times New Roman"/>
          <w:bCs/>
          <w:szCs w:val="28"/>
          <w:lang w:val="ru-RU"/>
        </w:rPr>
        <w:t>u</w:t>
      </w:r>
      <w:r w:rsidRPr="00211F8E">
        <w:rPr>
          <w:rFonts w:eastAsia="Times New Roman"/>
          <w:bCs/>
          <w:szCs w:val="28"/>
        </w:rPr>
        <w:t xml:space="preserve"> 2017 10739 від 26.02.2018, Бюл. № 4.</w:t>
      </w:r>
      <w:r w:rsidRPr="00211F8E">
        <w:rPr>
          <w:rFonts w:eastAsia="Times New Roman"/>
          <w:i/>
          <w:szCs w:val="28"/>
        </w:rPr>
        <w:t xml:space="preserve">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заявки на патент).</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9E19DB">
        <w:rPr>
          <w:rFonts w:eastAsia="Times New Roman"/>
          <w:szCs w:val="28"/>
        </w:rPr>
        <w:lastRenderedPageBreak/>
        <w:t>Боровик</w:t>
      </w:r>
      <w:r>
        <w:rPr>
          <w:rFonts w:eastAsia="Times New Roman"/>
          <w:szCs w:val="28"/>
        </w:rPr>
        <w:t> </w:t>
      </w:r>
      <w:r w:rsidRPr="009E19DB">
        <w:rPr>
          <w:rFonts w:eastAsia="Times New Roman"/>
          <w:szCs w:val="28"/>
        </w:rPr>
        <w:t>К.М. Особенности эмоциональной составляющей качества жизни у больных с острым инфарктом миокарда и сопутствующим ожирением / К.М.</w:t>
      </w:r>
      <w:r w:rsidRPr="00EA76D7">
        <w:rPr>
          <w:rFonts w:eastAsia="Times New Roman"/>
          <w:szCs w:val="28"/>
          <w:lang w:val="en-US"/>
        </w:rPr>
        <w:t> </w:t>
      </w:r>
      <w:r w:rsidRPr="009E19DB">
        <w:rPr>
          <w:rFonts w:eastAsia="Times New Roman"/>
          <w:szCs w:val="28"/>
        </w:rPr>
        <w:t>Боровик, П.Г.</w:t>
      </w:r>
      <w:r>
        <w:rPr>
          <w:rFonts w:eastAsia="Times New Roman"/>
          <w:szCs w:val="28"/>
        </w:rPr>
        <w:t> </w:t>
      </w:r>
      <w:r w:rsidRPr="009E19DB">
        <w:rPr>
          <w:rFonts w:eastAsia="Times New Roman"/>
          <w:szCs w:val="28"/>
        </w:rPr>
        <w:t>Кравчун, Н.Г.</w:t>
      </w:r>
      <w:r>
        <w:rPr>
          <w:rFonts w:eastAsia="Times New Roman"/>
          <w:szCs w:val="28"/>
        </w:rPr>
        <w:t> </w:t>
      </w:r>
      <w:r w:rsidRPr="009E19DB">
        <w:rPr>
          <w:rFonts w:eastAsia="Times New Roman"/>
          <w:szCs w:val="28"/>
        </w:rPr>
        <w:t xml:space="preserve">Рындина // </w:t>
      </w:r>
      <w:r w:rsidRPr="00EA76D7">
        <w:rPr>
          <w:rFonts w:eastAsia="Times New Roman"/>
          <w:szCs w:val="28"/>
          <w:lang w:val="ru-RU"/>
        </w:rPr>
        <w:t>V</w:t>
      </w:r>
      <w:r w:rsidRPr="009E19DB">
        <w:rPr>
          <w:rFonts w:eastAsia="Times New Roman"/>
          <w:szCs w:val="28"/>
        </w:rPr>
        <w:t>ə</w:t>
      </w:r>
      <w:r w:rsidRPr="00EA76D7">
        <w:rPr>
          <w:rFonts w:eastAsia="Times New Roman"/>
          <w:szCs w:val="28"/>
          <w:lang w:val="ru-RU"/>
        </w:rPr>
        <w:t>li</w:t>
      </w:r>
      <w:r w:rsidRPr="009E19DB">
        <w:rPr>
          <w:rFonts w:eastAsia="Times New Roman"/>
          <w:szCs w:val="28"/>
        </w:rPr>
        <w:t xml:space="preserve"> </w:t>
      </w:r>
      <w:r w:rsidRPr="00EA76D7">
        <w:rPr>
          <w:rFonts w:eastAsia="Times New Roman"/>
          <w:szCs w:val="28"/>
          <w:lang w:val="ru-RU"/>
        </w:rPr>
        <w:t>Yusif</w:t>
      </w:r>
      <w:r w:rsidRPr="009E19DB">
        <w:rPr>
          <w:rFonts w:eastAsia="Times New Roman"/>
          <w:szCs w:val="28"/>
        </w:rPr>
        <w:t xml:space="preserve"> </w:t>
      </w:r>
      <w:r w:rsidRPr="00EA76D7">
        <w:rPr>
          <w:rFonts w:eastAsia="Times New Roman"/>
          <w:szCs w:val="28"/>
          <w:lang w:val="ru-RU"/>
        </w:rPr>
        <w:t>O</w:t>
      </w:r>
      <w:r w:rsidRPr="009E19DB">
        <w:rPr>
          <w:rFonts w:eastAsia="Times New Roman"/>
          <w:szCs w:val="28"/>
        </w:rPr>
        <w:t>ğ</w:t>
      </w:r>
      <w:r w:rsidRPr="00EA76D7">
        <w:rPr>
          <w:rFonts w:eastAsia="Times New Roman"/>
          <w:szCs w:val="28"/>
          <w:lang w:val="ru-RU"/>
        </w:rPr>
        <w:t>lu</w:t>
      </w:r>
      <w:r w:rsidRPr="009E19DB">
        <w:rPr>
          <w:rFonts w:eastAsia="Times New Roman"/>
          <w:szCs w:val="28"/>
        </w:rPr>
        <w:t xml:space="preserve"> </w:t>
      </w:r>
      <w:r w:rsidRPr="00EA76D7">
        <w:rPr>
          <w:rFonts w:eastAsia="Times New Roman"/>
          <w:szCs w:val="28"/>
          <w:lang w:val="ru-RU"/>
        </w:rPr>
        <w:t>Axundovun</w:t>
      </w:r>
      <w:r w:rsidRPr="009E19DB">
        <w:rPr>
          <w:rFonts w:eastAsia="Times New Roman"/>
          <w:szCs w:val="28"/>
        </w:rPr>
        <w:t xml:space="preserve">: 100 </w:t>
      </w:r>
      <w:r w:rsidRPr="00EA76D7">
        <w:rPr>
          <w:rFonts w:eastAsia="Times New Roman"/>
          <w:szCs w:val="28"/>
          <w:lang w:val="ru-RU"/>
        </w:rPr>
        <w:t>illik</w:t>
      </w:r>
      <w:r w:rsidRPr="009E19DB">
        <w:rPr>
          <w:rFonts w:eastAsia="Times New Roman"/>
          <w:szCs w:val="28"/>
        </w:rPr>
        <w:t xml:space="preserve"> </w:t>
      </w:r>
      <w:r w:rsidRPr="00EA76D7">
        <w:rPr>
          <w:rFonts w:eastAsia="Times New Roman"/>
          <w:szCs w:val="28"/>
          <w:lang w:val="ru-RU"/>
        </w:rPr>
        <w:t>yubileyin</w:t>
      </w:r>
      <w:r w:rsidRPr="009E19DB">
        <w:rPr>
          <w:rFonts w:eastAsia="Times New Roman"/>
          <w:szCs w:val="28"/>
        </w:rPr>
        <w:t xml:space="preserve">ə </w:t>
      </w:r>
      <w:r w:rsidRPr="00EA76D7">
        <w:rPr>
          <w:rFonts w:eastAsia="Times New Roman"/>
          <w:szCs w:val="28"/>
          <w:lang w:val="ru-RU"/>
        </w:rPr>
        <w:t>h</w:t>
      </w:r>
      <w:r w:rsidRPr="009E19DB">
        <w:rPr>
          <w:rFonts w:eastAsia="Times New Roman"/>
          <w:szCs w:val="28"/>
        </w:rPr>
        <w:t>ə</w:t>
      </w:r>
      <w:r w:rsidRPr="00EA76D7">
        <w:rPr>
          <w:rFonts w:eastAsia="Times New Roman"/>
          <w:szCs w:val="28"/>
          <w:lang w:val="ru-RU"/>
        </w:rPr>
        <w:t>sr</w:t>
      </w:r>
      <w:r w:rsidRPr="009E19DB">
        <w:rPr>
          <w:rFonts w:eastAsia="Times New Roman"/>
          <w:szCs w:val="28"/>
        </w:rPr>
        <w:t xml:space="preserve"> </w:t>
      </w:r>
      <w:r w:rsidRPr="00EA76D7">
        <w:rPr>
          <w:rFonts w:eastAsia="Times New Roman"/>
          <w:szCs w:val="28"/>
          <w:lang w:val="ru-RU"/>
        </w:rPr>
        <w:t>h</w:t>
      </w:r>
      <w:r w:rsidRPr="009E19DB">
        <w:rPr>
          <w:rFonts w:eastAsia="Times New Roman"/>
          <w:szCs w:val="28"/>
        </w:rPr>
        <w:t>ə</w:t>
      </w:r>
      <w:r w:rsidRPr="00EA76D7">
        <w:rPr>
          <w:rFonts w:eastAsia="Times New Roman"/>
          <w:szCs w:val="28"/>
          <w:lang w:val="ru-RU"/>
        </w:rPr>
        <w:t>sr</w:t>
      </w:r>
      <w:r w:rsidRPr="009E19DB">
        <w:rPr>
          <w:rFonts w:eastAsia="Times New Roman"/>
          <w:szCs w:val="28"/>
        </w:rPr>
        <w:t xml:space="preserve"> </w:t>
      </w:r>
      <w:r w:rsidRPr="00EA76D7">
        <w:rPr>
          <w:rFonts w:eastAsia="Times New Roman"/>
          <w:szCs w:val="28"/>
          <w:lang w:val="ru-RU"/>
        </w:rPr>
        <w:t>edilmi</w:t>
      </w:r>
      <w:r w:rsidRPr="009E19DB">
        <w:rPr>
          <w:rFonts w:eastAsia="Times New Roman"/>
          <w:szCs w:val="28"/>
        </w:rPr>
        <w:t xml:space="preserve">ş </w:t>
      </w:r>
      <w:r w:rsidRPr="00EA76D7">
        <w:rPr>
          <w:rFonts w:eastAsia="Times New Roman"/>
          <w:szCs w:val="28"/>
          <w:lang w:val="ru-RU"/>
        </w:rPr>
        <w:t>elmi</w:t>
      </w:r>
      <w:r w:rsidRPr="009E19DB">
        <w:rPr>
          <w:rFonts w:eastAsia="Times New Roman"/>
          <w:szCs w:val="28"/>
        </w:rPr>
        <w:t>-</w:t>
      </w:r>
      <w:r w:rsidRPr="00EA76D7">
        <w:rPr>
          <w:rFonts w:eastAsia="Times New Roman"/>
          <w:szCs w:val="28"/>
          <w:lang w:val="ru-RU"/>
        </w:rPr>
        <w:t>praktik</w:t>
      </w:r>
      <w:r w:rsidRPr="009E19DB">
        <w:rPr>
          <w:rFonts w:eastAsia="Times New Roman"/>
          <w:szCs w:val="28"/>
        </w:rPr>
        <w:t xml:space="preserve"> </w:t>
      </w:r>
      <w:r w:rsidRPr="00EA76D7">
        <w:rPr>
          <w:rFonts w:eastAsia="Times New Roman"/>
          <w:szCs w:val="28"/>
          <w:lang w:val="ru-RU"/>
        </w:rPr>
        <w:t>konfrans</w:t>
      </w:r>
      <w:r w:rsidRPr="009E19DB">
        <w:rPr>
          <w:rFonts w:eastAsia="Times New Roman"/>
          <w:szCs w:val="28"/>
        </w:rPr>
        <w:t>ı</w:t>
      </w:r>
      <w:r w:rsidRPr="00EA76D7">
        <w:rPr>
          <w:rFonts w:eastAsia="Times New Roman"/>
          <w:szCs w:val="28"/>
          <w:lang w:val="ru-RU"/>
        </w:rPr>
        <w:t>n</w:t>
      </w:r>
      <w:r w:rsidRPr="009E19DB">
        <w:rPr>
          <w:rFonts w:eastAsia="Times New Roman"/>
          <w:szCs w:val="28"/>
        </w:rPr>
        <w:t xml:space="preserve"> </w:t>
      </w:r>
      <w:r w:rsidRPr="00EA76D7">
        <w:rPr>
          <w:rFonts w:eastAsia="Times New Roman"/>
          <w:szCs w:val="28"/>
          <w:lang w:val="ru-RU"/>
        </w:rPr>
        <w:t>tezisl</w:t>
      </w:r>
      <w:r w:rsidRPr="009E19DB">
        <w:rPr>
          <w:rFonts w:eastAsia="Times New Roman"/>
          <w:szCs w:val="28"/>
        </w:rPr>
        <w:t>ə</w:t>
      </w:r>
      <w:r w:rsidRPr="00EA76D7">
        <w:rPr>
          <w:rFonts w:eastAsia="Times New Roman"/>
          <w:szCs w:val="28"/>
          <w:lang w:val="ru-RU"/>
        </w:rPr>
        <w:t>r</w:t>
      </w:r>
      <w:r w:rsidRPr="009E19DB">
        <w:rPr>
          <w:rFonts w:eastAsia="Times New Roman"/>
          <w:szCs w:val="28"/>
        </w:rPr>
        <w:t xml:space="preserve">. </w:t>
      </w:r>
      <w:r w:rsidRPr="00EA76D7">
        <w:rPr>
          <w:rFonts w:eastAsia="Times New Roman"/>
          <w:szCs w:val="28"/>
          <w:lang w:val="ru-RU"/>
        </w:rPr>
        <w:t xml:space="preserve">Баку, 2016. С. 91.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Визначення ефектів галектину-3 на розвиток та прогресування перебігу гострого інфаркту міокарда у поєднанні з ожирінням / Боровик</w:t>
      </w:r>
      <w:r>
        <w:rPr>
          <w:rFonts w:eastAsia="Times New Roman"/>
          <w:szCs w:val="28"/>
          <w:lang w:val="ru-RU"/>
        </w:rPr>
        <w:t> </w:t>
      </w:r>
      <w:r w:rsidRPr="00EA76D7">
        <w:rPr>
          <w:rFonts w:eastAsia="Times New Roman"/>
          <w:szCs w:val="28"/>
          <w:lang w:val="ru-RU"/>
        </w:rPr>
        <w:t>К.М., Риндіна</w:t>
      </w:r>
      <w:r>
        <w:rPr>
          <w:rFonts w:eastAsia="Times New Roman"/>
          <w:szCs w:val="28"/>
          <w:lang w:val="ru-RU"/>
        </w:rPr>
        <w:t> </w:t>
      </w:r>
      <w:r w:rsidRPr="00EA76D7">
        <w:rPr>
          <w:rFonts w:eastAsia="Times New Roman"/>
          <w:szCs w:val="28"/>
          <w:lang w:val="ru-RU"/>
        </w:rPr>
        <w:t>Н.Г., Кравчун</w:t>
      </w:r>
      <w:r>
        <w:rPr>
          <w:rFonts w:eastAsia="Times New Roman"/>
          <w:szCs w:val="28"/>
          <w:lang w:val="ru-RU"/>
        </w:rPr>
        <w:t> </w:t>
      </w:r>
      <w:r w:rsidRPr="00EA76D7">
        <w:rPr>
          <w:rFonts w:eastAsia="Times New Roman"/>
          <w:szCs w:val="28"/>
          <w:lang w:val="ru-RU"/>
        </w:rPr>
        <w:t>П.Г.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 Малої</w:t>
      </w:r>
      <w:r w:rsidRPr="00EA76D7">
        <w:rPr>
          <w:rFonts w:eastAsia="Times New Roman"/>
          <w:szCs w:val="28"/>
        </w:rPr>
        <w:t xml:space="preserve"> (м.</w:t>
      </w:r>
      <w:r w:rsidRPr="00EA76D7">
        <w:rPr>
          <w:rFonts w:eastAsia="Times New Roman"/>
          <w:szCs w:val="28"/>
          <w:lang w:val="en-US"/>
        </w:rPr>
        <w:t> </w:t>
      </w:r>
      <w:r w:rsidRPr="00EA76D7">
        <w:rPr>
          <w:rFonts w:eastAsia="Times New Roman"/>
          <w:szCs w:val="28"/>
        </w:rPr>
        <w:t>Харків,</w:t>
      </w:r>
      <w:r w:rsidRPr="00EA76D7">
        <w:rPr>
          <w:rFonts w:eastAsia="Times New Roman"/>
          <w:szCs w:val="28"/>
          <w:lang w:val="ru-RU"/>
        </w:rPr>
        <w:t xml:space="preserve"> 25-26 квітня 2016р.</w:t>
      </w:r>
      <w:r w:rsidRPr="00EA76D7">
        <w:rPr>
          <w:rFonts w:eastAsia="Times New Roman"/>
          <w:szCs w:val="28"/>
        </w:rPr>
        <w:t>) м.</w:t>
      </w:r>
      <w:r w:rsidRPr="00EA76D7">
        <w:rPr>
          <w:rFonts w:eastAsia="Times New Roman"/>
          <w:szCs w:val="28"/>
          <w:lang w:val="ru-RU"/>
        </w:rPr>
        <w:t xml:space="preserve"> Харків</w:t>
      </w:r>
      <w:r w:rsidRPr="00EA76D7">
        <w:rPr>
          <w:rFonts w:eastAsia="Times New Roman"/>
          <w:szCs w:val="28"/>
        </w:rPr>
        <w:t>, 2016</w:t>
      </w:r>
      <w:r w:rsidRPr="00EA76D7">
        <w:rPr>
          <w:rFonts w:eastAsia="Times New Roman"/>
          <w:szCs w:val="28"/>
          <w:lang w:val="ru-RU"/>
        </w:rPr>
        <w:t xml:space="preserve">. </w:t>
      </w:r>
      <w:r w:rsidRPr="00EA76D7">
        <w:rPr>
          <w:rFonts w:eastAsia="Times New Roman"/>
          <w:szCs w:val="28"/>
        </w:rPr>
        <w:t>С</w:t>
      </w:r>
      <w:r w:rsidRPr="00EA76D7">
        <w:rPr>
          <w:rFonts w:eastAsia="Times New Roman"/>
          <w:szCs w:val="28"/>
          <w:lang w:val="ru-RU"/>
        </w:rPr>
        <w:t xml:space="preserve">. 54.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Е.Н. Оценка качества жизни больных с острым инфарктом миокарда с сопутствующим ожирением / Е.Н.</w:t>
      </w:r>
      <w:r>
        <w:rPr>
          <w:rFonts w:eastAsia="Times New Roman"/>
          <w:szCs w:val="28"/>
          <w:lang w:val="ru-RU"/>
        </w:rPr>
        <w:t> </w:t>
      </w:r>
      <w:r w:rsidRPr="00EA76D7">
        <w:rPr>
          <w:rFonts w:eastAsia="Times New Roman"/>
          <w:szCs w:val="28"/>
          <w:lang w:val="ru-RU"/>
        </w:rPr>
        <w:t>Боровик, Н.</w:t>
      </w:r>
      <w:r>
        <w:rPr>
          <w:rFonts w:eastAsia="Times New Roman"/>
          <w:szCs w:val="28"/>
          <w:lang w:val="ru-RU"/>
        </w:rPr>
        <w:t> </w:t>
      </w:r>
      <w:r w:rsidRPr="00EA76D7">
        <w:rPr>
          <w:rFonts w:eastAsia="Times New Roman"/>
          <w:szCs w:val="28"/>
          <w:lang w:val="ru-RU"/>
        </w:rPr>
        <w:t>Мухамедова // Медицинская наука: достижения и перспективы: материалы XI научно-практической конференции молодых ученых и студентов ТГМУ им.Абуали ибни Сино с международным участием посвященная 25-летию государственной независимости Республики Таджикистан</w:t>
      </w:r>
      <w:r w:rsidRPr="00EA76D7">
        <w:rPr>
          <w:rFonts w:eastAsia="Times New Roman"/>
          <w:szCs w:val="28"/>
        </w:rPr>
        <w:t xml:space="preserve">. </w:t>
      </w:r>
      <w:r w:rsidRPr="00EA76D7">
        <w:rPr>
          <w:rFonts w:eastAsia="Times New Roman"/>
          <w:szCs w:val="28"/>
          <w:lang w:val="ru-RU"/>
        </w:rPr>
        <w:t>Душанбе</w:t>
      </w:r>
      <w:r w:rsidRPr="00EA76D7">
        <w:rPr>
          <w:rFonts w:eastAsia="Times New Roman"/>
          <w:szCs w:val="28"/>
        </w:rPr>
        <w:t>,</w:t>
      </w:r>
      <w:r w:rsidRPr="00EA76D7">
        <w:rPr>
          <w:rFonts w:eastAsia="Times New Roman"/>
          <w:szCs w:val="28"/>
          <w:lang w:val="ru-RU"/>
        </w:rPr>
        <w:t xml:space="preserve"> 2016г. С.19.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Роль вітронектину та галектину-3 у розвитку та прогнозуванні перебігу гострого інфаркту міокарда у поєднанні з ожирінням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П.Г.</w:t>
      </w:r>
      <w:r>
        <w:rPr>
          <w:rFonts w:eastAsia="Times New Roman"/>
          <w:szCs w:val="28"/>
          <w:lang w:val="ru-RU"/>
        </w:rPr>
        <w:t> </w:t>
      </w:r>
      <w:r w:rsidRPr="00EA76D7">
        <w:rPr>
          <w:rFonts w:eastAsia="Times New Roman"/>
          <w:szCs w:val="28"/>
          <w:lang w:val="ru-RU"/>
        </w:rPr>
        <w:t xml:space="preserve">Кравчун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 Малої </w:t>
      </w:r>
      <w:r w:rsidRPr="00EA76D7">
        <w:rPr>
          <w:rFonts w:eastAsia="Times New Roman"/>
          <w:szCs w:val="28"/>
        </w:rPr>
        <w:t>(м. Харків,</w:t>
      </w:r>
      <w:r w:rsidRPr="00EA76D7">
        <w:rPr>
          <w:rFonts w:eastAsia="Times New Roman"/>
          <w:szCs w:val="28"/>
          <w:lang w:val="ru-RU"/>
        </w:rPr>
        <w:t xml:space="preserve"> 25-26 квітня 2016</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2016</w:t>
      </w:r>
      <w:r w:rsidRPr="00EA76D7">
        <w:rPr>
          <w:rFonts w:eastAsia="Times New Roman"/>
          <w:szCs w:val="28"/>
          <w:lang w:val="ru-RU"/>
        </w:rPr>
        <w:t>.</w:t>
      </w:r>
      <w:r w:rsidRPr="00EA76D7">
        <w:rPr>
          <w:rFonts w:eastAsia="Times New Roman"/>
          <w:szCs w:val="28"/>
        </w:rPr>
        <w:t xml:space="preserve"> С</w:t>
      </w:r>
      <w:r>
        <w:rPr>
          <w:rFonts w:eastAsia="Times New Roman"/>
          <w:szCs w:val="28"/>
          <w:lang w:val="ru-RU"/>
        </w:rPr>
        <w:t> </w:t>
      </w:r>
      <w:r w:rsidRPr="00EA76D7">
        <w:rPr>
          <w:rFonts w:eastAsia="Times New Roman"/>
          <w:szCs w:val="28"/>
          <w:lang w:val="ru-RU"/>
        </w:rPr>
        <w:t xml:space="preserve">55.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lastRenderedPageBreak/>
        <w:t>Боровик К.М. Визначення особливостей основних складових якості життя у хворих на гострий інфаркт міокарда на тлі супутнього ожиріння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 xml:space="preserve">Риндіна // Стратегії профілактики неінфекційних хвороб та шляхи їх реалізації: від постулатів минулого в майбутнє: матеріали науково-практичної конференції з міжнародною участю </w:t>
      </w:r>
      <w:r w:rsidRPr="00EA76D7">
        <w:rPr>
          <w:rFonts w:eastAsia="Times New Roman"/>
          <w:szCs w:val="28"/>
        </w:rPr>
        <w:t>(</w:t>
      </w:r>
      <w:r w:rsidRPr="009E19DB">
        <w:rPr>
          <w:rFonts w:eastAsia="Times New Roman"/>
          <w:szCs w:val="28"/>
          <w:lang w:val="ru-RU"/>
        </w:rPr>
        <w:t>м.</w:t>
      </w:r>
      <w:r>
        <w:rPr>
          <w:rFonts w:eastAsia="Times New Roman"/>
          <w:szCs w:val="28"/>
          <w:lang w:val="ru-RU"/>
        </w:rPr>
        <w:t> </w:t>
      </w:r>
      <w:r w:rsidRPr="009E19DB">
        <w:rPr>
          <w:rFonts w:eastAsia="Times New Roman"/>
          <w:szCs w:val="28"/>
          <w:lang w:val="ru-RU"/>
        </w:rPr>
        <w:t xml:space="preserve">Харків, </w:t>
      </w:r>
      <w:r w:rsidRPr="00EA76D7">
        <w:rPr>
          <w:rFonts w:eastAsia="Times New Roman"/>
          <w:szCs w:val="28"/>
          <w:lang w:val="ru-RU"/>
        </w:rPr>
        <w:t>4 листопада 2016</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sidRPr="00EA76D7">
        <w:rPr>
          <w:rFonts w:eastAsia="Times New Roman"/>
          <w:szCs w:val="28"/>
          <w:lang w:val="en-US"/>
        </w:rPr>
        <w:t> </w:t>
      </w:r>
      <w:r w:rsidRPr="00EA76D7">
        <w:rPr>
          <w:rFonts w:eastAsia="Times New Roman"/>
          <w:szCs w:val="28"/>
          <w:lang w:val="ru-RU"/>
        </w:rPr>
        <w:t>Харків</w:t>
      </w:r>
      <w:r w:rsidRPr="00EA76D7">
        <w:rPr>
          <w:rFonts w:eastAsia="Times New Roman"/>
          <w:szCs w:val="28"/>
        </w:rPr>
        <w:t>, 2016</w:t>
      </w:r>
      <w:r w:rsidRPr="00EA76D7">
        <w:rPr>
          <w:rFonts w:eastAsia="Times New Roman"/>
          <w:szCs w:val="28"/>
          <w:lang w:val="ru-RU"/>
        </w:rPr>
        <w:t xml:space="preserve">. </w:t>
      </w:r>
      <w:r w:rsidRPr="00EA76D7">
        <w:rPr>
          <w:rFonts w:eastAsia="Times New Roman"/>
          <w:szCs w:val="28"/>
        </w:rPr>
        <w:t>С</w:t>
      </w:r>
      <w:r w:rsidRPr="00EA76D7">
        <w:rPr>
          <w:rFonts w:eastAsia="Times New Roman"/>
          <w:szCs w:val="28"/>
          <w:lang w:val="ru-RU"/>
        </w:rPr>
        <w:t>.</w:t>
      </w:r>
      <w:r>
        <w:rPr>
          <w:rFonts w:eastAsia="Times New Roman"/>
          <w:szCs w:val="28"/>
          <w:lang w:val="ru-RU"/>
        </w:rPr>
        <w:t> </w:t>
      </w:r>
      <w:r w:rsidRPr="00EA76D7">
        <w:rPr>
          <w:rFonts w:eastAsia="Times New Roman"/>
          <w:szCs w:val="28"/>
          <w:lang w:val="ru-RU"/>
        </w:rPr>
        <w:t xml:space="preserve">32.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Е.Н. Влияние физического и эмоционального компонента на качество жизни больных с коморбидной патологией острого инфаркта миокарда и ожирения / К.М.</w:t>
      </w:r>
      <w:r>
        <w:rPr>
          <w:rFonts w:eastAsia="Times New Roman"/>
          <w:szCs w:val="28"/>
          <w:lang w:val="ru-RU"/>
        </w:rPr>
        <w:t> </w:t>
      </w:r>
      <w:r w:rsidRPr="00EA76D7">
        <w:rPr>
          <w:rFonts w:eastAsia="Times New Roman"/>
          <w:szCs w:val="28"/>
          <w:lang w:val="ru-RU"/>
        </w:rPr>
        <w:t>Боровик, П.Г. Кравчун, Н.Г. Рындина // Метаболический синдром и современные методы лечения дисметаболизма: тезисы Республиканской научно-практической конференции». – Ташкент</w:t>
      </w:r>
      <w:r w:rsidRPr="009E19DB">
        <w:rPr>
          <w:rFonts w:eastAsia="Times New Roman"/>
          <w:szCs w:val="28"/>
          <w:lang w:val="ru-RU"/>
        </w:rPr>
        <w:t xml:space="preserve">, </w:t>
      </w:r>
      <w:r w:rsidRPr="00EA76D7">
        <w:rPr>
          <w:rFonts w:eastAsia="Times New Roman"/>
          <w:szCs w:val="28"/>
          <w:lang w:val="ru-RU"/>
        </w:rPr>
        <w:t xml:space="preserve">2016г. С.21.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Визначення ефектів вітронектину на розвиток та прогресування перебігу гострого інфаркту міокарда у поєднанні з ожирінням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П.Г.</w:t>
      </w:r>
      <w:r w:rsidRPr="00EA76D7">
        <w:rPr>
          <w:rFonts w:eastAsia="Times New Roman"/>
          <w:szCs w:val="28"/>
          <w:lang w:val="en-US"/>
        </w:rPr>
        <w:t> </w:t>
      </w:r>
      <w:r w:rsidRPr="00EA76D7">
        <w:rPr>
          <w:rFonts w:eastAsia="Times New Roman"/>
          <w:szCs w:val="28"/>
          <w:lang w:val="ru-RU"/>
        </w:rPr>
        <w:t>Кравчун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w:t>
      </w:r>
      <w:r>
        <w:rPr>
          <w:rFonts w:eastAsia="Times New Roman"/>
          <w:szCs w:val="28"/>
          <w:lang w:val="ru-RU"/>
        </w:rPr>
        <w:t> </w:t>
      </w:r>
      <w:r w:rsidRPr="00EA76D7">
        <w:rPr>
          <w:rFonts w:eastAsia="Times New Roman"/>
          <w:szCs w:val="28"/>
          <w:lang w:val="ru-RU"/>
        </w:rPr>
        <w:t>Малої</w:t>
      </w:r>
      <w:r w:rsidRPr="00EA76D7">
        <w:rPr>
          <w:rFonts w:eastAsia="Times New Roman"/>
          <w:szCs w:val="28"/>
        </w:rPr>
        <w:t xml:space="preserve"> (м.</w:t>
      </w:r>
      <w:r w:rsidRPr="00EA76D7">
        <w:rPr>
          <w:rFonts w:eastAsia="Times New Roman"/>
          <w:szCs w:val="28"/>
          <w:lang w:val="en-US"/>
        </w:rPr>
        <w:t> </w:t>
      </w:r>
      <w:r w:rsidRPr="00EA76D7">
        <w:rPr>
          <w:rFonts w:eastAsia="Times New Roman"/>
          <w:szCs w:val="28"/>
        </w:rPr>
        <w:t>Харків,</w:t>
      </w:r>
      <w:r w:rsidRPr="00EA76D7">
        <w:rPr>
          <w:rFonts w:eastAsia="Times New Roman"/>
          <w:szCs w:val="28"/>
          <w:lang w:val="ru-RU"/>
        </w:rPr>
        <w:t xml:space="preserve"> 25-26 квітня 2016</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2016</w:t>
      </w:r>
      <w:r w:rsidRPr="00EA76D7">
        <w:rPr>
          <w:rFonts w:eastAsia="Times New Roman"/>
          <w:szCs w:val="28"/>
          <w:lang w:val="ru-RU"/>
        </w:rPr>
        <w:t xml:space="preserve">. </w:t>
      </w:r>
      <w:r w:rsidRPr="00EA76D7">
        <w:rPr>
          <w:rFonts w:eastAsia="Times New Roman"/>
          <w:szCs w:val="28"/>
        </w:rPr>
        <w:t>С</w:t>
      </w:r>
      <w:r>
        <w:rPr>
          <w:rFonts w:eastAsia="Times New Roman"/>
          <w:szCs w:val="28"/>
          <w:lang w:val="ru-RU"/>
        </w:rPr>
        <w:t> </w:t>
      </w:r>
      <w:r w:rsidRPr="00EA76D7">
        <w:rPr>
          <w:rFonts w:eastAsia="Times New Roman"/>
          <w:szCs w:val="28"/>
          <w:lang w:val="ru-RU"/>
        </w:rPr>
        <w:t xml:space="preserve">53.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szCs w:val="28"/>
          <w:lang w:val="en-US"/>
        </w:rPr>
        <w:t>Borovyk</w:t>
      </w:r>
      <w:r>
        <w:rPr>
          <w:rFonts w:eastAsia="Times New Roman"/>
          <w:szCs w:val="28"/>
        </w:rPr>
        <w:t> </w:t>
      </w:r>
      <w:r w:rsidRPr="00EA76D7">
        <w:rPr>
          <w:rFonts w:eastAsia="Times New Roman"/>
          <w:szCs w:val="28"/>
          <w:lang w:val="en-US"/>
        </w:rPr>
        <w:t>K. The features of the quality of life in patients with acute myocardial infarction and concomitant obesity / K.</w:t>
      </w:r>
      <w:r>
        <w:rPr>
          <w:rFonts w:eastAsia="Times New Roman"/>
          <w:szCs w:val="28"/>
        </w:rPr>
        <w:t> </w:t>
      </w:r>
      <w:r w:rsidRPr="00EA76D7">
        <w:rPr>
          <w:rFonts w:eastAsia="Times New Roman"/>
          <w:szCs w:val="28"/>
          <w:lang w:val="en-US"/>
        </w:rPr>
        <w:t>Borovyk, A.I.</w:t>
      </w:r>
      <w:r>
        <w:rPr>
          <w:rFonts w:eastAsia="Times New Roman"/>
          <w:szCs w:val="28"/>
        </w:rPr>
        <w:t> </w:t>
      </w:r>
      <w:r w:rsidRPr="00EA76D7">
        <w:rPr>
          <w:rFonts w:eastAsia="Times New Roman"/>
          <w:szCs w:val="28"/>
          <w:lang w:val="en-US"/>
        </w:rPr>
        <w:t xml:space="preserve">Saiika // Actual problems of clinical and theoretical medicine: Materials of IX International Interdisciplinary Scientific Conference of Young Scientists and medical students </w:t>
      </w:r>
      <w:r w:rsidRPr="00EA76D7">
        <w:rPr>
          <w:rFonts w:eastAsia="Times New Roman"/>
          <w:szCs w:val="28"/>
        </w:rPr>
        <w:t xml:space="preserve">(Kharkiv, </w:t>
      </w:r>
      <w:r w:rsidRPr="00EA76D7">
        <w:rPr>
          <w:rFonts w:eastAsia="Times New Roman"/>
          <w:szCs w:val="28"/>
          <w:lang w:val="en-US"/>
        </w:rPr>
        <w:t>April 25-26, 2016) Kharkiv, 2016. P</w:t>
      </w:r>
      <w:r w:rsidRPr="009E19DB">
        <w:rPr>
          <w:rFonts w:eastAsia="Times New Roman"/>
          <w:szCs w:val="28"/>
          <w:lang w:val="ru-RU"/>
        </w:rPr>
        <w:t xml:space="preserve">.317.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9E19DB">
        <w:rPr>
          <w:rFonts w:eastAsia="Times New Roman"/>
          <w:szCs w:val="28"/>
        </w:rPr>
        <w:lastRenderedPageBreak/>
        <w:t>Боровик К.М. Вплив вітронектину та галектину-3 на розвиток та прогнозування перебігу гострого інфаркту міокарда у поєднанні з ожирінням / К.М.</w:t>
      </w:r>
      <w:r w:rsidRPr="00EA76D7">
        <w:rPr>
          <w:rFonts w:eastAsia="Times New Roman"/>
          <w:szCs w:val="28"/>
          <w:lang w:val="en-US"/>
        </w:rPr>
        <w:t> </w:t>
      </w:r>
      <w:r w:rsidRPr="009E19DB">
        <w:rPr>
          <w:rFonts w:eastAsia="Times New Roman"/>
          <w:szCs w:val="28"/>
        </w:rPr>
        <w:t>Боровик, П.Г.</w:t>
      </w:r>
      <w:r>
        <w:rPr>
          <w:rFonts w:eastAsia="Times New Roman"/>
          <w:szCs w:val="28"/>
        </w:rPr>
        <w:t> </w:t>
      </w:r>
      <w:r w:rsidRPr="009E19DB">
        <w:rPr>
          <w:rFonts w:eastAsia="Times New Roman"/>
          <w:szCs w:val="28"/>
        </w:rPr>
        <w:t>Кравчун, Н.Г.</w:t>
      </w:r>
      <w:r>
        <w:rPr>
          <w:rFonts w:eastAsia="Times New Roman"/>
          <w:szCs w:val="28"/>
        </w:rPr>
        <w:t> </w:t>
      </w:r>
      <w:r w:rsidRPr="009E19DB">
        <w:rPr>
          <w:rFonts w:eastAsia="Times New Roman"/>
          <w:szCs w:val="28"/>
        </w:rPr>
        <w:t xml:space="preserve">Риндіна // Досягнення та перспективи експериментальної та клінічної ендокринології: матеріали науково-практичної конференції з міжнародною участю </w:t>
      </w:r>
      <w:r w:rsidRPr="00EA76D7">
        <w:rPr>
          <w:rFonts w:eastAsia="Times New Roman"/>
          <w:szCs w:val="28"/>
          <w:lang w:val="ru-RU"/>
        </w:rPr>
        <w:t>(П’ятнадцяті Данілевські читання).</w:t>
      </w:r>
      <w:r w:rsidRPr="00EA76D7">
        <w:rPr>
          <w:rFonts w:eastAsia="Times New Roman"/>
          <w:szCs w:val="28"/>
        </w:rPr>
        <w:t xml:space="preserve"> м. Харків,</w:t>
      </w:r>
      <w:r w:rsidRPr="00EA76D7">
        <w:rPr>
          <w:rFonts w:eastAsia="Times New Roman"/>
          <w:szCs w:val="28"/>
          <w:lang w:val="ru-RU"/>
        </w:rPr>
        <w:t xml:space="preserve"> 2016. </w:t>
      </w:r>
      <w:r w:rsidRPr="00EA76D7">
        <w:rPr>
          <w:rFonts w:eastAsia="Times New Roman"/>
          <w:szCs w:val="28"/>
        </w:rPr>
        <w:t>С. 3</w:t>
      </w:r>
      <w:r w:rsidRPr="00EA76D7">
        <w:rPr>
          <w:rFonts w:eastAsia="Times New Roman"/>
          <w:szCs w:val="28"/>
          <w:lang w:val="ru-RU"/>
        </w:rPr>
        <w:t xml:space="preserve">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 К.М. Зміни активності вітронектинемії  у хворих на гострий інфаркт міокарда на тлі супутнього ожиріння з урахуванням типу розподілу жирової тканини / К.М.</w:t>
      </w:r>
      <w:r w:rsidRPr="009E19DB">
        <w:rPr>
          <w:rFonts w:eastAsia="Times New Roman"/>
          <w:szCs w:val="28"/>
          <w:lang w:val="ru-RU"/>
        </w:rPr>
        <w:t xml:space="preserve"> </w:t>
      </w:r>
      <w:r w:rsidRPr="00EA76D7">
        <w:rPr>
          <w:rFonts w:eastAsia="Times New Roman"/>
          <w:szCs w:val="28"/>
          <w:lang w:val="ru-RU"/>
        </w:rPr>
        <w:t>Боровик, І.С. Пайміна // Медицина третього тисячоліття: збірник тез міжвузівської конференції молодих вчених та студентів»</w:t>
      </w:r>
      <w:r w:rsidRPr="00EA76D7">
        <w:rPr>
          <w:rFonts w:eastAsia="Times New Roman"/>
          <w:szCs w:val="28"/>
        </w:rPr>
        <w:t xml:space="preserve"> (м.</w:t>
      </w:r>
      <w:r>
        <w:rPr>
          <w:rFonts w:eastAsia="Times New Roman"/>
          <w:szCs w:val="28"/>
        </w:rPr>
        <w:t> </w:t>
      </w:r>
      <w:r w:rsidRPr="00EA76D7">
        <w:rPr>
          <w:rFonts w:eastAsia="Times New Roman"/>
          <w:szCs w:val="28"/>
        </w:rPr>
        <w:t xml:space="preserve">Харків, </w:t>
      </w:r>
      <w:r w:rsidRPr="00EA76D7">
        <w:rPr>
          <w:rFonts w:eastAsia="Times New Roman"/>
          <w:szCs w:val="28"/>
          <w:lang w:val="ru-RU"/>
        </w:rPr>
        <w:t>16-17 січня 2017р.</w:t>
      </w:r>
      <w:r w:rsidRPr="00EA76D7">
        <w:rPr>
          <w:rFonts w:eastAsia="Times New Roman"/>
          <w:szCs w:val="28"/>
        </w:rPr>
        <w:t>) м.</w:t>
      </w:r>
      <w:r>
        <w:rPr>
          <w:rFonts w:eastAsia="Times New Roman"/>
          <w:szCs w:val="28"/>
        </w:rPr>
        <w:t> </w:t>
      </w:r>
      <w:r w:rsidRPr="00EA76D7">
        <w:rPr>
          <w:rFonts w:eastAsia="Times New Roman"/>
          <w:szCs w:val="28"/>
          <w:lang w:val="ru-RU"/>
        </w:rPr>
        <w:t>Харків</w:t>
      </w:r>
      <w:r w:rsidRPr="00EA76D7">
        <w:rPr>
          <w:rFonts w:eastAsia="Times New Roman"/>
          <w:szCs w:val="28"/>
        </w:rPr>
        <w:t>, 2017. С</w:t>
      </w:r>
      <w:r w:rsidRPr="00EA76D7">
        <w:rPr>
          <w:rFonts w:eastAsia="Times New Roman"/>
          <w:szCs w:val="28"/>
          <w:lang w:val="ru-RU"/>
        </w:rPr>
        <w:t>.</w:t>
      </w:r>
      <w:r>
        <w:rPr>
          <w:rFonts w:eastAsia="Times New Roman"/>
          <w:szCs w:val="28"/>
          <w:lang w:val="ru-RU"/>
        </w:rPr>
        <w:t> </w:t>
      </w:r>
      <w:r w:rsidRPr="00EA76D7">
        <w:rPr>
          <w:rFonts w:eastAsia="Times New Roman"/>
          <w:szCs w:val="28"/>
          <w:lang w:val="ru-RU"/>
        </w:rPr>
        <w:t>105.</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Е.Н. Взаимосвязь концентрации витронектина с индексом массы тела у больных с острым инфарктом миокарда и ожирением абдоминального типа / Е.Н.</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Рындина // Метаболический синдром и другие категории дисметаболизма в различных областях медицины: тезисы Республиканской научно-практической конференции.</w:t>
      </w:r>
      <w:r w:rsidRPr="00EA76D7">
        <w:rPr>
          <w:rFonts w:eastAsia="Times New Roman"/>
          <w:szCs w:val="28"/>
        </w:rPr>
        <w:t xml:space="preserve"> (г.</w:t>
      </w:r>
      <w:r>
        <w:rPr>
          <w:rFonts w:eastAsia="Times New Roman"/>
          <w:szCs w:val="28"/>
        </w:rPr>
        <w:t> </w:t>
      </w:r>
      <w:r w:rsidRPr="00EA76D7">
        <w:rPr>
          <w:rFonts w:eastAsia="Times New Roman"/>
          <w:szCs w:val="28"/>
        </w:rPr>
        <w:t xml:space="preserve">Ташкент, </w:t>
      </w:r>
      <w:r w:rsidRPr="00EA76D7">
        <w:rPr>
          <w:rFonts w:eastAsia="Times New Roman"/>
          <w:szCs w:val="28"/>
          <w:lang w:val="ru-RU"/>
        </w:rPr>
        <w:t>13 апреля 2017</w:t>
      </w:r>
      <w:r>
        <w:rPr>
          <w:rFonts w:eastAsia="Times New Roman"/>
          <w:szCs w:val="28"/>
          <w:lang w:val="ru-RU"/>
        </w:rPr>
        <w:t> </w:t>
      </w:r>
      <w:r w:rsidRPr="00EA76D7">
        <w:rPr>
          <w:rFonts w:eastAsia="Times New Roman"/>
          <w:szCs w:val="28"/>
          <w:lang w:val="ru-RU"/>
        </w:rPr>
        <w:t>г.</w:t>
      </w:r>
      <w:r w:rsidRPr="00EA76D7">
        <w:rPr>
          <w:rFonts w:eastAsia="Times New Roman"/>
          <w:szCs w:val="28"/>
        </w:rPr>
        <w:t>) г.</w:t>
      </w:r>
      <w:r>
        <w:rPr>
          <w:rFonts w:eastAsia="Times New Roman"/>
          <w:szCs w:val="28"/>
          <w:lang w:val="ru-RU"/>
        </w:rPr>
        <w:t> </w:t>
      </w:r>
      <w:r w:rsidRPr="00EA76D7">
        <w:rPr>
          <w:rFonts w:eastAsia="Times New Roman"/>
          <w:szCs w:val="28"/>
          <w:lang w:val="ru-RU"/>
        </w:rPr>
        <w:t>Ташкент</w:t>
      </w:r>
      <w:r w:rsidRPr="00EA76D7">
        <w:rPr>
          <w:rFonts w:eastAsia="Times New Roman"/>
          <w:szCs w:val="28"/>
        </w:rPr>
        <w:t xml:space="preserve"> (Республика Узбекистан), 2017</w:t>
      </w:r>
      <w:r w:rsidRPr="00EA76D7">
        <w:rPr>
          <w:rFonts w:eastAsia="Times New Roman"/>
          <w:szCs w:val="28"/>
          <w:lang w:val="ru-RU"/>
        </w:rPr>
        <w:t>.</w:t>
      </w:r>
      <w:r w:rsidRPr="009E19DB">
        <w:rPr>
          <w:rFonts w:eastAsia="Times New Roman"/>
          <w:szCs w:val="28"/>
          <w:lang w:val="ru-RU"/>
        </w:rPr>
        <w:t xml:space="preserve"> </w:t>
      </w:r>
      <w:r w:rsidRPr="00EA76D7">
        <w:rPr>
          <w:rFonts w:eastAsia="Times New Roman"/>
          <w:szCs w:val="28"/>
        </w:rPr>
        <w:t>С</w:t>
      </w:r>
      <w:r w:rsidRPr="00EA76D7">
        <w:rPr>
          <w:rFonts w:eastAsia="Times New Roman"/>
          <w:szCs w:val="28"/>
          <w:lang w:val="ru-RU"/>
        </w:rPr>
        <w:t>.</w:t>
      </w:r>
      <w:r>
        <w:rPr>
          <w:rFonts w:eastAsia="Times New Roman"/>
          <w:szCs w:val="28"/>
          <w:lang w:val="ru-RU"/>
        </w:rPr>
        <w:t> </w:t>
      </w:r>
      <w:r w:rsidRPr="00EA76D7">
        <w:rPr>
          <w:rFonts w:eastAsia="Times New Roman"/>
          <w:szCs w:val="28"/>
          <w:lang w:val="ru-RU"/>
        </w:rPr>
        <w:t xml:space="preserve">32. </w:t>
      </w:r>
      <w:r w:rsidRPr="00EA76D7">
        <w:rPr>
          <w:rFonts w:eastAsia="Times New Roman"/>
          <w:i/>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Аналіз показників антропометрії та вітронектинемії у хворих на гострий інфаркт міокарда з супутнім ожирінням / К.М.</w:t>
      </w:r>
      <w:r>
        <w:rPr>
          <w:rFonts w:eastAsia="Times New Roman"/>
          <w:szCs w:val="28"/>
          <w:lang w:val="ru-RU"/>
        </w:rPr>
        <w:t> </w:t>
      </w:r>
      <w:r w:rsidRPr="00EA76D7">
        <w:rPr>
          <w:rFonts w:eastAsia="Times New Roman"/>
          <w:szCs w:val="28"/>
          <w:lang w:val="ru-RU"/>
        </w:rPr>
        <w:t>Боровик, Н.Г.</w:t>
      </w:r>
      <w:r>
        <w:rPr>
          <w:rFonts w:eastAsia="Times New Roman"/>
          <w:szCs w:val="28"/>
          <w:lang w:val="ru-RU"/>
        </w:rPr>
        <w:t> Р</w:t>
      </w:r>
      <w:r w:rsidRPr="00EA76D7">
        <w:rPr>
          <w:rFonts w:eastAsia="Times New Roman"/>
          <w:szCs w:val="28"/>
          <w:lang w:val="ru-RU"/>
        </w:rPr>
        <w:t>индіна // Матеріали 78-ї загальноуніверситетської наукової конференції студентів та молодих вчених</w:t>
      </w:r>
      <w:r w:rsidRPr="00EA76D7">
        <w:rPr>
          <w:rFonts w:eastAsia="Times New Roman"/>
          <w:szCs w:val="28"/>
        </w:rPr>
        <w:t xml:space="preserve"> (м. Львів, </w:t>
      </w:r>
      <w:r w:rsidRPr="00EA76D7">
        <w:rPr>
          <w:rFonts w:eastAsia="Times New Roman"/>
          <w:szCs w:val="28"/>
          <w:lang w:val="ru-RU"/>
        </w:rPr>
        <w:t>26-28 квітня 2017 р.</w:t>
      </w:r>
      <w:r w:rsidRPr="00EA76D7">
        <w:rPr>
          <w:rFonts w:eastAsia="Times New Roman"/>
          <w:szCs w:val="28"/>
        </w:rPr>
        <w:t>) м.</w:t>
      </w:r>
      <w:r w:rsidRPr="00EA76D7">
        <w:rPr>
          <w:rFonts w:eastAsia="Times New Roman"/>
          <w:szCs w:val="28"/>
          <w:lang w:val="ru-RU"/>
        </w:rPr>
        <w:t xml:space="preserve"> Львів</w:t>
      </w:r>
      <w:r w:rsidRPr="00EA76D7">
        <w:rPr>
          <w:rFonts w:eastAsia="Times New Roman"/>
          <w:szCs w:val="28"/>
        </w:rPr>
        <w:t>, 2017</w:t>
      </w:r>
      <w:r w:rsidRPr="00EA76D7">
        <w:rPr>
          <w:rFonts w:eastAsia="Times New Roman"/>
          <w:szCs w:val="28"/>
          <w:lang w:val="ru-RU"/>
        </w:rPr>
        <w:t>.</w:t>
      </w:r>
      <w:r w:rsidRPr="00EA76D7">
        <w:rPr>
          <w:rFonts w:eastAsia="Times New Roman"/>
          <w:szCs w:val="28"/>
        </w:rPr>
        <w:t xml:space="preserve"> С.</w:t>
      </w:r>
      <w:r w:rsidRPr="00EA76D7">
        <w:rPr>
          <w:rFonts w:eastAsia="Times New Roman"/>
          <w:szCs w:val="28"/>
          <w:lang w:val="ru-RU"/>
        </w:rPr>
        <w:t xml:space="preserve"> 11-12. </w:t>
      </w:r>
      <w:r w:rsidRPr="00EA76D7">
        <w:rPr>
          <w:rFonts w:eastAsia="Times New Roman"/>
          <w:i/>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en-US"/>
        </w:rPr>
        <w:t>Borovyk</w:t>
      </w:r>
      <w:r>
        <w:rPr>
          <w:rFonts w:eastAsia="Times New Roman"/>
          <w:szCs w:val="28"/>
        </w:rPr>
        <w:t> </w:t>
      </w:r>
      <w:r w:rsidRPr="00EA76D7">
        <w:rPr>
          <w:rFonts w:eastAsia="Times New Roman"/>
          <w:szCs w:val="28"/>
          <w:lang w:val="en-US"/>
        </w:rPr>
        <w:t>K.M. The features of acute myocardial infarction in patients with metabolic disorders / K.M.</w:t>
      </w:r>
      <w:r>
        <w:rPr>
          <w:rFonts w:eastAsia="Times New Roman"/>
          <w:szCs w:val="28"/>
        </w:rPr>
        <w:t> </w:t>
      </w:r>
      <w:r w:rsidRPr="00EA76D7">
        <w:rPr>
          <w:rFonts w:eastAsia="Times New Roman"/>
          <w:szCs w:val="28"/>
          <w:lang w:val="en-US"/>
        </w:rPr>
        <w:t xml:space="preserve">Borovyk, M.Yu. Koteliukh, N.G. Ryndina // 10th </w:t>
      </w:r>
      <w:r w:rsidRPr="00EA76D7">
        <w:rPr>
          <w:rFonts w:eastAsia="Times New Roman"/>
          <w:szCs w:val="28"/>
          <w:lang w:val="en-US"/>
        </w:rPr>
        <w:lastRenderedPageBreak/>
        <w:t>International Scientific Interdisciplinary Conference (ISIC) for medical students and young scientists. – Kharkiv, 2017. P</w:t>
      </w:r>
      <w:r w:rsidRPr="009E19DB">
        <w:rPr>
          <w:rFonts w:eastAsia="Times New Roman"/>
          <w:szCs w:val="28"/>
          <w:lang w:val="ru-RU"/>
        </w:rPr>
        <w:t>.</w:t>
      </w:r>
      <w:r w:rsidRPr="00EA76D7">
        <w:rPr>
          <w:rFonts w:eastAsia="Times New Roman"/>
          <w:szCs w:val="28"/>
        </w:rPr>
        <w:t xml:space="preserve"> </w:t>
      </w:r>
      <w:r w:rsidRPr="009E19DB">
        <w:rPr>
          <w:rFonts w:eastAsia="Times New Roman"/>
          <w:szCs w:val="28"/>
          <w:lang w:val="ru-RU"/>
        </w:rPr>
        <w:t xml:space="preserve">50. </w:t>
      </w:r>
      <w:r w:rsidRPr="00EA76D7">
        <w:rPr>
          <w:rFonts w:eastAsia="Times New Roman"/>
          <w:i/>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Визначення рівнів вітронектину як маркера прогнозу повторних кардіоваскулярних подій протягом півроку після перенесеного гострого інфаркту міокарда за наявності ожиріння / К.М.</w:t>
      </w:r>
      <w:r w:rsidRPr="009E19DB">
        <w:rPr>
          <w:rFonts w:eastAsia="Times New Roman"/>
          <w:szCs w:val="28"/>
          <w:lang w:val="ru-RU"/>
        </w:rPr>
        <w:t xml:space="preserve"> </w:t>
      </w:r>
      <w:r w:rsidRPr="00EA76D7">
        <w:rPr>
          <w:rFonts w:eastAsia="Times New Roman"/>
          <w:szCs w:val="28"/>
          <w:lang w:val="ru-RU"/>
        </w:rPr>
        <w:t>Боровик, О.С</w:t>
      </w:r>
      <w:r w:rsidRPr="009E19DB">
        <w:rPr>
          <w:rFonts w:eastAsia="Times New Roman"/>
          <w:szCs w:val="28"/>
          <w:lang w:val="ru-RU"/>
        </w:rPr>
        <w:t>.</w:t>
      </w:r>
      <w:r w:rsidRPr="00EA76D7">
        <w:rPr>
          <w:rFonts w:eastAsia="Times New Roman"/>
          <w:szCs w:val="28"/>
          <w:lang w:val="ru-RU"/>
        </w:rPr>
        <w:t xml:space="preserve"> Єрмак</w:t>
      </w:r>
      <w:r w:rsidRPr="009E19DB">
        <w:rPr>
          <w:rFonts w:eastAsia="Times New Roman"/>
          <w:szCs w:val="28"/>
          <w:lang w:val="ru-RU"/>
        </w:rPr>
        <w:t>,</w:t>
      </w:r>
      <w:r w:rsidRPr="00EA76D7">
        <w:rPr>
          <w:rFonts w:eastAsia="Times New Roman"/>
          <w:szCs w:val="28"/>
          <w:lang w:val="ru-RU"/>
        </w:rPr>
        <w:t xml:space="preserve"> Н.Г. Риндіна // Цукровий діабет як інтегральна проблема в внутрішньої медицини: матеріали науково-практичної конференції з міжнародною участю</w:t>
      </w:r>
      <w:r w:rsidRPr="00EA76D7">
        <w:rPr>
          <w:rFonts w:eastAsia="Times New Roman"/>
          <w:szCs w:val="28"/>
        </w:rPr>
        <w:t xml:space="preserve"> (м.</w:t>
      </w:r>
      <w:r>
        <w:rPr>
          <w:rFonts w:eastAsia="Times New Roman"/>
          <w:szCs w:val="28"/>
        </w:rPr>
        <w:t> </w:t>
      </w:r>
      <w:r w:rsidRPr="00EA76D7">
        <w:rPr>
          <w:rFonts w:eastAsia="Times New Roman"/>
          <w:szCs w:val="28"/>
        </w:rPr>
        <w:t xml:space="preserve">Харків, </w:t>
      </w:r>
      <w:r w:rsidRPr="00EA76D7">
        <w:rPr>
          <w:rFonts w:eastAsia="Times New Roman"/>
          <w:szCs w:val="28"/>
          <w:lang w:val="ru-RU"/>
        </w:rPr>
        <w:t>7 вересня 2017</w:t>
      </w:r>
      <w:r>
        <w:rPr>
          <w:rFonts w:eastAsia="Times New Roman"/>
          <w:szCs w:val="28"/>
          <w:lang w:val="ru-RU"/>
        </w:rPr>
        <w:t> </w:t>
      </w:r>
      <w:r w:rsidRPr="00EA76D7">
        <w:rPr>
          <w:rFonts w:eastAsia="Times New Roman"/>
          <w:szCs w:val="28"/>
        </w:rPr>
        <w:t>р)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2017</w:t>
      </w:r>
      <w:r w:rsidRPr="00EA76D7">
        <w:rPr>
          <w:rFonts w:eastAsia="Times New Roman"/>
          <w:szCs w:val="28"/>
          <w:lang w:val="ru-RU"/>
        </w:rPr>
        <w:t>.</w:t>
      </w:r>
      <w:r w:rsidRPr="00EA76D7">
        <w:rPr>
          <w:rFonts w:eastAsia="Times New Roman"/>
          <w:szCs w:val="28"/>
        </w:rPr>
        <w:t xml:space="preserve"> С.</w:t>
      </w:r>
      <w:r>
        <w:rPr>
          <w:rFonts w:eastAsia="Times New Roman"/>
          <w:szCs w:val="28"/>
        </w:rPr>
        <w:t> </w:t>
      </w:r>
      <w:r w:rsidRPr="00EA76D7">
        <w:rPr>
          <w:rFonts w:eastAsia="Times New Roman"/>
          <w:szCs w:val="28"/>
        </w:rPr>
        <w:t>42</w:t>
      </w:r>
      <w:r w:rsidRPr="00EA76D7">
        <w:rPr>
          <w:rFonts w:eastAsia="Times New Roman"/>
          <w:szCs w:val="28"/>
          <w:lang w:val="ru-RU"/>
        </w:rPr>
        <w:t xml:space="preserve">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szCs w:val="28"/>
          <w:lang w:val="ru-RU"/>
        </w:rPr>
        <w:t>Боровик К.М. Асоціація вітронектинемії з індексом маси тіла у хворих на гострий інфаркт міокарда на тлі супутнього ожиріння абдомінального типу</w:t>
      </w:r>
      <w:r w:rsidRPr="00EA76D7">
        <w:rPr>
          <w:rFonts w:eastAsia="Times New Roman"/>
          <w:szCs w:val="28"/>
        </w:rPr>
        <w:t xml:space="preserve"> </w:t>
      </w:r>
      <w:r w:rsidRPr="00EA76D7">
        <w:rPr>
          <w:rFonts w:eastAsia="Times New Roman"/>
          <w:szCs w:val="28"/>
          <w:lang w:val="ru-RU"/>
        </w:rPr>
        <w:t>/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 Матеріали XV</w:t>
      </w:r>
      <w:r w:rsidRPr="00EA76D7">
        <w:rPr>
          <w:rFonts w:eastAsia="Times New Roman"/>
          <w:szCs w:val="28"/>
          <w:lang w:val="en-US"/>
        </w:rPr>
        <w:t>III</w:t>
      </w:r>
      <w:r w:rsidRPr="00EA76D7">
        <w:rPr>
          <w:rFonts w:eastAsia="Times New Roman"/>
          <w:szCs w:val="28"/>
          <w:lang w:val="ru-RU"/>
        </w:rPr>
        <w:t xml:space="preserve"> Національного конгресу кардіологів України</w:t>
      </w:r>
      <w:r w:rsidRPr="00EA76D7">
        <w:rPr>
          <w:rFonts w:eastAsia="Times New Roman"/>
          <w:szCs w:val="28"/>
        </w:rPr>
        <w:t xml:space="preserve"> (м. Київ, </w:t>
      </w:r>
      <w:r w:rsidRPr="00EA76D7">
        <w:rPr>
          <w:rFonts w:eastAsia="Times New Roman"/>
          <w:szCs w:val="28"/>
          <w:lang w:val="ru-RU"/>
        </w:rPr>
        <w:t>20-22 вересня 2017 року</w:t>
      </w:r>
      <w:r w:rsidRPr="00EA76D7">
        <w:rPr>
          <w:rFonts w:eastAsia="Times New Roman"/>
          <w:szCs w:val="28"/>
        </w:rPr>
        <w:t>) м.</w:t>
      </w:r>
      <w:r>
        <w:rPr>
          <w:rFonts w:eastAsia="Times New Roman"/>
          <w:szCs w:val="28"/>
          <w:lang w:val="ru-RU"/>
        </w:rPr>
        <w:t> </w:t>
      </w:r>
      <w:r w:rsidRPr="00EA76D7">
        <w:rPr>
          <w:rFonts w:eastAsia="Times New Roman"/>
          <w:szCs w:val="28"/>
          <w:lang w:val="ru-RU"/>
        </w:rPr>
        <w:t>Київ</w:t>
      </w:r>
      <w:r w:rsidRPr="00EA76D7">
        <w:rPr>
          <w:rFonts w:eastAsia="Times New Roman"/>
          <w:szCs w:val="28"/>
        </w:rPr>
        <w:t>, 2017. С</w:t>
      </w:r>
      <w:r w:rsidRPr="00EA76D7">
        <w:rPr>
          <w:rFonts w:eastAsia="Times New Roman"/>
          <w:szCs w:val="28"/>
          <w:lang w:val="ru-RU"/>
        </w:rPr>
        <w:t xml:space="preserve">.45.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 та стендової доповіді).</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9E19DB">
        <w:rPr>
          <w:rFonts w:eastAsia="Times New Roman"/>
          <w:szCs w:val="28"/>
        </w:rPr>
        <w:t xml:space="preserve">Боровик К.М. Аналіз основних показників якості життя у хворих на гострий коронарний синдром з елевацією сегмента </w:t>
      </w:r>
      <w:r w:rsidRPr="00EA76D7">
        <w:rPr>
          <w:rFonts w:eastAsia="Times New Roman"/>
          <w:szCs w:val="28"/>
          <w:lang w:val="ru-RU"/>
        </w:rPr>
        <w:t>ST</w:t>
      </w:r>
      <w:r w:rsidRPr="009E19DB">
        <w:rPr>
          <w:rFonts w:eastAsia="Times New Roman"/>
          <w:szCs w:val="28"/>
        </w:rPr>
        <w:t xml:space="preserve"> на тлі абдомінального ожиріння  / К.М.</w:t>
      </w:r>
      <w:r w:rsidRPr="00EA76D7">
        <w:rPr>
          <w:rFonts w:eastAsia="Times New Roman"/>
          <w:szCs w:val="28"/>
          <w:lang w:val="en-US"/>
        </w:rPr>
        <w:t> </w:t>
      </w:r>
      <w:r w:rsidRPr="009E19DB">
        <w:rPr>
          <w:rFonts w:eastAsia="Times New Roman"/>
          <w:szCs w:val="28"/>
        </w:rPr>
        <w:t>Боровик, А.</w:t>
      </w:r>
      <w:r>
        <w:rPr>
          <w:rFonts w:eastAsia="Times New Roman"/>
          <w:szCs w:val="28"/>
        </w:rPr>
        <w:t> </w:t>
      </w:r>
      <w:r w:rsidRPr="009E19DB">
        <w:rPr>
          <w:rFonts w:eastAsia="Times New Roman"/>
          <w:szCs w:val="28"/>
        </w:rPr>
        <w:t>Фарес // Медицина третього тисячоліття: збірник тез міжвузівської конференції молодих вчених та студентів</w:t>
      </w:r>
      <w:r w:rsidRPr="00EA76D7">
        <w:rPr>
          <w:rFonts w:eastAsia="Times New Roman"/>
          <w:szCs w:val="28"/>
        </w:rPr>
        <w:t xml:space="preserve"> (м. Харків, </w:t>
      </w:r>
      <w:r w:rsidRPr="009E19DB">
        <w:rPr>
          <w:rFonts w:eastAsia="Times New Roman"/>
          <w:szCs w:val="28"/>
        </w:rPr>
        <w:t>22-24 січня 2018р.</w:t>
      </w:r>
      <w:r w:rsidRPr="00EA76D7">
        <w:rPr>
          <w:rFonts w:eastAsia="Times New Roman"/>
          <w:szCs w:val="28"/>
        </w:rPr>
        <w:t>) м.</w:t>
      </w:r>
      <w:r w:rsidRPr="009E19DB">
        <w:rPr>
          <w:rFonts w:eastAsia="Times New Roman"/>
          <w:szCs w:val="28"/>
        </w:rPr>
        <w:t xml:space="preserve"> Харків</w:t>
      </w:r>
      <w:r w:rsidRPr="00EA76D7">
        <w:rPr>
          <w:rFonts w:eastAsia="Times New Roman"/>
          <w:szCs w:val="28"/>
        </w:rPr>
        <w:t>, 2017. С</w:t>
      </w:r>
      <w:r w:rsidRPr="00EA76D7">
        <w:rPr>
          <w:rFonts w:eastAsia="Times New Roman"/>
          <w:szCs w:val="28"/>
          <w:lang w:val="ru-RU"/>
        </w:rPr>
        <w:t>. 91-92.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 К.М. Оцінка ризику розвитку повторного інфаркту міокарда у хворих після перенесеного гострого коронарного синдрому з елевацією сегменту ST за наявності ожиріння протягом 6-місячного терміну спостереження / К.М.</w:t>
      </w:r>
      <w:r>
        <w:rPr>
          <w:rFonts w:eastAsia="Times New Roman"/>
          <w:szCs w:val="28"/>
          <w:lang w:val="ru-RU"/>
        </w:rPr>
        <w:t> </w:t>
      </w:r>
      <w:r w:rsidRPr="00EA76D7">
        <w:rPr>
          <w:rFonts w:eastAsia="Times New Roman"/>
          <w:szCs w:val="28"/>
          <w:lang w:val="ru-RU"/>
        </w:rPr>
        <w:t>Боровик, Д.В.</w:t>
      </w:r>
      <w:r>
        <w:rPr>
          <w:rFonts w:eastAsia="Times New Roman"/>
          <w:szCs w:val="28"/>
          <w:lang w:val="ru-RU"/>
        </w:rPr>
        <w:t> </w:t>
      </w:r>
      <w:r w:rsidRPr="00EA76D7">
        <w:rPr>
          <w:rFonts w:eastAsia="Times New Roman"/>
          <w:szCs w:val="28"/>
          <w:lang w:val="ru-RU"/>
        </w:rPr>
        <w:t>Мартовицкий, О.В.</w:t>
      </w:r>
      <w:r>
        <w:rPr>
          <w:rFonts w:eastAsia="Times New Roman"/>
          <w:szCs w:val="28"/>
          <w:lang w:val="ru-RU"/>
        </w:rPr>
        <w:t> </w:t>
      </w:r>
      <w:r w:rsidRPr="00EA76D7">
        <w:rPr>
          <w:rFonts w:eastAsia="Times New Roman"/>
          <w:szCs w:val="28"/>
          <w:lang w:val="ru-RU"/>
        </w:rPr>
        <w:t xml:space="preserve">Глєбова // Медицина третього тисячоліття: збірник тез міжвузівської конференції молодих вчених та студентів. </w:t>
      </w:r>
      <w:r w:rsidRPr="00EA76D7">
        <w:rPr>
          <w:rFonts w:eastAsia="Times New Roman"/>
          <w:szCs w:val="28"/>
        </w:rPr>
        <w:t xml:space="preserve">(м. Харків, </w:t>
      </w:r>
      <w:r w:rsidRPr="00EA76D7">
        <w:rPr>
          <w:rFonts w:eastAsia="Times New Roman"/>
          <w:szCs w:val="28"/>
          <w:lang w:val="ru-RU"/>
        </w:rPr>
        <w:lastRenderedPageBreak/>
        <w:t>22-24 січня 2018р.</w:t>
      </w:r>
      <w:r w:rsidRPr="00EA76D7">
        <w:rPr>
          <w:rFonts w:eastAsia="Times New Roman"/>
          <w:szCs w:val="28"/>
        </w:rPr>
        <w:t>)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2017. С</w:t>
      </w:r>
      <w:r w:rsidRPr="00EA76D7">
        <w:rPr>
          <w:rFonts w:eastAsia="Times New Roman"/>
          <w:szCs w:val="28"/>
          <w:lang w:val="ru-RU"/>
        </w:rPr>
        <w:t>.</w:t>
      </w:r>
      <w:r w:rsidRPr="00EA76D7">
        <w:rPr>
          <w:rFonts w:eastAsia="Times New Roman"/>
          <w:szCs w:val="28"/>
        </w:rPr>
        <w:t xml:space="preserve"> </w:t>
      </w:r>
      <w:r w:rsidRPr="00EA76D7">
        <w:rPr>
          <w:rFonts w:eastAsia="Times New Roman"/>
          <w:szCs w:val="28"/>
          <w:lang w:val="ru-RU"/>
        </w:rPr>
        <w:t>92.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 К.М. Зв'язок вітронектину та показників антропометрії у хворих на гострий інфаркт міокарда на тлі ожиріння / К.М.</w:t>
      </w:r>
      <w:r>
        <w:rPr>
          <w:rFonts w:eastAsia="Times New Roman"/>
          <w:szCs w:val="28"/>
        </w:rPr>
        <w:t> </w:t>
      </w:r>
      <w:r w:rsidRPr="00EA76D7">
        <w:rPr>
          <w:rFonts w:eastAsia="Times New Roman"/>
          <w:szCs w:val="28"/>
          <w:lang w:val="ru-RU"/>
        </w:rPr>
        <w:t>Боровик, Н.Г.</w:t>
      </w:r>
      <w:r>
        <w:rPr>
          <w:rFonts w:eastAsia="Times New Roman"/>
          <w:szCs w:val="28"/>
        </w:rPr>
        <w:t> </w:t>
      </w:r>
      <w:r w:rsidRPr="00EA76D7">
        <w:rPr>
          <w:rFonts w:eastAsia="Times New Roman"/>
          <w:szCs w:val="28"/>
          <w:lang w:val="ru-RU"/>
        </w:rPr>
        <w:t>Риндіна, О.В.</w:t>
      </w:r>
      <w:r w:rsidRPr="00EA76D7">
        <w:rPr>
          <w:rFonts w:eastAsia="Times New Roman"/>
          <w:szCs w:val="28"/>
        </w:rPr>
        <w:t> </w:t>
      </w:r>
      <w:r w:rsidRPr="00EA76D7">
        <w:rPr>
          <w:rFonts w:eastAsia="Times New Roman"/>
          <w:szCs w:val="28"/>
          <w:lang w:val="ru-RU"/>
        </w:rPr>
        <w:t xml:space="preserve">Глєбова // Щорічні терапевтичні читання. Профілактика неінфекційних захворювань - пріоритет сучасної науки та практики: науково-практична конференція з міжнародною участю. – Харків. – 20 квітня 2018 р. – с. 24.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Предикторні властивості галектину-3 щодо розвитку повторного інфаркту міокарда у хворих після перенесенного гострого коронарного синдрому в елевацією сегмента ST за наявності ожиріння протягом 6-місячного терміну спостереження / К.М.</w:t>
      </w:r>
      <w:r>
        <w:rPr>
          <w:rFonts w:eastAsia="Times New Roman"/>
          <w:szCs w:val="28"/>
          <w:lang w:val="ru-RU"/>
        </w:rPr>
        <w:t> </w:t>
      </w:r>
      <w:r w:rsidRPr="00EA76D7">
        <w:rPr>
          <w:rFonts w:eastAsia="Times New Roman"/>
          <w:szCs w:val="28"/>
          <w:lang w:val="ru-RU"/>
        </w:rPr>
        <w:t>Боровик</w:t>
      </w:r>
      <w:r w:rsidRPr="00EA76D7">
        <w:rPr>
          <w:rFonts w:eastAsia="Times New Roman"/>
          <w:szCs w:val="28"/>
        </w:rPr>
        <w:t>,</w:t>
      </w:r>
      <w:r w:rsidRPr="00EA76D7">
        <w:rPr>
          <w:rFonts w:eastAsia="Times New Roman"/>
          <w:szCs w:val="28"/>
          <w:lang w:val="ru-RU"/>
        </w:rPr>
        <w:t xml:space="preserve"> Н.Г.</w:t>
      </w:r>
      <w:r>
        <w:rPr>
          <w:rFonts w:eastAsia="Times New Roman"/>
          <w:szCs w:val="28"/>
          <w:lang w:val="ru-RU"/>
        </w:rPr>
        <w:t> </w:t>
      </w:r>
      <w:r w:rsidRPr="00EA76D7">
        <w:rPr>
          <w:rFonts w:eastAsia="Times New Roman"/>
          <w:szCs w:val="28"/>
          <w:lang w:val="ru-RU"/>
        </w:rPr>
        <w:t>Риндіна, Л.В.</w:t>
      </w:r>
      <w:r>
        <w:rPr>
          <w:rFonts w:eastAsia="Times New Roman"/>
          <w:szCs w:val="28"/>
          <w:lang w:val="ru-RU"/>
        </w:rPr>
        <w:t> </w:t>
      </w:r>
      <w:r w:rsidRPr="00EA76D7">
        <w:rPr>
          <w:rFonts w:eastAsia="Times New Roman"/>
          <w:szCs w:val="28"/>
          <w:lang w:val="ru-RU"/>
        </w:rPr>
        <w:t>Сапричова // Щорічні терапевтичні читання. Профілактика неінфекційних захворювань - пріоритет сучасної науки та практики: науково-практична конференція з міжнародною участю</w:t>
      </w:r>
      <w:r w:rsidRPr="00EA76D7">
        <w:rPr>
          <w:rFonts w:eastAsia="Times New Roman"/>
          <w:szCs w:val="28"/>
        </w:rPr>
        <w:t xml:space="preserve"> (м.</w:t>
      </w:r>
      <w:r>
        <w:rPr>
          <w:rFonts w:eastAsia="Times New Roman"/>
          <w:szCs w:val="28"/>
        </w:rPr>
        <w:t> </w:t>
      </w:r>
      <w:r w:rsidRPr="00EA76D7">
        <w:rPr>
          <w:rFonts w:eastAsia="Times New Roman"/>
          <w:szCs w:val="28"/>
          <w:lang w:val="ru-RU"/>
        </w:rPr>
        <w:t>Харків</w:t>
      </w:r>
      <w:r w:rsidRPr="00EA76D7">
        <w:rPr>
          <w:rFonts w:eastAsia="Times New Roman"/>
          <w:szCs w:val="28"/>
        </w:rPr>
        <w:t xml:space="preserve">, </w:t>
      </w:r>
      <w:r w:rsidRPr="00EA76D7">
        <w:rPr>
          <w:rFonts w:eastAsia="Times New Roman"/>
          <w:szCs w:val="28"/>
          <w:lang w:val="ru-RU"/>
        </w:rPr>
        <w:t>20 квітня 2018</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rPr>
        <w:t> </w:t>
      </w:r>
      <w:r w:rsidRPr="00EA76D7">
        <w:rPr>
          <w:rFonts w:eastAsia="Times New Roman"/>
          <w:szCs w:val="28"/>
        </w:rPr>
        <w:t>Харків, 2017. С</w:t>
      </w:r>
      <w:r w:rsidRPr="00EA76D7">
        <w:rPr>
          <w:rFonts w:eastAsia="Times New Roman"/>
          <w:szCs w:val="28"/>
          <w:lang w:val="ru-RU"/>
        </w:rPr>
        <w:t xml:space="preserve">. 25.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Вітронектин та особливості реактивності організму хворих на гострий інфаркт міокарда на тлі супутнього ожиріння / К.М.</w:t>
      </w:r>
      <w:r>
        <w:rPr>
          <w:rFonts w:eastAsia="Times New Roman"/>
          <w:szCs w:val="28"/>
        </w:rPr>
        <w:t> </w:t>
      </w:r>
      <w:r w:rsidRPr="00EA76D7">
        <w:rPr>
          <w:rFonts w:eastAsia="Times New Roman"/>
          <w:szCs w:val="28"/>
          <w:lang w:val="ru-RU"/>
        </w:rPr>
        <w:t>Боровик, Н.Г.</w:t>
      </w:r>
      <w:r>
        <w:rPr>
          <w:rFonts w:eastAsia="Times New Roman"/>
          <w:szCs w:val="28"/>
        </w:rPr>
        <w:t> </w:t>
      </w:r>
      <w:r w:rsidRPr="00EA76D7">
        <w:rPr>
          <w:rFonts w:eastAsia="Times New Roman"/>
          <w:szCs w:val="28"/>
          <w:lang w:val="ru-RU"/>
        </w:rPr>
        <w:t>Риндіна, В.М.</w:t>
      </w:r>
      <w:r w:rsidRPr="00EA76D7">
        <w:rPr>
          <w:rFonts w:eastAsia="Times New Roman"/>
          <w:szCs w:val="28"/>
        </w:rPr>
        <w:t> </w:t>
      </w:r>
      <w:r w:rsidRPr="00EA76D7">
        <w:rPr>
          <w:rFonts w:eastAsia="Times New Roman"/>
          <w:szCs w:val="28"/>
          <w:lang w:val="ru-RU"/>
        </w:rPr>
        <w:t>Цівенко // Щорічні терапевтичні читання. Профілактика неінфекційних захворювань - пріоритет сучасної науки та практики: науково-практична конференція з міжнародною участю</w:t>
      </w:r>
      <w:r w:rsidRPr="00EA76D7">
        <w:rPr>
          <w:rFonts w:eastAsia="Times New Roman"/>
          <w:szCs w:val="28"/>
        </w:rPr>
        <w:t xml:space="preserve"> (м.</w:t>
      </w:r>
      <w:r>
        <w:rPr>
          <w:rFonts w:eastAsia="Times New Roman"/>
          <w:szCs w:val="28"/>
        </w:rPr>
        <w:t> </w:t>
      </w:r>
      <w:r w:rsidRPr="00EA76D7">
        <w:rPr>
          <w:rFonts w:eastAsia="Times New Roman"/>
          <w:szCs w:val="28"/>
          <w:lang w:val="ru-RU"/>
        </w:rPr>
        <w:t>Харків</w:t>
      </w:r>
      <w:r w:rsidRPr="00EA76D7">
        <w:rPr>
          <w:rFonts w:eastAsia="Times New Roman"/>
          <w:szCs w:val="28"/>
        </w:rPr>
        <w:t xml:space="preserve">, </w:t>
      </w:r>
      <w:r w:rsidRPr="00EA76D7">
        <w:rPr>
          <w:rFonts w:eastAsia="Times New Roman"/>
          <w:szCs w:val="28"/>
          <w:lang w:val="ru-RU"/>
        </w:rPr>
        <w:t>20 квітня 2018</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rPr>
        <w:t> </w:t>
      </w:r>
      <w:r w:rsidRPr="00EA76D7">
        <w:rPr>
          <w:rFonts w:eastAsia="Times New Roman"/>
          <w:szCs w:val="28"/>
        </w:rPr>
        <w:t>Харків, 2017. С</w:t>
      </w:r>
      <w:r w:rsidRPr="00EA76D7">
        <w:rPr>
          <w:rFonts w:eastAsia="Times New Roman"/>
          <w:szCs w:val="28"/>
          <w:lang w:val="ru-RU"/>
        </w:rPr>
        <w:t xml:space="preserve">.26.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Галектин-3 як маркер атеросклеротичного ураження артерій коронарного русла у хворих на гострий інфаркт міокарда на тлі супутнього ожиріння / К.М.</w:t>
      </w:r>
      <w:r>
        <w:rPr>
          <w:rFonts w:eastAsia="Times New Roman"/>
          <w:szCs w:val="28"/>
        </w:rPr>
        <w:t> </w:t>
      </w:r>
      <w:r w:rsidRPr="00EA76D7">
        <w:rPr>
          <w:rFonts w:eastAsia="Times New Roman"/>
          <w:szCs w:val="28"/>
          <w:lang w:val="ru-RU"/>
        </w:rPr>
        <w:t>Боровик, Н.Г.</w:t>
      </w:r>
      <w:r>
        <w:rPr>
          <w:rFonts w:eastAsia="Times New Roman"/>
          <w:szCs w:val="28"/>
        </w:rPr>
        <w:t> </w:t>
      </w:r>
      <w:r w:rsidRPr="00EA76D7">
        <w:rPr>
          <w:rFonts w:eastAsia="Times New Roman"/>
          <w:szCs w:val="28"/>
          <w:lang w:val="ru-RU"/>
        </w:rPr>
        <w:t>Риндіна, М.О.</w:t>
      </w:r>
      <w:r>
        <w:rPr>
          <w:rFonts w:eastAsia="Times New Roman"/>
          <w:szCs w:val="28"/>
          <w:lang w:val="ru-RU"/>
        </w:rPr>
        <w:t> </w:t>
      </w:r>
      <w:r w:rsidRPr="00EA76D7">
        <w:rPr>
          <w:rFonts w:eastAsia="Times New Roman"/>
          <w:szCs w:val="28"/>
          <w:lang w:val="ru-RU"/>
        </w:rPr>
        <w:t xml:space="preserve">Ткаченко // Профілактична медицина сьогодні: внесок молодих спеціалістів: матеріали </w:t>
      </w:r>
      <w:r w:rsidRPr="00EA76D7">
        <w:rPr>
          <w:rFonts w:eastAsia="Times New Roman"/>
          <w:szCs w:val="28"/>
          <w:lang w:val="ru-RU"/>
        </w:rPr>
        <w:lastRenderedPageBreak/>
        <w:t>науково-практичної конференції молодих вчених з міжнародною участю присвяченої 25-річному ювілею НАМН України та Дню науки</w:t>
      </w:r>
      <w:r w:rsidRPr="00EA76D7">
        <w:rPr>
          <w:rFonts w:eastAsia="Times New Roman"/>
          <w:szCs w:val="28"/>
        </w:rPr>
        <w:t xml:space="preserve"> (м. </w:t>
      </w:r>
      <w:r w:rsidRPr="00EA76D7">
        <w:rPr>
          <w:rFonts w:eastAsia="Times New Roman"/>
          <w:szCs w:val="28"/>
          <w:lang w:val="ru-RU"/>
        </w:rPr>
        <w:t>Харків</w:t>
      </w:r>
      <w:r w:rsidRPr="00EA76D7">
        <w:rPr>
          <w:rFonts w:eastAsia="Times New Roman"/>
          <w:szCs w:val="28"/>
        </w:rPr>
        <w:t>,</w:t>
      </w:r>
      <w:r w:rsidRPr="00EA76D7">
        <w:rPr>
          <w:rFonts w:eastAsia="Times New Roman"/>
          <w:szCs w:val="28"/>
          <w:lang w:val="ru-RU"/>
        </w:rPr>
        <w:t xml:space="preserve"> 24 травня 2018 р.</w:t>
      </w:r>
      <w:r w:rsidRPr="00EA76D7">
        <w:rPr>
          <w:rFonts w:eastAsia="Times New Roman"/>
          <w:szCs w:val="28"/>
        </w:rPr>
        <w:t>) м. Харків, 2017. С</w:t>
      </w:r>
      <w:r w:rsidRPr="00EA76D7">
        <w:rPr>
          <w:rFonts w:eastAsia="Times New Roman"/>
          <w:szCs w:val="28"/>
          <w:lang w:val="ru-RU"/>
        </w:rPr>
        <w:t xml:space="preserve">. 9.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Асоціація вітронектину та індексу маси тіла у хворих на гострий інфаркт міокарда на тлі абдомінального ожиріння / К.М.</w:t>
      </w:r>
      <w:r>
        <w:rPr>
          <w:rFonts w:eastAsia="Times New Roman"/>
          <w:szCs w:val="28"/>
        </w:rPr>
        <w:t> </w:t>
      </w:r>
      <w:r w:rsidRPr="00EA76D7">
        <w:rPr>
          <w:rFonts w:eastAsia="Times New Roman"/>
          <w:szCs w:val="28"/>
          <w:lang w:val="ru-RU"/>
        </w:rPr>
        <w:t>Боровик, Н.Г</w:t>
      </w:r>
      <w:r w:rsidRPr="00EA76D7">
        <w:rPr>
          <w:rFonts w:eastAsia="Times New Roman"/>
          <w:szCs w:val="28"/>
        </w:rPr>
        <w:t>. </w:t>
      </w:r>
      <w:r w:rsidRPr="00EA76D7">
        <w:rPr>
          <w:rFonts w:eastAsia="Times New Roman"/>
          <w:szCs w:val="28"/>
          <w:lang w:val="ru-RU"/>
        </w:rPr>
        <w:t>Риндіна, О.В.</w:t>
      </w:r>
      <w:r>
        <w:rPr>
          <w:rFonts w:eastAsia="Times New Roman"/>
          <w:szCs w:val="28"/>
        </w:rPr>
        <w:t> </w:t>
      </w:r>
      <w:r w:rsidRPr="00EA76D7">
        <w:rPr>
          <w:rFonts w:eastAsia="Times New Roman"/>
          <w:szCs w:val="28"/>
          <w:lang w:val="ru-RU"/>
        </w:rPr>
        <w:t>Глєбова, В.М.</w:t>
      </w:r>
      <w:r>
        <w:rPr>
          <w:rFonts w:eastAsia="Times New Roman"/>
          <w:szCs w:val="28"/>
          <w:lang w:val="ru-RU"/>
        </w:rPr>
        <w:t> </w:t>
      </w:r>
      <w:r w:rsidRPr="00EA76D7">
        <w:rPr>
          <w:rFonts w:eastAsia="Times New Roman"/>
          <w:szCs w:val="28"/>
          <w:lang w:val="ru-RU"/>
        </w:rPr>
        <w:t>Цівенко // Профілактична медицина сьогодні: внесок молодих спеціалістів: матеріали науково-практичної конференції молодих вчених з міжнародною участю присвяченої 25-річному ювілею НАМН України та Дню науки</w:t>
      </w:r>
      <w:r w:rsidRPr="00EA76D7">
        <w:rPr>
          <w:rFonts w:eastAsia="Times New Roman"/>
          <w:szCs w:val="28"/>
        </w:rPr>
        <w:t xml:space="preserve"> (м.</w:t>
      </w:r>
      <w:r>
        <w:rPr>
          <w:rFonts w:eastAsia="Times New Roman"/>
          <w:szCs w:val="28"/>
        </w:rPr>
        <w:t> </w:t>
      </w:r>
      <w:r w:rsidRPr="00EA76D7">
        <w:rPr>
          <w:rFonts w:eastAsia="Times New Roman"/>
          <w:szCs w:val="28"/>
          <w:lang w:val="ru-RU"/>
        </w:rPr>
        <w:t>Харків</w:t>
      </w:r>
      <w:r w:rsidRPr="00EA76D7">
        <w:rPr>
          <w:rFonts w:eastAsia="Times New Roman"/>
          <w:szCs w:val="28"/>
        </w:rPr>
        <w:t>,</w:t>
      </w:r>
      <w:r w:rsidRPr="00EA76D7">
        <w:rPr>
          <w:rFonts w:eastAsia="Times New Roman"/>
          <w:szCs w:val="28"/>
          <w:lang w:val="ru-RU"/>
        </w:rPr>
        <w:t xml:space="preserve"> 24 травня 2018 р.</w:t>
      </w:r>
      <w:r w:rsidRPr="00EA76D7">
        <w:rPr>
          <w:rFonts w:eastAsia="Times New Roman"/>
          <w:szCs w:val="28"/>
        </w:rPr>
        <w:t>) м.</w:t>
      </w:r>
      <w:r>
        <w:rPr>
          <w:rFonts w:eastAsia="Times New Roman"/>
          <w:szCs w:val="28"/>
        </w:rPr>
        <w:t> </w:t>
      </w:r>
      <w:r w:rsidRPr="00EA76D7">
        <w:rPr>
          <w:rFonts w:eastAsia="Times New Roman"/>
          <w:szCs w:val="28"/>
        </w:rPr>
        <w:t>Харків, 2017. С</w:t>
      </w:r>
      <w:r w:rsidRPr="00EA76D7">
        <w:rPr>
          <w:rFonts w:eastAsia="Times New Roman"/>
          <w:szCs w:val="28"/>
          <w:lang w:val="ru-RU"/>
        </w:rPr>
        <w:t xml:space="preserve">. 10.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en-US"/>
        </w:rPr>
        <w:t>Borovyk</w:t>
      </w:r>
      <w:r>
        <w:rPr>
          <w:rFonts w:eastAsia="Times New Roman"/>
          <w:szCs w:val="28"/>
        </w:rPr>
        <w:t> </w:t>
      </w:r>
      <w:r w:rsidRPr="00EA76D7">
        <w:rPr>
          <w:rFonts w:eastAsia="Times New Roman"/>
          <w:szCs w:val="28"/>
          <w:lang w:val="en-US"/>
        </w:rPr>
        <w:t>K. The relation between galectin-3 concentration and coronary artery atherosclerotic lesions severity in patients with acute myocardial infarction and abdominal obesity / K.</w:t>
      </w:r>
      <w:r>
        <w:rPr>
          <w:rFonts w:eastAsia="Times New Roman"/>
          <w:szCs w:val="28"/>
        </w:rPr>
        <w:t> </w:t>
      </w:r>
      <w:r w:rsidRPr="00EA76D7">
        <w:rPr>
          <w:rFonts w:eastAsia="Times New Roman"/>
          <w:szCs w:val="28"/>
          <w:lang w:val="en-US"/>
        </w:rPr>
        <w:t>Borovyk, N.</w:t>
      </w:r>
      <w:r>
        <w:rPr>
          <w:rFonts w:eastAsia="Times New Roman"/>
          <w:szCs w:val="28"/>
        </w:rPr>
        <w:t> </w:t>
      </w:r>
      <w:r w:rsidRPr="00EA76D7">
        <w:rPr>
          <w:rFonts w:eastAsia="Times New Roman"/>
          <w:szCs w:val="28"/>
          <w:lang w:val="en-US"/>
        </w:rPr>
        <w:t xml:space="preserve">Sultan // Materials of XI International Interdisciplinary Scientific Conference of Young Scientists and medical students </w:t>
      </w:r>
      <w:r w:rsidRPr="00EA76D7">
        <w:rPr>
          <w:rFonts w:eastAsia="Times New Roman"/>
          <w:szCs w:val="28"/>
        </w:rPr>
        <w:t xml:space="preserve">(Kharkiv, </w:t>
      </w:r>
      <w:r w:rsidRPr="00EA76D7">
        <w:rPr>
          <w:rFonts w:eastAsia="Times New Roman"/>
          <w:szCs w:val="28"/>
          <w:lang w:val="en-US"/>
        </w:rPr>
        <w:t>May 23-25, 2018) Kharkiv, 2017. P</w:t>
      </w:r>
      <w:r w:rsidRPr="009E19DB">
        <w:rPr>
          <w:rFonts w:eastAsia="Times New Roman"/>
          <w:szCs w:val="28"/>
          <w:lang w:val="ru-RU"/>
        </w:rPr>
        <w:t xml:space="preserve">.94.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 та усної доповіді).</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szCs w:val="28"/>
          <w:lang w:val="en-US"/>
        </w:rPr>
        <w:t>Borovyk</w:t>
      </w:r>
      <w:r>
        <w:rPr>
          <w:rFonts w:eastAsia="Times New Roman"/>
          <w:szCs w:val="28"/>
        </w:rPr>
        <w:t> </w:t>
      </w:r>
      <w:r w:rsidRPr="00EA76D7">
        <w:rPr>
          <w:rFonts w:eastAsia="Times New Roman"/>
          <w:szCs w:val="28"/>
          <w:lang w:val="en-US"/>
        </w:rPr>
        <w:t>K.</w:t>
      </w:r>
      <w:r w:rsidRPr="009E19DB">
        <w:rPr>
          <w:rFonts w:eastAsia="Times New Roman"/>
          <w:szCs w:val="28"/>
          <w:lang w:val="en-US"/>
        </w:rPr>
        <w:t xml:space="preserve"> </w:t>
      </w:r>
      <w:r w:rsidRPr="00EA76D7">
        <w:rPr>
          <w:rFonts w:eastAsia="Times New Roman"/>
          <w:szCs w:val="28"/>
          <w:lang w:val="en-US"/>
        </w:rPr>
        <w:t>The frequency of the coronary arteries damage in patients with acute myocardial infarction and concomitant obesity</w:t>
      </w:r>
      <w:r w:rsidRPr="009E19DB">
        <w:rPr>
          <w:rFonts w:eastAsia="Times New Roman"/>
          <w:szCs w:val="28"/>
          <w:lang w:val="en-US"/>
        </w:rPr>
        <w:t xml:space="preserve"> / </w:t>
      </w:r>
      <w:r w:rsidRPr="00EA76D7">
        <w:rPr>
          <w:rFonts w:eastAsia="Times New Roman"/>
          <w:szCs w:val="28"/>
          <w:lang w:val="en-US"/>
        </w:rPr>
        <w:t>K</w:t>
      </w:r>
      <w:r w:rsidRPr="009E19DB">
        <w:rPr>
          <w:rFonts w:eastAsia="Times New Roman"/>
          <w:szCs w:val="28"/>
          <w:lang w:val="en-US"/>
        </w:rPr>
        <w:t>.</w:t>
      </w:r>
      <w:r>
        <w:rPr>
          <w:rFonts w:eastAsia="Times New Roman"/>
          <w:szCs w:val="28"/>
        </w:rPr>
        <w:t> </w:t>
      </w:r>
      <w:r w:rsidRPr="00EA76D7">
        <w:rPr>
          <w:rFonts w:eastAsia="Times New Roman"/>
          <w:szCs w:val="28"/>
          <w:lang w:val="en-US"/>
        </w:rPr>
        <w:t>Borovyk., H</w:t>
      </w:r>
      <w:r w:rsidRPr="00EA76D7">
        <w:rPr>
          <w:rFonts w:eastAsia="Times New Roman"/>
          <w:szCs w:val="28"/>
        </w:rPr>
        <w:t>.</w:t>
      </w:r>
      <w:r>
        <w:rPr>
          <w:rFonts w:eastAsia="Times New Roman"/>
          <w:szCs w:val="28"/>
        </w:rPr>
        <w:t> </w:t>
      </w:r>
      <w:r w:rsidRPr="00EA76D7">
        <w:rPr>
          <w:rFonts w:eastAsia="Times New Roman"/>
          <w:szCs w:val="28"/>
          <w:lang w:val="en-US"/>
        </w:rPr>
        <w:t>Davis, O.S</w:t>
      </w:r>
      <w:r w:rsidRPr="009E19DB">
        <w:rPr>
          <w:rFonts w:eastAsia="Times New Roman"/>
          <w:szCs w:val="28"/>
          <w:lang w:val="en-US"/>
        </w:rPr>
        <w:t>.</w:t>
      </w:r>
      <w:r>
        <w:rPr>
          <w:rFonts w:eastAsia="Times New Roman"/>
          <w:szCs w:val="28"/>
        </w:rPr>
        <w:t> </w:t>
      </w:r>
      <w:r w:rsidRPr="00EA76D7">
        <w:rPr>
          <w:rFonts w:eastAsia="Times New Roman"/>
          <w:szCs w:val="28"/>
          <w:lang w:val="en-US"/>
        </w:rPr>
        <w:t xml:space="preserve">Yermak // Materials of XI International Interdisciplinary Scientific Conference of Young Scientists and medical students </w:t>
      </w:r>
      <w:r w:rsidRPr="009E19DB">
        <w:rPr>
          <w:rFonts w:eastAsia="Times New Roman"/>
          <w:szCs w:val="28"/>
          <w:lang w:val="en-US"/>
        </w:rPr>
        <w:t>(</w:t>
      </w:r>
      <w:r w:rsidRPr="00EA76D7">
        <w:rPr>
          <w:rFonts w:eastAsia="Times New Roman"/>
          <w:szCs w:val="28"/>
          <w:lang w:val="en-US"/>
        </w:rPr>
        <w:t>Kharkiv</w:t>
      </w:r>
      <w:r w:rsidRPr="009E19DB">
        <w:rPr>
          <w:rFonts w:eastAsia="Times New Roman"/>
          <w:szCs w:val="28"/>
          <w:lang w:val="en-US"/>
        </w:rPr>
        <w:t>,</w:t>
      </w:r>
      <w:r w:rsidRPr="00EA76D7">
        <w:rPr>
          <w:rFonts w:eastAsia="Times New Roman"/>
          <w:szCs w:val="28"/>
          <w:lang w:val="en-US"/>
        </w:rPr>
        <w:t xml:space="preserve"> May 23-25, 2018</w:t>
      </w:r>
      <w:r w:rsidRPr="009E19DB">
        <w:rPr>
          <w:rFonts w:eastAsia="Times New Roman"/>
          <w:szCs w:val="28"/>
          <w:lang w:val="en-US"/>
        </w:rPr>
        <w:t>)</w:t>
      </w:r>
      <w:r w:rsidRPr="00EA76D7">
        <w:rPr>
          <w:rFonts w:eastAsia="Times New Roman"/>
          <w:szCs w:val="28"/>
          <w:lang w:val="en-US"/>
        </w:rPr>
        <w:t xml:space="preserve"> Kharkiv</w:t>
      </w:r>
      <w:r w:rsidRPr="009E19DB">
        <w:rPr>
          <w:rFonts w:eastAsia="Times New Roman"/>
          <w:szCs w:val="28"/>
          <w:lang w:val="en-US"/>
        </w:rPr>
        <w:t>, 2017</w:t>
      </w:r>
      <w:r w:rsidRPr="00EA76D7">
        <w:rPr>
          <w:rFonts w:eastAsia="Times New Roman"/>
          <w:szCs w:val="28"/>
          <w:lang w:val="en-US"/>
        </w:rPr>
        <w:t>. P</w:t>
      </w:r>
      <w:r w:rsidRPr="009E19DB">
        <w:rPr>
          <w:rFonts w:eastAsia="Times New Roman"/>
          <w:szCs w:val="28"/>
          <w:lang w:val="ru-RU"/>
        </w:rPr>
        <w:t xml:space="preserve">.99.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 та стендової доповіді).</w:t>
      </w:r>
    </w:p>
    <w:p w:rsidR="00DA239E" w:rsidRDefault="00DA239E">
      <w:pPr>
        <w:rPr>
          <w:i/>
          <w:szCs w:val="28"/>
        </w:rPr>
      </w:pPr>
      <w:r>
        <w:rPr>
          <w:i/>
          <w:szCs w:val="28"/>
        </w:rPr>
        <w:br w:type="page"/>
      </w:r>
    </w:p>
    <w:p w:rsidR="00AB3B73" w:rsidRPr="00C81554" w:rsidRDefault="00AB3B73" w:rsidP="00AB3B73">
      <w:pPr>
        <w:widowControl w:val="0"/>
        <w:shd w:val="clear" w:color="auto" w:fill="FFFFFF"/>
        <w:autoSpaceDE w:val="0"/>
        <w:autoSpaceDN w:val="0"/>
        <w:adjustRightInd w:val="0"/>
        <w:spacing w:after="0" w:line="360" w:lineRule="auto"/>
        <w:jc w:val="center"/>
        <w:rPr>
          <w:rFonts w:eastAsia="Times New Roman"/>
          <w:b/>
          <w:szCs w:val="28"/>
          <w:lang w:eastAsia="ru-RU"/>
        </w:rPr>
      </w:pPr>
      <w:r w:rsidRPr="00C81554">
        <w:rPr>
          <w:rFonts w:eastAsia="Times New Roman"/>
          <w:b/>
          <w:szCs w:val="28"/>
          <w:lang w:eastAsia="ru-RU"/>
        </w:rPr>
        <w:lastRenderedPageBreak/>
        <w:t>ЗМІСТ</w:t>
      </w:r>
    </w:p>
    <w:p w:rsidR="00AB3B73" w:rsidRPr="00C81554" w:rsidRDefault="00AB3B73" w:rsidP="00AB3B73">
      <w:pPr>
        <w:widowControl w:val="0"/>
        <w:shd w:val="clear" w:color="auto" w:fill="FFFFFF"/>
        <w:autoSpaceDE w:val="0"/>
        <w:autoSpaceDN w:val="0"/>
        <w:adjustRightInd w:val="0"/>
        <w:spacing w:after="0" w:line="360" w:lineRule="auto"/>
        <w:jc w:val="both"/>
        <w:rPr>
          <w:rFonts w:eastAsia="Times New Roman"/>
          <w:b/>
          <w:szCs w:val="28"/>
          <w:lang w:eastAsia="ru-RU"/>
        </w:rPr>
      </w:pPr>
    </w:p>
    <w:p w:rsidR="00AB3B73" w:rsidRPr="005E2904" w:rsidRDefault="006C2C94" w:rsidP="00AB3B73">
      <w:pPr>
        <w:widowControl w:val="0"/>
        <w:shd w:val="clear" w:color="auto" w:fill="FFFFFF"/>
        <w:autoSpaceDE w:val="0"/>
        <w:autoSpaceDN w:val="0"/>
        <w:adjustRightInd w:val="0"/>
        <w:spacing w:after="0" w:line="360" w:lineRule="auto"/>
        <w:jc w:val="both"/>
        <w:rPr>
          <w:rFonts w:eastAsia="Times New Roman"/>
          <w:szCs w:val="28"/>
          <w:lang w:val="ru-RU" w:eastAsia="ru-RU"/>
        </w:rPr>
      </w:pPr>
      <w:r w:rsidRPr="006C2C94">
        <w:rPr>
          <w:rFonts w:eastAsia="Times New Roman"/>
          <w:szCs w:val="28"/>
          <w:lang w:eastAsia="ru-RU"/>
        </w:rPr>
        <w:t>Анотація</w:t>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003E759A">
        <w:rPr>
          <w:rFonts w:eastAsia="Times New Roman"/>
          <w:szCs w:val="28"/>
          <w:lang w:eastAsia="ru-RU"/>
        </w:rPr>
        <w:tab/>
      </w:r>
      <w:r w:rsidR="003E759A">
        <w:rPr>
          <w:rFonts w:eastAsia="Times New Roman"/>
          <w:szCs w:val="28"/>
          <w:lang w:eastAsia="ru-RU"/>
        </w:rPr>
        <w:tab/>
        <w:t>2</w:t>
      </w:r>
    </w:p>
    <w:p w:rsidR="00AB3B73" w:rsidRPr="005E2904" w:rsidRDefault="00AB3B73" w:rsidP="003E759A">
      <w:pPr>
        <w:widowControl w:val="0"/>
        <w:shd w:val="clear" w:color="auto" w:fill="FFFFFF"/>
        <w:tabs>
          <w:tab w:val="left" w:leader="dot" w:pos="9356"/>
        </w:tabs>
        <w:autoSpaceDE w:val="0"/>
        <w:autoSpaceDN w:val="0"/>
        <w:adjustRightInd w:val="0"/>
        <w:spacing w:after="0" w:line="360" w:lineRule="auto"/>
        <w:ind w:left="11" w:right="543"/>
        <w:jc w:val="both"/>
        <w:rPr>
          <w:rFonts w:eastAsia="Times New Roman"/>
          <w:sz w:val="20"/>
          <w:szCs w:val="20"/>
          <w:lang w:val="ru-RU" w:eastAsia="ru-RU"/>
        </w:rPr>
      </w:pPr>
      <w:r w:rsidRPr="00C81554">
        <w:rPr>
          <w:rFonts w:eastAsia="Times New Roman"/>
          <w:szCs w:val="28"/>
          <w:lang w:eastAsia="ru-RU"/>
        </w:rPr>
        <w:t>Список скорочень і умовних позначень</w:t>
      </w:r>
      <w:r w:rsidRPr="00C81554">
        <w:rPr>
          <w:rFonts w:eastAsia="Times New Roman"/>
          <w:szCs w:val="28"/>
          <w:lang w:val="ru-RU" w:eastAsia="ru-RU"/>
        </w:rPr>
        <w:tab/>
      </w:r>
      <w:r w:rsidR="00864293" w:rsidRPr="005E2904">
        <w:rPr>
          <w:rFonts w:eastAsia="Times New Roman"/>
          <w:szCs w:val="28"/>
          <w:lang w:val="ru-RU" w:eastAsia="ru-RU"/>
        </w:rPr>
        <w:t>21</w:t>
      </w:r>
    </w:p>
    <w:p w:rsidR="00AB3B73" w:rsidRPr="005E2904" w:rsidRDefault="00AB3B73" w:rsidP="003E759A">
      <w:pPr>
        <w:widowControl w:val="0"/>
        <w:shd w:val="clear" w:color="auto" w:fill="FFFFFF"/>
        <w:tabs>
          <w:tab w:val="left" w:leader="dot" w:pos="9356"/>
        </w:tabs>
        <w:autoSpaceDE w:val="0"/>
        <w:autoSpaceDN w:val="0"/>
        <w:adjustRightInd w:val="0"/>
        <w:spacing w:before="10" w:after="0" w:line="360" w:lineRule="auto"/>
        <w:ind w:left="5" w:right="543"/>
        <w:jc w:val="both"/>
        <w:rPr>
          <w:rFonts w:eastAsia="Times New Roman"/>
          <w:sz w:val="20"/>
          <w:szCs w:val="20"/>
          <w:lang w:val="ru-RU" w:eastAsia="ru-RU"/>
        </w:rPr>
      </w:pPr>
      <w:r w:rsidRPr="00C81554">
        <w:rPr>
          <w:rFonts w:eastAsia="Times New Roman"/>
          <w:spacing w:val="-2"/>
          <w:szCs w:val="28"/>
          <w:lang w:eastAsia="ru-RU"/>
        </w:rPr>
        <w:t>Вступ</w:t>
      </w:r>
      <w:r w:rsidR="003E759A">
        <w:rPr>
          <w:rFonts w:eastAsia="Times New Roman"/>
          <w:szCs w:val="28"/>
          <w:lang w:eastAsia="ru-RU"/>
        </w:rPr>
        <w:tab/>
      </w:r>
      <w:r w:rsidR="00864293" w:rsidRPr="005E2904">
        <w:rPr>
          <w:rFonts w:eastAsia="Times New Roman"/>
          <w:szCs w:val="28"/>
          <w:lang w:val="ru-RU" w:eastAsia="ru-RU"/>
        </w:rPr>
        <w:t>23</w:t>
      </w:r>
    </w:p>
    <w:p w:rsidR="00AB3B73" w:rsidRPr="005E2904" w:rsidRDefault="00AB3B73" w:rsidP="003E759A">
      <w:pPr>
        <w:widowControl w:val="0"/>
        <w:shd w:val="clear" w:color="auto" w:fill="FFFFFF"/>
        <w:tabs>
          <w:tab w:val="left" w:leader="dot" w:pos="9356"/>
        </w:tabs>
        <w:autoSpaceDE w:val="0"/>
        <w:autoSpaceDN w:val="0"/>
        <w:adjustRightInd w:val="0"/>
        <w:spacing w:after="0" w:line="360" w:lineRule="auto"/>
        <w:ind w:right="543"/>
        <w:jc w:val="both"/>
        <w:rPr>
          <w:rFonts w:eastAsia="Times New Roman"/>
          <w:sz w:val="20"/>
          <w:szCs w:val="20"/>
          <w:lang w:val="ru-RU" w:eastAsia="ru-RU"/>
        </w:rPr>
      </w:pPr>
      <w:r w:rsidRPr="00C81554">
        <w:rPr>
          <w:rFonts w:eastAsia="Times New Roman"/>
          <w:spacing w:val="-1"/>
          <w:szCs w:val="28"/>
          <w:lang w:eastAsia="ru-RU"/>
        </w:rPr>
        <w:t>РОЗДІЛ 1. ОГЛЯД ЛІТЕРАТУРИ</w:t>
      </w:r>
      <w:r w:rsidR="003E759A">
        <w:rPr>
          <w:rFonts w:eastAsia="Times New Roman"/>
          <w:szCs w:val="28"/>
          <w:lang w:eastAsia="ru-RU"/>
        </w:rPr>
        <w:tab/>
      </w:r>
      <w:r w:rsidR="00864293" w:rsidRPr="005E2904">
        <w:rPr>
          <w:rFonts w:eastAsia="Times New Roman"/>
          <w:spacing w:val="-32"/>
          <w:szCs w:val="28"/>
          <w:lang w:val="ru-RU" w:eastAsia="ru-RU"/>
        </w:rPr>
        <w:t>31</w:t>
      </w:r>
    </w:p>
    <w:p w:rsidR="00AB3B73" w:rsidRPr="005E2904" w:rsidRDefault="00AB3B73" w:rsidP="00864293">
      <w:pPr>
        <w:widowControl w:val="0"/>
        <w:shd w:val="clear" w:color="auto" w:fill="FFFFFF"/>
        <w:tabs>
          <w:tab w:val="left" w:pos="1560"/>
          <w:tab w:val="left" w:leader="dot" w:pos="9356"/>
        </w:tabs>
        <w:autoSpaceDE w:val="0"/>
        <w:autoSpaceDN w:val="0"/>
        <w:adjustRightInd w:val="0"/>
        <w:spacing w:after="0" w:line="360" w:lineRule="auto"/>
        <w:ind w:left="1276" w:right="543" w:hanging="425"/>
        <w:jc w:val="both"/>
        <w:rPr>
          <w:rFonts w:eastAsia="Times New Roman"/>
          <w:sz w:val="20"/>
          <w:szCs w:val="20"/>
          <w:lang w:val="ru-RU" w:eastAsia="ru-RU"/>
        </w:rPr>
      </w:pPr>
      <w:r w:rsidRPr="00C81554">
        <w:rPr>
          <w:rFonts w:eastAsia="Times New Roman"/>
          <w:szCs w:val="28"/>
          <w:lang w:eastAsia="uk-UA"/>
        </w:rPr>
        <w:t>1.1.</w:t>
      </w:r>
      <w:r w:rsidRPr="00C81554">
        <w:rPr>
          <w:rFonts w:eastAsia="Times New Roman"/>
          <w:szCs w:val="28"/>
          <w:lang w:val="ru-RU" w:eastAsia="ru-RU"/>
        </w:rPr>
        <w:t xml:space="preserve"> </w:t>
      </w:r>
      <w:r w:rsidRPr="00EB68FC">
        <w:rPr>
          <w:color w:val="000000"/>
          <w:spacing w:val="7"/>
        </w:rPr>
        <w:t xml:space="preserve">Вплив абдомінального ожиріння на перебіг гострого інфаркту </w:t>
      </w:r>
      <w:r w:rsidRPr="006C2C94">
        <w:t>міокарда</w:t>
      </w:r>
      <w:r w:rsidR="006C2C94" w:rsidRPr="005E2904">
        <w:rPr>
          <w:lang w:val="ru-RU"/>
        </w:rPr>
        <w:t xml:space="preserve">                                                                        </w:t>
      </w:r>
      <w:r w:rsidR="00864293" w:rsidRPr="005E2904">
        <w:rPr>
          <w:lang w:val="ru-RU"/>
        </w:rPr>
        <w:tab/>
        <w:t>31</w:t>
      </w:r>
    </w:p>
    <w:p w:rsidR="00AB3B73" w:rsidRPr="005E2904" w:rsidRDefault="00AB3B73" w:rsidP="00864293">
      <w:pPr>
        <w:widowControl w:val="0"/>
        <w:shd w:val="clear" w:color="auto" w:fill="FFFFFF"/>
        <w:tabs>
          <w:tab w:val="left" w:pos="1560"/>
          <w:tab w:val="left" w:leader="dot" w:pos="9356"/>
        </w:tabs>
        <w:autoSpaceDE w:val="0"/>
        <w:autoSpaceDN w:val="0"/>
        <w:adjustRightInd w:val="0"/>
        <w:spacing w:after="0" w:line="360" w:lineRule="auto"/>
        <w:ind w:left="1276" w:right="543" w:hanging="425"/>
        <w:jc w:val="both"/>
        <w:rPr>
          <w:rFonts w:eastAsia="Times New Roman"/>
          <w:sz w:val="20"/>
          <w:szCs w:val="20"/>
          <w:lang w:val="ru-RU" w:eastAsia="ru-RU"/>
        </w:rPr>
      </w:pPr>
      <w:r w:rsidRPr="00C81554">
        <w:rPr>
          <w:rFonts w:eastAsia="Times New Roman"/>
          <w:spacing w:val="-12"/>
          <w:szCs w:val="28"/>
          <w:lang w:eastAsia="ru-RU"/>
        </w:rPr>
        <w:t>1.2.</w:t>
      </w:r>
      <w:r w:rsidRPr="00C81554">
        <w:rPr>
          <w:rFonts w:eastAsia="Times New Roman"/>
          <w:szCs w:val="28"/>
          <w:lang w:eastAsia="ru-RU"/>
        </w:rPr>
        <w:t xml:space="preserve"> </w:t>
      </w:r>
      <w:r>
        <w:rPr>
          <w:rFonts w:eastAsia="Times New Roman"/>
          <w:szCs w:val="28"/>
          <w:lang w:eastAsia="ru-RU"/>
        </w:rPr>
        <w:t>Галектин-3 та вітронектин</w:t>
      </w:r>
      <w:r w:rsidRPr="00C81554">
        <w:rPr>
          <w:rFonts w:eastAsia="Times New Roman"/>
          <w:szCs w:val="28"/>
          <w:lang w:eastAsia="ru-RU"/>
        </w:rPr>
        <w:t xml:space="preserve"> як індикатори </w:t>
      </w:r>
      <w:r w:rsidR="00EA6E07">
        <w:rPr>
          <w:rFonts w:eastAsia="Times New Roman"/>
          <w:szCs w:val="28"/>
          <w:lang w:eastAsia="ru-RU"/>
        </w:rPr>
        <w:t>гострого інфаркту міокарда</w:t>
      </w:r>
      <w:r w:rsidRPr="00C81554">
        <w:rPr>
          <w:rFonts w:eastAsia="Times New Roman"/>
          <w:szCs w:val="28"/>
          <w:lang w:eastAsia="ru-RU"/>
        </w:rPr>
        <w:t xml:space="preserve"> у хворих з ожирінням</w:t>
      </w:r>
      <w:r w:rsidRPr="00C81554">
        <w:rPr>
          <w:rFonts w:eastAsia="Times New Roman"/>
          <w:szCs w:val="28"/>
          <w:lang w:eastAsia="ru-RU"/>
        </w:rPr>
        <w:tab/>
      </w:r>
      <w:r w:rsidR="00864293" w:rsidRPr="005E2904">
        <w:rPr>
          <w:rFonts w:eastAsia="Times New Roman"/>
          <w:szCs w:val="28"/>
          <w:lang w:val="ru-RU" w:eastAsia="ru-RU"/>
        </w:rPr>
        <w:t>41</w:t>
      </w:r>
    </w:p>
    <w:p w:rsidR="00AB3B73" w:rsidRPr="005E2904" w:rsidRDefault="00AB3B73" w:rsidP="00864293">
      <w:pPr>
        <w:widowControl w:val="0"/>
        <w:shd w:val="clear" w:color="auto" w:fill="FFFFFF"/>
        <w:tabs>
          <w:tab w:val="left" w:pos="1560"/>
          <w:tab w:val="left" w:leader="dot" w:pos="9356"/>
        </w:tabs>
        <w:autoSpaceDE w:val="0"/>
        <w:autoSpaceDN w:val="0"/>
        <w:adjustRightInd w:val="0"/>
        <w:spacing w:after="0" w:line="360" w:lineRule="auto"/>
        <w:ind w:left="1276" w:right="543" w:hanging="425"/>
        <w:jc w:val="both"/>
        <w:rPr>
          <w:rFonts w:eastAsia="Times New Roman"/>
          <w:sz w:val="20"/>
          <w:szCs w:val="20"/>
          <w:lang w:val="ru-RU" w:eastAsia="ru-RU"/>
        </w:rPr>
      </w:pPr>
      <w:r w:rsidRPr="00C81554">
        <w:rPr>
          <w:rFonts w:eastAsia="Times New Roman"/>
          <w:spacing w:val="-12"/>
          <w:szCs w:val="28"/>
          <w:lang w:eastAsia="ru-RU"/>
        </w:rPr>
        <w:t>1.3.</w:t>
      </w:r>
      <w:r w:rsidRPr="00653CB5">
        <w:rPr>
          <w:rFonts w:eastAsia="Times New Roman"/>
          <w:color w:val="000000"/>
          <w:szCs w:val="28"/>
          <w:lang w:eastAsia="ru-RU"/>
        </w:rPr>
        <w:t xml:space="preserve"> </w:t>
      </w:r>
      <w:r>
        <w:rPr>
          <w:szCs w:val="28"/>
        </w:rPr>
        <w:t>Терапевтична стратегія використання подвійної антитромбоцитарної терапії в лікуванні хворих на гострий інфаркт міокарда за наявності та відсутності супутнього ожиріння</w:t>
      </w:r>
      <w:r w:rsidRPr="00C81554">
        <w:rPr>
          <w:rFonts w:eastAsia="Times New Roman"/>
          <w:szCs w:val="28"/>
          <w:lang w:eastAsia="ru-RU"/>
        </w:rPr>
        <w:tab/>
      </w:r>
      <w:r w:rsidRPr="00C81554">
        <w:rPr>
          <w:rFonts w:eastAsia="Times New Roman"/>
          <w:color w:val="000000"/>
          <w:szCs w:val="28"/>
          <w:lang w:eastAsia="ru-RU"/>
        </w:rPr>
        <w:t>.</w:t>
      </w:r>
      <w:r w:rsidR="00864293" w:rsidRPr="005E2904">
        <w:rPr>
          <w:rFonts w:eastAsia="Times New Roman"/>
          <w:szCs w:val="28"/>
          <w:lang w:val="ru-RU" w:eastAsia="ru-RU"/>
        </w:rPr>
        <w:t>49</w:t>
      </w:r>
    </w:p>
    <w:p w:rsidR="00AB3B73" w:rsidRPr="005E2904" w:rsidRDefault="00AB3B73" w:rsidP="00864293">
      <w:pPr>
        <w:widowControl w:val="0"/>
        <w:shd w:val="clear" w:color="auto" w:fill="FFFFFF"/>
        <w:tabs>
          <w:tab w:val="left" w:leader="dot" w:pos="9356"/>
        </w:tabs>
        <w:autoSpaceDE w:val="0"/>
        <w:autoSpaceDN w:val="0"/>
        <w:adjustRightInd w:val="0"/>
        <w:spacing w:before="5" w:after="0" w:line="360" w:lineRule="auto"/>
        <w:ind w:right="543"/>
        <w:jc w:val="both"/>
        <w:rPr>
          <w:rFonts w:eastAsia="Times New Roman"/>
          <w:sz w:val="20"/>
          <w:szCs w:val="20"/>
          <w:lang w:val="ru-RU" w:eastAsia="ru-RU"/>
        </w:rPr>
      </w:pPr>
      <w:r w:rsidRPr="00C81554">
        <w:rPr>
          <w:rFonts w:eastAsia="Times New Roman"/>
          <w:spacing w:val="-1"/>
          <w:szCs w:val="28"/>
          <w:lang w:eastAsia="ru-RU"/>
        </w:rPr>
        <w:t>РОЗДІЛ 2. МАТЕРІАЛИ І МЕТОДИ ДОСЛІДЖЕННЯ</w:t>
      </w:r>
      <w:r w:rsidRPr="00C81554">
        <w:rPr>
          <w:rFonts w:eastAsia="Times New Roman"/>
          <w:szCs w:val="28"/>
          <w:lang w:eastAsia="ru-RU"/>
        </w:rPr>
        <w:tab/>
        <w:t>.</w:t>
      </w:r>
      <w:r w:rsidR="00864293" w:rsidRPr="005E2904">
        <w:rPr>
          <w:rFonts w:eastAsia="Times New Roman"/>
          <w:szCs w:val="28"/>
          <w:lang w:val="ru-RU" w:eastAsia="ru-RU"/>
        </w:rPr>
        <w:t>52</w:t>
      </w:r>
    </w:p>
    <w:p w:rsidR="00AB3B73" w:rsidRPr="00C81554" w:rsidRDefault="00AB3B73" w:rsidP="00864293">
      <w:pPr>
        <w:widowControl w:val="0"/>
        <w:numPr>
          <w:ilvl w:val="0"/>
          <w:numId w:val="1"/>
        </w:numPr>
        <w:shd w:val="clear" w:color="auto" w:fill="FFFFFF"/>
        <w:tabs>
          <w:tab w:val="left" w:pos="1234"/>
          <w:tab w:val="left" w:leader="dot" w:pos="9356"/>
        </w:tabs>
        <w:autoSpaceDE w:val="0"/>
        <w:autoSpaceDN w:val="0"/>
        <w:adjustRightInd w:val="0"/>
        <w:spacing w:before="5" w:after="0" w:line="360" w:lineRule="auto"/>
        <w:ind w:right="543"/>
        <w:jc w:val="both"/>
        <w:rPr>
          <w:rFonts w:eastAsia="Times New Roman"/>
          <w:spacing w:val="-6"/>
          <w:szCs w:val="28"/>
          <w:lang w:eastAsia="ru-RU"/>
        </w:rPr>
      </w:pPr>
      <w:r w:rsidRPr="00C81554">
        <w:rPr>
          <w:rFonts w:eastAsia="Times New Roman"/>
          <w:spacing w:val="-1"/>
          <w:szCs w:val="28"/>
          <w:lang w:eastAsia="ru-RU"/>
        </w:rPr>
        <w:t>Клінічна характеристика обстежених хворих</w:t>
      </w:r>
      <w:r w:rsidRPr="00C81554">
        <w:rPr>
          <w:rFonts w:eastAsia="Times New Roman"/>
          <w:szCs w:val="28"/>
          <w:lang w:eastAsia="ru-RU"/>
        </w:rPr>
        <w:tab/>
      </w:r>
      <w:r>
        <w:rPr>
          <w:rFonts w:eastAsia="Times New Roman"/>
          <w:szCs w:val="28"/>
          <w:lang w:eastAsia="ru-RU"/>
        </w:rPr>
        <w:t xml:space="preserve"> </w:t>
      </w:r>
      <w:r w:rsidR="00864293">
        <w:rPr>
          <w:rFonts w:eastAsia="Times New Roman"/>
          <w:szCs w:val="28"/>
          <w:lang w:val="en-US" w:eastAsia="ru-RU"/>
        </w:rPr>
        <w:t>52</w:t>
      </w:r>
    </w:p>
    <w:p w:rsidR="00AB3B73" w:rsidRPr="00C81554" w:rsidRDefault="00AB3B73" w:rsidP="00864293">
      <w:pPr>
        <w:widowControl w:val="0"/>
        <w:numPr>
          <w:ilvl w:val="0"/>
          <w:numId w:val="1"/>
        </w:numPr>
        <w:shd w:val="clear" w:color="auto" w:fill="FFFFFF"/>
        <w:tabs>
          <w:tab w:val="left" w:pos="1418"/>
          <w:tab w:val="left" w:leader="dot" w:pos="9356"/>
        </w:tabs>
        <w:autoSpaceDE w:val="0"/>
        <w:autoSpaceDN w:val="0"/>
        <w:adjustRightInd w:val="0"/>
        <w:spacing w:after="0" w:line="360" w:lineRule="auto"/>
        <w:ind w:right="543"/>
        <w:jc w:val="both"/>
        <w:rPr>
          <w:rFonts w:eastAsia="Times New Roman"/>
          <w:spacing w:val="-6"/>
          <w:szCs w:val="28"/>
          <w:lang w:eastAsia="ru-RU"/>
        </w:rPr>
      </w:pPr>
      <w:r w:rsidRPr="00C81554">
        <w:rPr>
          <w:rFonts w:eastAsia="Times New Roman"/>
          <w:szCs w:val="28"/>
          <w:lang w:eastAsia="ru-RU"/>
        </w:rPr>
        <w:t>Методи дослідження</w:t>
      </w:r>
      <w:r w:rsidRPr="00C81554">
        <w:rPr>
          <w:rFonts w:eastAsia="Times New Roman"/>
          <w:szCs w:val="28"/>
          <w:lang w:eastAsia="ru-RU"/>
        </w:rPr>
        <w:tab/>
        <w:t>.</w:t>
      </w:r>
      <w:r>
        <w:rPr>
          <w:rFonts w:eastAsia="Times New Roman"/>
          <w:szCs w:val="28"/>
          <w:lang w:eastAsia="ru-RU"/>
        </w:rPr>
        <w:t xml:space="preserve"> </w:t>
      </w:r>
      <w:r w:rsidR="00864293">
        <w:rPr>
          <w:rFonts w:eastAsia="Times New Roman"/>
          <w:szCs w:val="28"/>
          <w:lang w:val="en-US" w:eastAsia="ru-RU"/>
        </w:rPr>
        <w:t>58</w:t>
      </w:r>
    </w:p>
    <w:p w:rsidR="00AB3B73" w:rsidRPr="005E2904" w:rsidRDefault="00AB3B73" w:rsidP="00EA6E07">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Cs w:val="28"/>
          <w:lang w:eastAsia="ru-RU"/>
        </w:rPr>
      </w:pPr>
      <w:r w:rsidRPr="00C81554">
        <w:rPr>
          <w:rFonts w:eastAsia="Times New Roman"/>
          <w:szCs w:val="28"/>
          <w:lang w:eastAsia="ru-RU"/>
        </w:rPr>
        <w:t xml:space="preserve">РОЗДІЛ 3. </w:t>
      </w:r>
      <w:r w:rsidR="006C2C94" w:rsidRPr="006C2C94">
        <w:rPr>
          <w:rFonts w:eastAsia="Times New Roman"/>
          <w:szCs w:val="28"/>
          <w:lang w:eastAsia="ru-RU"/>
        </w:rPr>
        <w:t xml:space="preserve">ЗМІНИ ВІТРОНЕКТИНУ, ГАЛЕКТИНУ-3, ТРОПОНІНУ І, АНТРОПОМЕТРИЧНИХ ПАРАМЕТРІВ, ЛІПІДНОГО ПРОФІЛЮ, ФУНКЦІОНАЛЬНОГО СТАНУ НИРОК ТА ПОКАЗНИКІВ ЯКОСТІ ЖИТТЯ У ХВОРИХ З </w:t>
      </w:r>
      <w:r w:rsidR="00EA6E07">
        <w:rPr>
          <w:rFonts w:eastAsia="Times New Roman"/>
          <w:szCs w:val="28"/>
          <w:lang w:eastAsia="ru-RU"/>
        </w:rPr>
        <w:t>ГОСТРИМ ІНФАРКТОМ МІОКАРДА</w:t>
      </w:r>
      <w:r w:rsidR="006C2C94" w:rsidRPr="006C2C94">
        <w:rPr>
          <w:rFonts w:eastAsia="Times New Roman"/>
          <w:szCs w:val="28"/>
          <w:lang w:eastAsia="ru-RU"/>
        </w:rPr>
        <w:t xml:space="preserve"> ТА СУПУТНІМ ОЖИРІННЯМ</w:t>
      </w:r>
      <w:r w:rsidR="00864293" w:rsidRPr="005E2904">
        <w:rPr>
          <w:rFonts w:eastAsia="Times New Roman"/>
          <w:szCs w:val="28"/>
          <w:lang w:eastAsia="ru-RU"/>
        </w:rPr>
        <w:tab/>
        <w:t>66</w:t>
      </w:r>
    </w:p>
    <w:p w:rsidR="00AB3B73" w:rsidRPr="005E2904" w:rsidRDefault="00AB3B73" w:rsidP="00864293">
      <w:pPr>
        <w:widowControl w:val="0"/>
        <w:shd w:val="clear" w:color="auto" w:fill="FFFFFF"/>
        <w:tabs>
          <w:tab w:val="left" w:pos="1560"/>
          <w:tab w:val="left" w:pos="9356"/>
        </w:tabs>
        <w:autoSpaceDE w:val="0"/>
        <w:autoSpaceDN w:val="0"/>
        <w:adjustRightInd w:val="0"/>
        <w:spacing w:after="0" w:line="360" w:lineRule="auto"/>
        <w:ind w:left="993" w:right="543" w:hanging="1134"/>
        <w:jc w:val="both"/>
        <w:rPr>
          <w:rFonts w:eastAsia="Times New Roman"/>
          <w:sz w:val="20"/>
          <w:szCs w:val="20"/>
          <w:lang w:eastAsia="ru-RU"/>
        </w:rPr>
      </w:pPr>
      <w:r w:rsidRPr="00C81554">
        <w:rPr>
          <w:rFonts w:eastAsia="Times New Roman"/>
          <w:spacing w:val="-1"/>
          <w:szCs w:val="28"/>
          <w:lang w:eastAsia="ru-RU"/>
        </w:rPr>
        <w:t>РОЗДІЛ</w:t>
      </w:r>
      <w:r w:rsidRPr="00C81554">
        <w:rPr>
          <w:rFonts w:eastAsia="Times New Roman"/>
          <w:szCs w:val="28"/>
          <w:lang w:eastAsia="ru-RU"/>
        </w:rPr>
        <w:t xml:space="preserve"> 4. </w:t>
      </w:r>
      <w:r w:rsidR="00864293" w:rsidRPr="00864293">
        <w:rPr>
          <w:rFonts w:eastAsia="Times New Roman"/>
          <w:szCs w:val="28"/>
          <w:lang w:eastAsia="ru-RU"/>
        </w:rPr>
        <w:t>ПОКАЗНИКИ МОРФО-ФУНКЦІОНАЛЬНОГО СТАНУ МІОКАРДА, СТАН КОРОНАРНИХ АРТЕРІЙ У ХВОРИХ НА ГОСТРИЙ ІНФАРКТ МІОКАРДА ТА ОЖИРІННЯ ТА ЇХ ЗВ’ЯЗОК З АКТИВНІСТЮ ГАЛЕКТИНУ-3 ТА ВІТРОНЕКТИНУ</w:t>
      </w:r>
      <w:r w:rsidR="00864293">
        <w:rPr>
          <w:rFonts w:eastAsia="Times New Roman"/>
          <w:szCs w:val="28"/>
          <w:lang w:eastAsia="ru-RU"/>
        </w:rPr>
        <w:tab/>
      </w:r>
      <w:r w:rsidR="00864293" w:rsidRPr="005E2904">
        <w:rPr>
          <w:rFonts w:eastAsia="Times New Roman"/>
          <w:szCs w:val="28"/>
          <w:lang w:eastAsia="ru-RU"/>
        </w:rPr>
        <w:t>80</w:t>
      </w:r>
    </w:p>
    <w:p w:rsidR="00AB3B73" w:rsidRPr="005E2904" w:rsidRDefault="00AB3B73" w:rsidP="00864293">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Cs w:val="28"/>
          <w:lang w:eastAsia="ru-RU"/>
        </w:rPr>
      </w:pPr>
      <w:r w:rsidRPr="00C81554">
        <w:rPr>
          <w:rFonts w:eastAsia="Times New Roman"/>
          <w:spacing w:val="-1"/>
          <w:szCs w:val="20"/>
          <w:lang w:eastAsia="ru-RU"/>
        </w:rPr>
        <w:t>РОЗДІЛ</w:t>
      </w:r>
      <w:r w:rsidRPr="00C81554">
        <w:rPr>
          <w:rFonts w:eastAsia="Times New Roman"/>
          <w:szCs w:val="20"/>
          <w:lang w:eastAsia="ru-RU"/>
        </w:rPr>
        <w:t xml:space="preserve"> 5.</w:t>
      </w:r>
      <w:r w:rsidRPr="00C81554">
        <w:rPr>
          <w:rFonts w:eastAsia="Times New Roman"/>
          <w:szCs w:val="28"/>
          <w:lang w:eastAsia="ru-RU"/>
        </w:rPr>
        <w:t xml:space="preserve"> </w:t>
      </w:r>
      <w:r w:rsidR="00677812" w:rsidRPr="00677812">
        <w:rPr>
          <w:rFonts w:eastAsia="Times New Roman"/>
          <w:szCs w:val="28"/>
          <w:lang w:eastAsia="ru-RU"/>
        </w:rPr>
        <w:t>АНАЛІЗ ЗВ’ЯЗКІВ МІЖ ВІТРОНЕКТИНОМ, ГАЛЕКТИНОМ-3, АНТРОПОМЕТРИЧНИМИ ПОКАЗНИКАМИ, ПАРАМЕТРАМИ КАРДІОГЕМОДИНАМІКИ, ФРАКЦІЯМИ ЛІПІДНОГО ПРОФІЛЮ ТА ПОКАЗНИКАМИ ЯКОСТІ ЖИТТЯ ХВОРИХ НА ГОСТРИЙ ІНФАРКТ МІОКАРДА ТА ОЖИРІННЯ</w:t>
      </w:r>
      <w:r w:rsidRPr="00C81554">
        <w:rPr>
          <w:rFonts w:eastAsia="Times New Roman"/>
          <w:szCs w:val="28"/>
          <w:lang w:eastAsia="ru-RU"/>
        </w:rPr>
        <w:tab/>
      </w:r>
      <w:r w:rsidR="00677812" w:rsidRPr="005E2904">
        <w:rPr>
          <w:rFonts w:eastAsia="Times New Roman"/>
          <w:szCs w:val="28"/>
          <w:lang w:eastAsia="ru-RU"/>
        </w:rPr>
        <w:t>101</w:t>
      </w:r>
    </w:p>
    <w:p w:rsidR="00AB3B73" w:rsidRPr="00C81554" w:rsidRDefault="00AB3B73" w:rsidP="00864293">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 w:val="20"/>
          <w:szCs w:val="20"/>
          <w:lang w:eastAsia="ru-RU"/>
        </w:rPr>
      </w:pPr>
    </w:p>
    <w:p w:rsidR="00AB3B73" w:rsidRPr="005E2904" w:rsidRDefault="00AB3B73" w:rsidP="00677812">
      <w:pPr>
        <w:widowControl w:val="0"/>
        <w:tabs>
          <w:tab w:val="left" w:pos="9356"/>
        </w:tabs>
        <w:autoSpaceDE w:val="0"/>
        <w:autoSpaceDN w:val="0"/>
        <w:adjustRightInd w:val="0"/>
        <w:spacing w:after="0" w:line="360" w:lineRule="auto"/>
        <w:ind w:left="1134" w:right="543" w:hanging="1134"/>
        <w:jc w:val="both"/>
        <w:rPr>
          <w:rFonts w:eastAsia="Times New Roman"/>
          <w:szCs w:val="28"/>
          <w:lang w:eastAsia="ru-RU"/>
        </w:rPr>
      </w:pPr>
      <w:r w:rsidRPr="00C81554">
        <w:rPr>
          <w:rFonts w:eastAsia="Times New Roman"/>
          <w:szCs w:val="28"/>
          <w:lang w:eastAsia="ru-RU"/>
        </w:rPr>
        <w:t xml:space="preserve">РОЗДІЛ 6. </w:t>
      </w:r>
      <w:r w:rsidR="00677812" w:rsidRPr="00677812">
        <w:rPr>
          <w:rFonts w:eastAsia="Times New Roman"/>
          <w:szCs w:val="28"/>
          <w:lang w:eastAsia="ru-RU"/>
        </w:rPr>
        <w:t>ДИНАМІКА ВІТРОНЕКТИНУ І ГАЛЕКТИНУ-3 ПІД ВПЛИВОМ ТИКАГРЕЛОРА АБО КЛОПІДОГРЕЛЯ В СКЛАДІ ПОДВІЙНОЇ АНТИТРОМБОЦИТАРНОЇ ТЕРАПІЇ У ХВОРИХ НА ГОСТРИЙ ІНФАРКТ МІОКАРДА ТА СУПУТНЄ ОЖИРІННЯ</w:t>
      </w:r>
      <w:r w:rsidR="00677812" w:rsidRPr="005E2904">
        <w:rPr>
          <w:rFonts w:eastAsia="Times New Roman"/>
          <w:szCs w:val="28"/>
          <w:lang w:eastAsia="ru-RU"/>
        </w:rPr>
        <w:t xml:space="preserve">  </w:t>
      </w:r>
      <w:r w:rsidR="006C2C94" w:rsidRPr="005E2904">
        <w:rPr>
          <w:rFonts w:eastAsia="Times New Roman"/>
          <w:szCs w:val="28"/>
          <w:lang w:eastAsia="ru-RU"/>
        </w:rPr>
        <w:t xml:space="preserve">    </w:t>
      </w:r>
      <w:r>
        <w:rPr>
          <w:rFonts w:eastAsia="Times New Roman"/>
          <w:szCs w:val="28"/>
          <w:lang w:eastAsia="ru-RU"/>
        </w:rPr>
        <w:t xml:space="preserve">                </w:t>
      </w:r>
      <w:r w:rsidR="00677812" w:rsidRPr="005E2904">
        <w:rPr>
          <w:rFonts w:eastAsia="Times New Roman"/>
          <w:szCs w:val="28"/>
          <w:lang w:eastAsia="ru-RU"/>
        </w:rPr>
        <w:t>113</w:t>
      </w:r>
    </w:p>
    <w:p w:rsidR="00AB3B73" w:rsidRPr="005E2904" w:rsidRDefault="00AB3B73" w:rsidP="00677812">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 w:val="20"/>
          <w:szCs w:val="20"/>
          <w:lang w:eastAsia="ru-RU"/>
        </w:rPr>
      </w:pPr>
      <w:r w:rsidRPr="00C81554">
        <w:rPr>
          <w:rFonts w:eastAsia="Times New Roman"/>
          <w:spacing w:val="-1"/>
          <w:szCs w:val="20"/>
          <w:lang w:eastAsia="ru-RU"/>
        </w:rPr>
        <w:t>РОЗДІЛ</w:t>
      </w:r>
      <w:r w:rsidRPr="00C81554">
        <w:rPr>
          <w:rFonts w:eastAsia="Times New Roman"/>
          <w:szCs w:val="20"/>
          <w:lang w:eastAsia="ru-RU"/>
        </w:rPr>
        <w:t xml:space="preserve"> 7. </w:t>
      </w:r>
      <w:r w:rsidR="00677812" w:rsidRPr="00677812">
        <w:rPr>
          <w:rFonts w:eastAsia="Times New Roman"/>
          <w:szCs w:val="28"/>
          <w:lang w:eastAsia="ru-RU"/>
        </w:rPr>
        <w:t>СТРАТИФІКАЦІЯ РИЗИКУ ВИНИКНЕННЯ ПОВТОРНИХ КАРДІОВАСКУЛЯРНИХ ПОДІЙ ПРОТЯГОМ 6-МІСЯЧНОГО ТЕРМІНУ СПОСТЕРЕЖЕННЯ ЗА ХВОРИМИ, ЩО ПЕРЕНЕСЛИ ІНФАРКТ МІОКАРДА НА ТЛІ ОЖИРІННЯ</w:t>
      </w:r>
      <w:r>
        <w:rPr>
          <w:rFonts w:eastAsia="Times New Roman"/>
          <w:szCs w:val="28"/>
          <w:lang w:eastAsia="ru-RU"/>
        </w:rPr>
        <w:t xml:space="preserve">                                   </w:t>
      </w:r>
      <w:r w:rsidR="00677812" w:rsidRPr="005E2904">
        <w:rPr>
          <w:rFonts w:eastAsia="Times New Roman"/>
          <w:szCs w:val="28"/>
          <w:lang w:eastAsia="ru-RU"/>
        </w:rPr>
        <w:t>121</w:t>
      </w:r>
    </w:p>
    <w:p w:rsidR="00AB3B73" w:rsidRPr="005E2904" w:rsidRDefault="00AB3B73" w:rsidP="00677812">
      <w:pPr>
        <w:widowControl w:val="0"/>
        <w:shd w:val="clear" w:color="auto" w:fill="FFFFFF"/>
        <w:tabs>
          <w:tab w:val="left" w:pos="8931"/>
        </w:tabs>
        <w:autoSpaceDE w:val="0"/>
        <w:autoSpaceDN w:val="0"/>
        <w:adjustRightInd w:val="0"/>
        <w:spacing w:after="0" w:line="360" w:lineRule="auto"/>
        <w:ind w:left="34" w:right="543"/>
        <w:jc w:val="both"/>
        <w:rPr>
          <w:rFonts w:eastAsia="Times New Roman"/>
          <w:sz w:val="20"/>
          <w:szCs w:val="20"/>
          <w:lang w:val="ru-RU" w:eastAsia="ru-RU"/>
        </w:rPr>
      </w:pPr>
      <w:r w:rsidRPr="00C81554">
        <w:rPr>
          <w:rFonts w:eastAsia="Times New Roman"/>
          <w:spacing w:val="-1"/>
          <w:szCs w:val="28"/>
          <w:lang w:eastAsia="ru-RU"/>
        </w:rPr>
        <w:t>УЗАГАЛЬНЕННЯ РЕЗУЛЬТАТІВ ДОСЛІДЖЕННЯ</w:t>
      </w:r>
      <w:r w:rsidRPr="00C81554">
        <w:rPr>
          <w:rFonts w:eastAsia="Times New Roman"/>
          <w:szCs w:val="28"/>
          <w:lang w:val="ru-RU" w:eastAsia="ru-RU"/>
        </w:rPr>
        <w:tab/>
      </w:r>
      <w:r w:rsidR="00677812" w:rsidRPr="005E2904">
        <w:rPr>
          <w:rFonts w:eastAsia="Times New Roman"/>
          <w:spacing w:val="-20"/>
          <w:szCs w:val="28"/>
          <w:lang w:val="ru-RU" w:eastAsia="ru-RU"/>
        </w:rPr>
        <w:t>132</w:t>
      </w:r>
    </w:p>
    <w:p w:rsidR="00AB3B73" w:rsidRPr="005E2904" w:rsidRDefault="00AB3B73" w:rsidP="008637A2">
      <w:pPr>
        <w:widowControl w:val="0"/>
        <w:shd w:val="clear" w:color="auto" w:fill="FFFFFF"/>
        <w:tabs>
          <w:tab w:val="left" w:pos="8931"/>
        </w:tabs>
        <w:autoSpaceDE w:val="0"/>
        <w:autoSpaceDN w:val="0"/>
        <w:adjustRightInd w:val="0"/>
        <w:spacing w:before="5" w:after="0" w:line="360" w:lineRule="auto"/>
        <w:ind w:left="34" w:right="543"/>
        <w:jc w:val="both"/>
        <w:rPr>
          <w:rFonts w:eastAsia="Times New Roman"/>
          <w:spacing w:val="-17"/>
          <w:szCs w:val="28"/>
          <w:lang w:val="ru-RU" w:eastAsia="ru-RU"/>
        </w:rPr>
      </w:pPr>
      <w:r w:rsidRPr="00C81554">
        <w:rPr>
          <w:rFonts w:eastAsia="Times New Roman"/>
          <w:szCs w:val="28"/>
          <w:lang w:eastAsia="ru-RU"/>
        </w:rPr>
        <w:t>ВИСНОВКИ</w:t>
      </w:r>
      <w:r w:rsidRPr="00C81554">
        <w:rPr>
          <w:rFonts w:eastAsia="Times New Roman"/>
          <w:szCs w:val="28"/>
          <w:lang w:val="ru-RU" w:eastAsia="ru-RU"/>
        </w:rPr>
        <w:tab/>
      </w:r>
      <w:r w:rsidR="008637A2" w:rsidRPr="005E2904">
        <w:rPr>
          <w:rFonts w:eastAsia="Times New Roman"/>
          <w:spacing w:val="-17"/>
          <w:szCs w:val="28"/>
          <w:lang w:val="ru-RU" w:eastAsia="ru-RU"/>
        </w:rPr>
        <w:t>200</w:t>
      </w:r>
    </w:p>
    <w:p w:rsidR="00AB3B73" w:rsidRPr="005E2904" w:rsidRDefault="00AB3B73" w:rsidP="008637A2">
      <w:pPr>
        <w:widowControl w:val="0"/>
        <w:shd w:val="clear" w:color="auto" w:fill="FFFFFF"/>
        <w:tabs>
          <w:tab w:val="left" w:pos="9072"/>
        </w:tabs>
        <w:autoSpaceDE w:val="0"/>
        <w:autoSpaceDN w:val="0"/>
        <w:adjustRightInd w:val="0"/>
        <w:spacing w:before="5" w:after="0" w:line="360" w:lineRule="auto"/>
        <w:ind w:left="34" w:right="543"/>
        <w:jc w:val="both"/>
        <w:rPr>
          <w:rFonts w:eastAsia="Times New Roman"/>
          <w:spacing w:val="-17"/>
          <w:szCs w:val="28"/>
          <w:lang w:val="ru-RU" w:eastAsia="ru-RU"/>
        </w:rPr>
      </w:pPr>
      <w:r w:rsidRPr="00C81554">
        <w:rPr>
          <w:rFonts w:eastAsia="Times New Roman"/>
          <w:spacing w:val="-17"/>
          <w:szCs w:val="28"/>
          <w:lang w:eastAsia="ru-RU"/>
        </w:rPr>
        <w:t>ПРАКТИЧНІ Р</w:t>
      </w:r>
      <w:r>
        <w:rPr>
          <w:rFonts w:eastAsia="Times New Roman"/>
          <w:spacing w:val="-17"/>
          <w:szCs w:val="28"/>
          <w:lang w:eastAsia="ru-RU"/>
        </w:rPr>
        <w:t>ЕКОМЕНДАЦІЇ</w:t>
      </w:r>
      <w:r w:rsidR="008637A2" w:rsidRPr="005E2904">
        <w:rPr>
          <w:rFonts w:eastAsia="Times New Roman"/>
          <w:spacing w:val="-17"/>
          <w:szCs w:val="28"/>
          <w:lang w:val="ru-RU" w:eastAsia="ru-RU"/>
        </w:rPr>
        <w:t xml:space="preserve">                                                                                                        202</w:t>
      </w:r>
    </w:p>
    <w:p w:rsidR="00AB3B73" w:rsidRPr="005E2904" w:rsidRDefault="00AB3B73" w:rsidP="008637A2">
      <w:pPr>
        <w:widowControl w:val="0"/>
        <w:shd w:val="clear" w:color="auto" w:fill="FFFFFF"/>
        <w:tabs>
          <w:tab w:val="left" w:pos="8931"/>
        </w:tabs>
        <w:autoSpaceDE w:val="0"/>
        <w:autoSpaceDN w:val="0"/>
        <w:adjustRightInd w:val="0"/>
        <w:spacing w:after="0" w:line="360" w:lineRule="auto"/>
        <w:ind w:left="38" w:right="543"/>
        <w:jc w:val="both"/>
        <w:rPr>
          <w:rFonts w:eastAsia="Times New Roman"/>
          <w:spacing w:val="-17"/>
          <w:szCs w:val="28"/>
          <w:lang w:val="ru-RU" w:eastAsia="ru-RU"/>
        </w:rPr>
      </w:pPr>
      <w:r w:rsidRPr="00C81554">
        <w:rPr>
          <w:rFonts w:eastAsia="Times New Roman"/>
          <w:szCs w:val="28"/>
          <w:lang w:eastAsia="ru-RU"/>
        </w:rPr>
        <w:t>СПИСОК ЛІТЕРАТУРНИХ ДЖЕРЕЛ</w:t>
      </w:r>
      <w:r w:rsidRPr="00C81554">
        <w:rPr>
          <w:rFonts w:eastAsia="Times New Roman"/>
          <w:szCs w:val="28"/>
          <w:lang w:eastAsia="ru-RU"/>
        </w:rPr>
        <w:tab/>
      </w:r>
      <w:r w:rsidR="008637A2" w:rsidRPr="005E2904">
        <w:rPr>
          <w:rFonts w:eastAsia="Times New Roman"/>
          <w:spacing w:val="-17"/>
          <w:szCs w:val="28"/>
          <w:lang w:val="ru-RU" w:eastAsia="ru-RU"/>
        </w:rPr>
        <w:t>203</w:t>
      </w:r>
    </w:p>
    <w:p w:rsidR="00DA239E" w:rsidRPr="00DA239E" w:rsidRDefault="00DA239E" w:rsidP="00AB3B73">
      <w:pPr>
        <w:shd w:val="clear" w:color="auto" w:fill="FFFFFF"/>
        <w:spacing w:after="0" w:line="360" w:lineRule="auto"/>
        <w:ind w:firstLine="851"/>
        <w:jc w:val="both"/>
        <w:rPr>
          <w:i/>
          <w:szCs w:val="28"/>
        </w:rPr>
      </w:pPr>
    </w:p>
    <w:p w:rsidR="00DA239E" w:rsidRPr="00DA239E" w:rsidRDefault="00DA239E" w:rsidP="00DE5EFC">
      <w:pPr>
        <w:shd w:val="clear" w:color="auto" w:fill="FFFFFF"/>
        <w:spacing w:after="0" w:line="360" w:lineRule="auto"/>
        <w:ind w:firstLine="851"/>
        <w:jc w:val="both"/>
        <w:rPr>
          <w:szCs w:val="28"/>
        </w:rPr>
      </w:pPr>
    </w:p>
    <w:p w:rsidR="00AB3B73" w:rsidRDefault="00AB3B73">
      <w:r>
        <w:br w:type="page"/>
      </w:r>
    </w:p>
    <w:p w:rsidR="003E759A" w:rsidRPr="00CF0766" w:rsidRDefault="003E759A" w:rsidP="003E759A">
      <w:pPr>
        <w:spacing w:after="0" w:line="240" w:lineRule="auto"/>
        <w:ind w:firstLine="567"/>
        <w:jc w:val="center"/>
        <w:rPr>
          <w:b/>
          <w:szCs w:val="28"/>
          <w:lang w:val="ru-RU" w:eastAsia="uk-UA"/>
        </w:rPr>
      </w:pPr>
      <w:r w:rsidRPr="00CF0766">
        <w:rPr>
          <w:b/>
          <w:szCs w:val="28"/>
          <w:lang w:val="ru-RU" w:eastAsia="uk-UA"/>
        </w:rPr>
        <w:lastRenderedPageBreak/>
        <w:t xml:space="preserve">ПЕРЕЛІК УМОВНИХ СКОРОЧЕНЬ </w:t>
      </w:r>
    </w:p>
    <w:p w:rsidR="003E759A" w:rsidRPr="00CF0766" w:rsidRDefault="003E759A" w:rsidP="003E759A">
      <w:pPr>
        <w:spacing w:after="0" w:line="240" w:lineRule="auto"/>
        <w:ind w:firstLine="567"/>
        <w:jc w:val="center"/>
        <w:rPr>
          <w:b/>
          <w:szCs w:val="28"/>
          <w:lang w:val="ru-RU" w:eastAsia="uk-UA"/>
        </w:rPr>
      </w:pP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АГ – артеріальна гіпертензія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А ІІ – ангіотензин ІІ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АПФ – ангіотензинперетворюючий фермент</w:t>
      </w:r>
    </w:p>
    <w:p w:rsidR="003E759A" w:rsidRDefault="003E759A" w:rsidP="003E759A">
      <w:pPr>
        <w:spacing w:after="0" w:line="360" w:lineRule="auto"/>
        <w:ind w:firstLine="567"/>
        <w:jc w:val="both"/>
        <w:rPr>
          <w:szCs w:val="28"/>
          <w:lang w:val="ru-RU" w:eastAsia="uk-UA"/>
        </w:rPr>
      </w:pPr>
      <w:r w:rsidRPr="00CF0766">
        <w:rPr>
          <w:szCs w:val="28"/>
          <w:lang w:val="ru-RU" w:eastAsia="uk-UA"/>
        </w:rPr>
        <w:t>АТ – артеріальний тиск</w:t>
      </w:r>
    </w:p>
    <w:p w:rsidR="00FB58A8" w:rsidRPr="00FB58A8" w:rsidRDefault="00FB58A8" w:rsidP="003E759A">
      <w:pPr>
        <w:spacing w:after="0" w:line="360" w:lineRule="auto"/>
        <w:ind w:firstLine="567"/>
        <w:jc w:val="both"/>
        <w:rPr>
          <w:szCs w:val="28"/>
          <w:lang w:eastAsia="uk-UA"/>
        </w:rPr>
      </w:pPr>
      <w:r w:rsidRPr="00D63344">
        <w:t>ВТ</w:t>
      </w:r>
      <w:r>
        <w:t>С</w:t>
      </w:r>
      <w:r w:rsidRPr="00D63344">
        <w:t>ЛШ</w:t>
      </w:r>
      <w:r w:rsidRPr="00FB58A8">
        <w:rPr>
          <w:lang w:val="ru-RU"/>
        </w:rPr>
        <w:t xml:space="preserve"> – </w:t>
      </w:r>
      <w:r>
        <w:t>відносна товщина стінки лівого шлуночка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ГІМ – гострий інфаркт міокарда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ГКС – гострий коронарний синдром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ГЛШ – гіпертрофія лівого шлуночку</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ГСН – гостра серцева недостатність</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ЖТ – жирова тканина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ЗХС – загальний холестерин</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ІАПФ – інгібітор ангіотензинперетворюючого фермента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ІМТ – індекс маси тіла</w:t>
      </w:r>
    </w:p>
    <w:p w:rsidR="003E759A" w:rsidRDefault="003E759A" w:rsidP="003E759A">
      <w:pPr>
        <w:spacing w:after="0" w:line="360" w:lineRule="auto"/>
        <w:ind w:firstLine="567"/>
        <w:jc w:val="both"/>
        <w:rPr>
          <w:szCs w:val="28"/>
          <w:lang w:val="ru-RU" w:eastAsia="uk-UA"/>
        </w:rPr>
      </w:pPr>
      <w:r w:rsidRPr="00CF0766">
        <w:rPr>
          <w:szCs w:val="28"/>
          <w:lang w:val="ru-RU" w:eastAsia="uk-UA"/>
        </w:rPr>
        <w:t>ІМ – інфаркт міокарда</w:t>
      </w:r>
    </w:p>
    <w:p w:rsidR="00F5099E" w:rsidRPr="00F5099E" w:rsidRDefault="00F5099E" w:rsidP="003E759A">
      <w:pPr>
        <w:spacing w:after="0" w:line="360" w:lineRule="auto"/>
        <w:ind w:firstLine="567"/>
        <w:jc w:val="both"/>
        <w:rPr>
          <w:szCs w:val="28"/>
          <w:lang w:eastAsia="uk-UA"/>
        </w:rPr>
      </w:pPr>
      <w:r>
        <w:rPr>
          <w:szCs w:val="28"/>
          <w:lang w:eastAsia="uk-UA"/>
        </w:rPr>
        <w:t>ІММЛШ – індекс маси міокарда лівого шлуночка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ІХС – ішемічна хвороба серця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 xml:space="preserve">КА – </w:t>
      </w:r>
      <w:r>
        <w:rPr>
          <w:szCs w:val="28"/>
          <w:lang w:val="ru-RU" w:eastAsia="uk-UA"/>
        </w:rPr>
        <w:t>коронарні артерії</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КДД – кінцевий діастолічний діаметр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КДО – кінцево–діастолічний об´єм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КДР – кінцево–діастолічний розмір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КСД – кінцевий систолічний діаметр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КСО – кінцево–систолічний об´єм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КСР – кінцево–систолічний розмір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КФК – креатинінфосфокіназа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 – ліве передсердя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ЛПВЩ – ліпопротеїди високої щільності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ЛПДНЩ – ліпопротеїди дуже низької щільності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ЛПНЩ – ліпопротеїди низької щільності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lastRenderedPageBreak/>
        <w:t>ЛШ – лівий шлуночок</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МС – метаболічний синдром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ОС – окружність стегна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ОТ – окружність талії</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ОТ/ОС – відношення окружності талії до окружності стегна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ПАТ – подвійна антитромбоцитарна терапія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ПКВ – перкутанне коронарне втручання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РААС – ренін-ангіотензин-альдостеронова система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РАІ -1 – інгібітор активатора плазміногена-1</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СН – серцева недостатність</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ССЗ – серцево–судинні захворювання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ССС – серцево–судинна система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ТГ – тригліцериди</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ТЗС – товщина задньої стінки</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ТМШП – товщина міжшлуночкової перетинки</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УО – ударний об’єм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ФВ – фракція викиду</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ФК – функціональний клас</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ХСН – хронічна серцева недостатність</w:t>
      </w:r>
    </w:p>
    <w:p w:rsidR="003E759A" w:rsidRPr="005E2904" w:rsidRDefault="003E759A" w:rsidP="003E759A">
      <w:pPr>
        <w:spacing w:after="0" w:line="360" w:lineRule="auto"/>
        <w:ind w:firstLine="567"/>
        <w:jc w:val="both"/>
        <w:rPr>
          <w:szCs w:val="28"/>
          <w:lang w:val="ru-RU" w:eastAsia="uk-UA"/>
        </w:rPr>
      </w:pPr>
      <w:r w:rsidRPr="005E2904">
        <w:rPr>
          <w:szCs w:val="28"/>
          <w:lang w:val="ru-RU" w:eastAsia="uk-UA"/>
        </w:rPr>
        <w:t>ШОЕ – швидкість осідання еритроцитів</w:t>
      </w:r>
    </w:p>
    <w:p w:rsidR="003E759A" w:rsidRDefault="003E759A">
      <w:pPr>
        <w:rPr>
          <w:rFonts w:eastAsia="Times New Roman"/>
          <w:spacing w:val="-9"/>
          <w:szCs w:val="28"/>
          <w:lang w:eastAsia="ru-RU"/>
        </w:rPr>
      </w:pPr>
      <w:r>
        <w:rPr>
          <w:rFonts w:eastAsia="Times New Roman"/>
          <w:spacing w:val="-9"/>
          <w:szCs w:val="28"/>
          <w:lang w:eastAsia="ru-RU"/>
        </w:rPr>
        <w:br w:type="page"/>
      </w:r>
    </w:p>
    <w:p w:rsidR="00577727" w:rsidRDefault="00577727" w:rsidP="00577727">
      <w:pPr>
        <w:shd w:val="clear" w:color="auto" w:fill="FFFFFF"/>
        <w:spacing w:after="0" w:line="360" w:lineRule="auto"/>
        <w:jc w:val="center"/>
        <w:rPr>
          <w:rFonts w:eastAsia="Times New Roman"/>
          <w:spacing w:val="-9"/>
          <w:szCs w:val="28"/>
          <w:lang w:eastAsia="ru-RU"/>
        </w:rPr>
      </w:pPr>
      <w:r w:rsidRPr="00CF2728">
        <w:rPr>
          <w:rFonts w:eastAsia="Times New Roman"/>
          <w:spacing w:val="-9"/>
          <w:szCs w:val="28"/>
          <w:lang w:eastAsia="ru-RU"/>
        </w:rPr>
        <w:lastRenderedPageBreak/>
        <w:t>ВСТУП</w:t>
      </w:r>
    </w:p>
    <w:p w:rsidR="00577727" w:rsidRPr="00CF2728" w:rsidRDefault="00577727" w:rsidP="00577727">
      <w:pPr>
        <w:shd w:val="clear" w:color="auto" w:fill="FFFFFF"/>
        <w:spacing w:after="0" w:line="360" w:lineRule="auto"/>
        <w:jc w:val="center"/>
        <w:rPr>
          <w:rFonts w:eastAsia="Times New Roman"/>
          <w:spacing w:val="-9"/>
          <w:szCs w:val="28"/>
          <w:lang w:eastAsia="ru-RU"/>
        </w:rPr>
      </w:pPr>
    </w:p>
    <w:p w:rsidR="00577727" w:rsidRPr="000317B0" w:rsidRDefault="00577727" w:rsidP="00577727">
      <w:pPr>
        <w:autoSpaceDE w:val="0"/>
        <w:autoSpaceDN w:val="0"/>
        <w:adjustRightInd w:val="0"/>
        <w:spacing w:after="0" w:line="360" w:lineRule="auto"/>
        <w:ind w:left="-284" w:firstLine="708"/>
        <w:jc w:val="both"/>
        <w:rPr>
          <w:szCs w:val="28"/>
        </w:rPr>
      </w:pPr>
      <w:r w:rsidRPr="00EE70AD">
        <w:rPr>
          <w:b/>
          <w:szCs w:val="28"/>
        </w:rPr>
        <w:t xml:space="preserve">Актуальність теми. </w:t>
      </w:r>
      <w:r w:rsidRPr="000317B0">
        <w:rPr>
          <w:szCs w:val="28"/>
        </w:rPr>
        <w:t>Протягом останніх десятиліть серцево-судинна патологія сягнула масштабів епідемії серед хронічних неінфекційних захворювань в усьому світі</w:t>
      </w:r>
      <w:r>
        <w:rPr>
          <w:szCs w:val="28"/>
        </w:rPr>
        <w:t xml:space="preserve"> [1-4]</w:t>
      </w:r>
      <w:r w:rsidRPr="000317B0">
        <w:rPr>
          <w:szCs w:val="28"/>
        </w:rPr>
        <w:t>. У формуванні сучасних негативних медико-демографічних тенденцій в Україні серцево-судинні захворювання (ССЗ) відіграють провідну роль. Саме вони істотно впливають на основні показники здоров’я: захворюваність, смертність, інвалідність, тривалість і якість життя населення [</w:t>
      </w:r>
      <w:r>
        <w:rPr>
          <w:szCs w:val="28"/>
        </w:rPr>
        <w:t>2</w:t>
      </w:r>
      <w:r w:rsidRPr="000317B0">
        <w:rPr>
          <w:szCs w:val="28"/>
        </w:rPr>
        <w:t>]. Лише за останні 25 років поширеність ССЗ серед населення України зросла в три рази, а рівень смертності від них – на 45%</w:t>
      </w:r>
      <w:r>
        <w:rPr>
          <w:szCs w:val="28"/>
        </w:rPr>
        <w:t xml:space="preserve"> [4</w:t>
      </w:r>
      <w:r w:rsidRPr="000317B0">
        <w:rPr>
          <w:szCs w:val="28"/>
        </w:rPr>
        <w:t xml:space="preserve">]. </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t>Серед причин передчасної смерті від ССЗ перше місце стійко займає ішемічна хвороба серця (ІХС) [</w:t>
      </w:r>
      <w:r>
        <w:rPr>
          <w:szCs w:val="28"/>
        </w:rPr>
        <w:t>2</w:t>
      </w:r>
      <w:r w:rsidRPr="000317B0">
        <w:rPr>
          <w:szCs w:val="28"/>
        </w:rPr>
        <w:t>]. Однією з найбільш загрозливих форм ІХС є гострий інфаркт міокарда (ГІМ), який у 98% випадків виникає внаслідок дестабілізації атеросклеротичної бляшки [</w:t>
      </w:r>
      <w:r>
        <w:rPr>
          <w:szCs w:val="28"/>
        </w:rPr>
        <w:t>5</w:t>
      </w:r>
      <w:r w:rsidRPr="000317B0">
        <w:rPr>
          <w:szCs w:val="28"/>
        </w:rPr>
        <w:t>]. Щорічно в Україні реєструється близько 50 тисяч випадків ГІМ. При цьому статистика смертності від цієї хвороби залишається високою –від ГІМ вмирають 30% пацієнтів, водночас як у країнах Заходу – лише 5% [</w:t>
      </w:r>
      <w:r>
        <w:rPr>
          <w:szCs w:val="28"/>
        </w:rPr>
        <w:t>8</w:t>
      </w:r>
      <w:r w:rsidRPr="000317B0">
        <w:rPr>
          <w:szCs w:val="28"/>
        </w:rPr>
        <w:t xml:space="preserve">]. </w:t>
      </w:r>
    </w:p>
    <w:p w:rsidR="00577727" w:rsidRPr="000317B0" w:rsidRDefault="00577727" w:rsidP="00577727">
      <w:pPr>
        <w:autoSpaceDE w:val="0"/>
        <w:autoSpaceDN w:val="0"/>
        <w:adjustRightInd w:val="0"/>
        <w:spacing w:after="0" w:line="360" w:lineRule="auto"/>
        <w:ind w:left="-284" w:firstLine="708"/>
        <w:jc w:val="both"/>
        <w:rPr>
          <w:szCs w:val="28"/>
          <w:shd w:val="clear" w:color="auto" w:fill="FFFFFF"/>
        </w:rPr>
      </w:pPr>
      <w:r w:rsidRPr="000317B0">
        <w:rPr>
          <w:szCs w:val="28"/>
        </w:rPr>
        <w:t>На сьогодні одним із найважливіших факторів ризику виникнення та прогресування ССЗ, що вивчається сучасними дослідниками, є ожиріння</w:t>
      </w:r>
      <w:r>
        <w:rPr>
          <w:szCs w:val="28"/>
        </w:rPr>
        <w:t xml:space="preserve"> [6]</w:t>
      </w:r>
      <w:r w:rsidRPr="000317B0">
        <w:rPr>
          <w:szCs w:val="28"/>
        </w:rPr>
        <w:t xml:space="preserve">. </w:t>
      </w:r>
      <w:r w:rsidRPr="000317B0">
        <w:rPr>
          <w:szCs w:val="28"/>
          <w:shd w:val="clear" w:color="auto" w:fill="FFFFFF"/>
          <w:lang w:val="ru-RU"/>
        </w:rPr>
        <w:t>В</w:t>
      </w:r>
      <w:r w:rsidRPr="000317B0">
        <w:rPr>
          <w:szCs w:val="28"/>
          <w:shd w:val="clear" w:color="auto" w:fill="FFFFFF"/>
        </w:rPr>
        <w:t xml:space="preserve"> більшості країн Західної Європи </w:t>
      </w:r>
      <w:r>
        <w:rPr>
          <w:szCs w:val="28"/>
          <w:shd w:val="clear" w:color="auto" w:fill="FFFFFF"/>
        </w:rPr>
        <w:t xml:space="preserve">на </w:t>
      </w:r>
      <w:r w:rsidRPr="000317B0">
        <w:rPr>
          <w:szCs w:val="28"/>
          <w:shd w:val="clear" w:color="auto" w:fill="FFFFFF"/>
        </w:rPr>
        <w:t>ожиріння (ІМТ &gt; 30 кг/м2) страждає від 10 до 25% населення, у США – від 20 до 25%. Надмірну масу тіла (ІМТ &gt; 25 кг/м2) в індустріально розвинутих країнах, окрім Японії та Китаю, має близько половини населення. У багатьох країнах світу за останні 10 років захворюваність на ожиріння збільшилася в середньому вдвічі. Розрахунки експертів ВООЗ засвідчують, що до 2025 р. число хворих на ожиріння в світі становитиме 300 млн осіб [</w:t>
      </w:r>
      <w:r>
        <w:rPr>
          <w:szCs w:val="28"/>
          <w:shd w:val="clear" w:color="auto" w:fill="FFFFFF"/>
        </w:rPr>
        <w:t>5</w:t>
      </w:r>
      <w:r w:rsidRPr="000317B0">
        <w:rPr>
          <w:szCs w:val="28"/>
          <w:shd w:val="clear" w:color="auto" w:fill="FFFFFF"/>
        </w:rPr>
        <w:t xml:space="preserve">]. </w:t>
      </w:r>
    </w:p>
    <w:p w:rsidR="00577727" w:rsidRPr="000317B0" w:rsidRDefault="00577727" w:rsidP="00577727">
      <w:pPr>
        <w:autoSpaceDE w:val="0"/>
        <w:autoSpaceDN w:val="0"/>
        <w:adjustRightInd w:val="0"/>
        <w:spacing w:after="0" w:line="360" w:lineRule="auto"/>
        <w:ind w:left="-284" w:firstLine="708"/>
        <w:jc w:val="both"/>
        <w:rPr>
          <w:szCs w:val="28"/>
        </w:rPr>
      </w:pPr>
      <w:r>
        <w:rPr>
          <w:szCs w:val="28"/>
        </w:rPr>
        <w:t xml:space="preserve">Жирова тканина </w:t>
      </w:r>
      <w:r w:rsidRPr="000317B0">
        <w:rPr>
          <w:szCs w:val="28"/>
        </w:rPr>
        <w:t>є активним ендокринним органом, здатним синтезувати і секретувати в кровообіг різні біологічно активні сполуки пептидної і непептидної природи, які відіграють важл</w:t>
      </w:r>
      <w:r>
        <w:rPr>
          <w:szCs w:val="28"/>
        </w:rPr>
        <w:t>иву роль у гомеостазі та гомеокі</w:t>
      </w:r>
      <w:r w:rsidRPr="000317B0">
        <w:rPr>
          <w:szCs w:val="28"/>
        </w:rPr>
        <w:t>незі багатьох систем, у тому числі і серцево-судинної системи [</w:t>
      </w:r>
      <w:r>
        <w:rPr>
          <w:szCs w:val="28"/>
        </w:rPr>
        <w:t>7</w:t>
      </w:r>
      <w:r w:rsidRPr="000317B0">
        <w:rPr>
          <w:szCs w:val="28"/>
        </w:rPr>
        <w:t>]</w:t>
      </w:r>
      <w:r>
        <w:rPr>
          <w:szCs w:val="28"/>
        </w:rPr>
        <w:t>.</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lastRenderedPageBreak/>
        <w:t>Чіткий зв'язок між ожирінням і розвитком серцево-судинних ускладнень було встановлено за даними, отриманими під час Фремінгемського дослідження [</w:t>
      </w:r>
      <w:r>
        <w:rPr>
          <w:szCs w:val="28"/>
        </w:rPr>
        <w:t>11</w:t>
      </w:r>
      <w:r w:rsidRPr="000317B0">
        <w:rPr>
          <w:szCs w:val="28"/>
        </w:rPr>
        <w:t>]. При спостереженні протягом 26 років 5209 чоловіків і жінок без ССЗ при включенні до виборки було показано, що ожиріння є незалежним фактором ризику розвитку серцево-судинних ускладнень, особливо у жінок.</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t>Підвищений ризик,</w:t>
      </w:r>
      <w:r>
        <w:rPr>
          <w:szCs w:val="28"/>
        </w:rPr>
        <w:t xml:space="preserve"> </w:t>
      </w:r>
      <w:r w:rsidRPr="000317B0">
        <w:rPr>
          <w:szCs w:val="28"/>
        </w:rPr>
        <w:t xml:space="preserve">пов'язаний з ожирінням, багато в чому обумовлений високою частотою коронарних і церебральних розладів у людей </w:t>
      </w:r>
      <w:r w:rsidRPr="000317B0">
        <w:rPr>
          <w:szCs w:val="28"/>
          <w:lang w:val="ru-RU"/>
        </w:rPr>
        <w:t xml:space="preserve">з надлишковою масою </w:t>
      </w:r>
      <w:r w:rsidRPr="000317B0">
        <w:rPr>
          <w:szCs w:val="28"/>
        </w:rPr>
        <w:t>тіла. Високі показники смертності та частоти розвитку серцевих ускладнень є наслідками ураження судин, тому що ожиріння є важливим фактором, сприяючим розвитку дисліпідемії (до 30% осіб з ожирінням мають гіперліпідемію), цукрового діабету 2 типу (до 80% хворих на діабет 2 типу мають надлишкову масу тіла або ожиріння), артеріальної гіпертензії (приблизно половина осіб з ожирінням одночасно мають артеріальну гіпертензію) і раптової смерті. Крім того, незалежний ефект ожиріння на серцево-судинну систему може пояснюватися його впливом на структурно-функціональні властивості міокарда, підвищення серцевого викиду, розвиток ексцентричної гіпертрофії лівого шлуночка (ГЛШ), дистрофічних порушень, появу застійної серцевої недостатності</w:t>
      </w:r>
      <w:r>
        <w:rPr>
          <w:szCs w:val="28"/>
        </w:rPr>
        <w:t xml:space="preserve"> (СН)</w:t>
      </w:r>
      <w:r w:rsidRPr="000317B0">
        <w:rPr>
          <w:szCs w:val="28"/>
        </w:rPr>
        <w:t xml:space="preserve"> [</w:t>
      </w:r>
      <w:r>
        <w:rPr>
          <w:szCs w:val="28"/>
        </w:rPr>
        <w:t>9</w:t>
      </w:r>
      <w:r w:rsidRPr="000317B0">
        <w:rPr>
          <w:szCs w:val="28"/>
        </w:rPr>
        <w:t>]</w:t>
      </w:r>
      <w:r>
        <w:rPr>
          <w:szCs w:val="28"/>
        </w:rPr>
        <w:t>.</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t xml:space="preserve">Патогенетичний </w:t>
      </w:r>
      <w:r>
        <w:rPr>
          <w:szCs w:val="28"/>
        </w:rPr>
        <w:t>коморбідний</w:t>
      </w:r>
      <w:r w:rsidRPr="000317B0">
        <w:rPr>
          <w:szCs w:val="28"/>
        </w:rPr>
        <w:t xml:space="preserve"> зв’язок ожиріння та ССЗ зумовлений також тим, що ожиріння відноситься до протромботичних станів, що пояснюється надмірною активацією тромбоцитів та факторів згортання крові, порушенням рівноваги про- та антикоагулянтної систем, пригніченням фібр</w:t>
      </w:r>
      <w:r>
        <w:rPr>
          <w:szCs w:val="28"/>
        </w:rPr>
        <w:t>и</w:t>
      </w:r>
      <w:r w:rsidRPr="000317B0">
        <w:rPr>
          <w:szCs w:val="28"/>
        </w:rPr>
        <w:t xml:space="preserve">нолізу, ендотеліальною дисфункцією й підвищенням активності системної запальної відповіді в гострому періоді ГІМ. </w:t>
      </w:r>
      <w:r>
        <w:rPr>
          <w:szCs w:val="28"/>
        </w:rPr>
        <w:t>[</w:t>
      </w:r>
      <w:r w:rsidRPr="000317B0">
        <w:rPr>
          <w:szCs w:val="28"/>
        </w:rPr>
        <w:t>13]</w:t>
      </w:r>
      <w:r>
        <w:rPr>
          <w:szCs w:val="28"/>
        </w:rPr>
        <w:t>.</w:t>
      </w:r>
    </w:p>
    <w:p w:rsidR="00577727" w:rsidRDefault="00577727" w:rsidP="00577727">
      <w:pPr>
        <w:autoSpaceDE w:val="0"/>
        <w:autoSpaceDN w:val="0"/>
        <w:adjustRightInd w:val="0"/>
        <w:spacing w:after="0" w:line="360" w:lineRule="auto"/>
        <w:ind w:left="-284" w:firstLine="708"/>
        <w:jc w:val="both"/>
        <w:rPr>
          <w:szCs w:val="28"/>
        </w:rPr>
      </w:pPr>
      <w:r w:rsidRPr="000317B0">
        <w:rPr>
          <w:szCs w:val="28"/>
        </w:rPr>
        <w:t xml:space="preserve">В останні роки </w:t>
      </w:r>
      <w:r>
        <w:rPr>
          <w:szCs w:val="28"/>
        </w:rPr>
        <w:t>предметом наукової зацікавленості</w:t>
      </w:r>
      <w:r w:rsidRPr="000317B0">
        <w:rPr>
          <w:szCs w:val="28"/>
        </w:rPr>
        <w:t xml:space="preserve"> в галузі кардіології </w:t>
      </w:r>
      <w:r>
        <w:rPr>
          <w:szCs w:val="28"/>
        </w:rPr>
        <w:t>стало</w:t>
      </w:r>
      <w:r w:rsidRPr="000317B0">
        <w:rPr>
          <w:szCs w:val="28"/>
        </w:rPr>
        <w:t xml:space="preserve"> вивчення </w:t>
      </w:r>
      <w:r>
        <w:rPr>
          <w:szCs w:val="28"/>
        </w:rPr>
        <w:t xml:space="preserve">нових маркерів ураження міокарда, які </w:t>
      </w:r>
      <w:r w:rsidRPr="00D13D18">
        <w:rPr>
          <w:szCs w:val="28"/>
        </w:rPr>
        <w:t xml:space="preserve">можуть </w:t>
      </w:r>
      <w:r>
        <w:rPr>
          <w:szCs w:val="28"/>
        </w:rPr>
        <w:t>бути</w:t>
      </w:r>
      <w:r w:rsidRPr="00D13D18">
        <w:rPr>
          <w:szCs w:val="28"/>
        </w:rPr>
        <w:t xml:space="preserve"> корисним інструментом для монітор</w:t>
      </w:r>
      <w:r>
        <w:rPr>
          <w:szCs w:val="28"/>
        </w:rPr>
        <w:t>ування</w:t>
      </w:r>
      <w:r w:rsidRPr="00D13D18">
        <w:rPr>
          <w:szCs w:val="28"/>
        </w:rPr>
        <w:t xml:space="preserve"> ефективності фармакотерапії, ранньої діагностики захворювання, прогнозу його клінічних результатів і відігравати важливу роль в стратифікації ризику пацієнтів.</w:t>
      </w:r>
      <w:r>
        <w:rPr>
          <w:szCs w:val="28"/>
        </w:rPr>
        <w:t xml:space="preserve"> Так одним</w:t>
      </w:r>
      <w:r w:rsidRPr="000317B0">
        <w:rPr>
          <w:szCs w:val="28"/>
        </w:rPr>
        <w:t xml:space="preserve"> </w:t>
      </w:r>
      <w:r>
        <w:rPr>
          <w:szCs w:val="28"/>
        </w:rPr>
        <w:t>з нових маркерів тромбозу є вітронектин.</w:t>
      </w:r>
      <w:r w:rsidRPr="000317B0">
        <w:rPr>
          <w:szCs w:val="28"/>
        </w:rPr>
        <w:t xml:space="preserve"> </w:t>
      </w:r>
    </w:p>
    <w:p w:rsidR="00577727" w:rsidRPr="005B44FB" w:rsidRDefault="00577727" w:rsidP="00577727">
      <w:pPr>
        <w:autoSpaceDE w:val="0"/>
        <w:autoSpaceDN w:val="0"/>
        <w:adjustRightInd w:val="0"/>
        <w:spacing w:after="0" w:line="360" w:lineRule="auto"/>
        <w:ind w:left="-284" w:firstLine="708"/>
        <w:jc w:val="both"/>
        <w:rPr>
          <w:szCs w:val="28"/>
        </w:rPr>
      </w:pPr>
      <w:r>
        <w:rPr>
          <w:szCs w:val="28"/>
        </w:rPr>
        <w:t xml:space="preserve">Вітронектин являє собою </w:t>
      </w:r>
      <w:r w:rsidRPr="005B44FB">
        <w:rPr>
          <w:szCs w:val="28"/>
        </w:rPr>
        <w:t xml:space="preserve">глікопротеїд з молекулярною масою 75 кДа, що складається з 459 амінокислотних залишків і кодується специфічним геном VTN. У </w:t>
      </w:r>
      <w:r w:rsidRPr="005B44FB">
        <w:rPr>
          <w:szCs w:val="28"/>
        </w:rPr>
        <w:lastRenderedPageBreak/>
        <w:t xml:space="preserve">структурі молекули </w:t>
      </w:r>
      <w:r>
        <w:rPr>
          <w:szCs w:val="28"/>
        </w:rPr>
        <w:t>вітронектину</w:t>
      </w:r>
      <w:r w:rsidRPr="005B44FB">
        <w:rPr>
          <w:szCs w:val="28"/>
        </w:rPr>
        <w:t xml:space="preserve"> виділяють три основні домени: N- термінальний </w:t>
      </w:r>
      <w:r>
        <w:rPr>
          <w:szCs w:val="28"/>
        </w:rPr>
        <w:t>соматомедин B, центральний і C-</w:t>
      </w:r>
      <w:r w:rsidRPr="005B44FB">
        <w:rPr>
          <w:szCs w:val="28"/>
        </w:rPr>
        <w:t>термінальний домени, серед яких перший розглядається як найбільш активний у біологічному відношенні [</w:t>
      </w:r>
      <w:r>
        <w:rPr>
          <w:szCs w:val="28"/>
        </w:rPr>
        <w:t>32</w:t>
      </w:r>
      <w:r w:rsidRPr="005B44FB">
        <w:rPr>
          <w:szCs w:val="28"/>
        </w:rPr>
        <w:t>].</w:t>
      </w:r>
    </w:p>
    <w:p w:rsidR="00577727" w:rsidRDefault="00577727" w:rsidP="00577727">
      <w:pPr>
        <w:autoSpaceDE w:val="0"/>
        <w:autoSpaceDN w:val="0"/>
        <w:adjustRightInd w:val="0"/>
        <w:spacing w:after="0" w:line="360" w:lineRule="auto"/>
        <w:ind w:left="-284" w:firstLine="708"/>
        <w:jc w:val="both"/>
        <w:rPr>
          <w:szCs w:val="28"/>
        </w:rPr>
      </w:pPr>
      <w:r w:rsidRPr="005B44FB">
        <w:rPr>
          <w:szCs w:val="28"/>
        </w:rPr>
        <w:t>В</w:t>
      </w:r>
      <w:r>
        <w:rPr>
          <w:szCs w:val="28"/>
        </w:rPr>
        <w:t>і</w:t>
      </w:r>
      <w:r w:rsidRPr="005B44FB">
        <w:rPr>
          <w:szCs w:val="28"/>
        </w:rPr>
        <w:t>тронектин транспортуєть</w:t>
      </w:r>
      <w:r>
        <w:rPr>
          <w:szCs w:val="28"/>
        </w:rPr>
        <w:t>ся тромбоцитами, широко експресується</w:t>
      </w:r>
      <w:r w:rsidRPr="005B44FB">
        <w:rPr>
          <w:szCs w:val="28"/>
        </w:rPr>
        <w:t xml:space="preserve"> на зовнішній поверхні їх мембран, бере активну участь </w:t>
      </w:r>
      <w:r>
        <w:rPr>
          <w:szCs w:val="28"/>
        </w:rPr>
        <w:t>у</w:t>
      </w:r>
      <w:r w:rsidRPr="005B44FB">
        <w:rPr>
          <w:szCs w:val="28"/>
        </w:rPr>
        <w:t xml:space="preserve"> процесах тромбоагрегац</w:t>
      </w:r>
      <w:r>
        <w:rPr>
          <w:szCs w:val="28"/>
        </w:rPr>
        <w:t>ії, гемокоагуляции, T-</w:t>
      </w:r>
      <w:r w:rsidRPr="005B44FB">
        <w:rPr>
          <w:szCs w:val="28"/>
        </w:rPr>
        <w:t xml:space="preserve">лімфоцитарної активації, регуляції апоптозу і накопичення позаклітинного матриксу, </w:t>
      </w:r>
      <w:r>
        <w:rPr>
          <w:szCs w:val="28"/>
        </w:rPr>
        <w:t>в</w:t>
      </w:r>
      <w:r w:rsidRPr="005B44FB">
        <w:rPr>
          <w:szCs w:val="28"/>
        </w:rPr>
        <w:t xml:space="preserve"> тому числі і в атеромі [</w:t>
      </w:r>
      <w:r>
        <w:rPr>
          <w:szCs w:val="28"/>
        </w:rPr>
        <w:t>104</w:t>
      </w:r>
      <w:r w:rsidRPr="005B44FB">
        <w:rPr>
          <w:szCs w:val="28"/>
        </w:rPr>
        <w:t>]. Описані глобулярний мульти</w:t>
      </w:r>
      <w:r>
        <w:rPr>
          <w:szCs w:val="28"/>
        </w:rPr>
        <w:t>мер</w:t>
      </w:r>
      <w:r w:rsidRPr="005B44FB">
        <w:rPr>
          <w:szCs w:val="28"/>
        </w:rPr>
        <w:t xml:space="preserve"> і фібрилярний розчинний мономер </w:t>
      </w:r>
      <w:r>
        <w:rPr>
          <w:szCs w:val="28"/>
        </w:rPr>
        <w:t>вітронектину</w:t>
      </w:r>
      <w:r w:rsidRPr="005B44FB">
        <w:rPr>
          <w:szCs w:val="28"/>
        </w:rPr>
        <w:t>, біологічна роль яких дещо відрізняється. Глобулярний мульти</w:t>
      </w:r>
      <w:r>
        <w:rPr>
          <w:szCs w:val="28"/>
        </w:rPr>
        <w:t>мер</w:t>
      </w:r>
      <w:r w:rsidRPr="005B44FB">
        <w:rPr>
          <w:szCs w:val="28"/>
        </w:rPr>
        <w:t xml:space="preserve"> глікопротеїду збирається з мономірних молекул </w:t>
      </w:r>
      <w:r>
        <w:rPr>
          <w:szCs w:val="28"/>
        </w:rPr>
        <w:t>вітронектину</w:t>
      </w:r>
      <w:r w:rsidRPr="005B44FB">
        <w:rPr>
          <w:szCs w:val="28"/>
        </w:rPr>
        <w:t>, що притяг</w:t>
      </w:r>
      <w:r>
        <w:rPr>
          <w:szCs w:val="28"/>
        </w:rPr>
        <w:t>у</w:t>
      </w:r>
      <w:r w:rsidRPr="005B44FB">
        <w:rPr>
          <w:szCs w:val="28"/>
        </w:rPr>
        <w:t>ються з плазми крові у ф</w:t>
      </w:r>
      <w:r>
        <w:rPr>
          <w:szCs w:val="28"/>
        </w:rPr>
        <w:t>і</w:t>
      </w:r>
      <w:r w:rsidRPr="005B44FB">
        <w:rPr>
          <w:szCs w:val="28"/>
        </w:rPr>
        <w:t>бр</w:t>
      </w:r>
      <w:r>
        <w:rPr>
          <w:szCs w:val="28"/>
        </w:rPr>
        <w:t>и</w:t>
      </w:r>
      <w:r w:rsidRPr="005B44FB">
        <w:rPr>
          <w:szCs w:val="28"/>
        </w:rPr>
        <w:t>нов</w:t>
      </w:r>
      <w:r>
        <w:rPr>
          <w:szCs w:val="28"/>
        </w:rPr>
        <w:t>и</w:t>
      </w:r>
      <w:r w:rsidRPr="005B44FB">
        <w:rPr>
          <w:szCs w:val="28"/>
        </w:rPr>
        <w:t xml:space="preserve">й згусток з подальшою фіксацією в </w:t>
      </w:r>
      <w:r>
        <w:rPr>
          <w:szCs w:val="28"/>
        </w:rPr>
        <w:t xml:space="preserve">його </w:t>
      </w:r>
      <w:r w:rsidRPr="005B44FB">
        <w:rPr>
          <w:szCs w:val="28"/>
        </w:rPr>
        <w:t xml:space="preserve">структуру </w:t>
      </w:r>
      <w:r>
        <w:rPr>
          <w:szCs w:val="28"/>
        </w:rPr>
        <w:t xml:space="preserve">[105]. </w:t>
      </w:r>
    </w:p>
    <w:p w:rsidR="00577727" w:rsidRDefault="00577727" w:rsidP="00577727">
      <w:pPr>
        <w:autoSpaceDE w:val="0"/>
        <w:autoSpaceDN w:val="0"/>
        <w:adjustRightInd w:val="0"/>
        <w:spacing w:after="0" w:line="360" w:lineRule="auto"/>
        <w:ind w:left="-284" w:firstLine="708"/>
        <w:jc w:val="both"/>
        <w:rPr>
          <w:szCs w:val="28"/>
        </w:rPr>
      </w:pPr>
      <w:r>
        <w:rPr>
          <w:szCs w:val="28"/>
        </w:rPr>
        <w:t xml:space="preserve">Існує декілька думок, щодо участі </w:t>
      </w:r>
      <w:r w:rsidRPr="00EA7205">
        <w:rPr>
          <w:szCs w:val="28"/>
        </w:rPr>
        <w:t>в</w:t>
      </w:r>
      <w:r>
        <w:rPr>
          <w:szCs w:val="28"/>
        </w:rPr>
        <w:t>і</w:t>
      </w:r>
      <w:r w:rsidRPr="00EA7205">
        <w:rPr>
          <w:szCs w:val="28"/>
        </w:rPr>
        <w:t>тронектин</w:t>
      </w:r>
      <w:r>
        <w:rPr>
          <w:szCs w:val="28"/>
        </w:rPr>
        <w:t>у</w:t>
      </w:r>
      <w:r w:rsidRPr="00EA7205">
        <w:rPr>
          <w:szCs w:val="28"/>
        </w:rPr>
        <w:t xml:space="preserve"> </w:t>
      </w:r>
      <w:r>
        <w:rPr>
          <w:szCs w:val="28"/>
        </w:rPr>
        <w:t xml:space="preserve">у формуванні тромбу. Так, наприклад, відомо, що вітронектин тромбоцитів посилює агрегацію тромбоцитів, сприяючи виникненню тромбозу та рецидивів ГІМ. </w:t>
      </w:r>
      <w:r w:rsidRPr="0013786E">
        <w:rPr>
          <w:szCs w:val="28"/>
        </w:rPr>
        <w:t>[</w:t>
      </w:r>
      <w:r>
        <w:rPr>
          <w:szCs w:val="28"/>
        </w:rPr>
        <w:t>110</w:t>
      </w:r>
      <w:r w:rsidRPr="0013786E">
        <w:rPr>
          <w:szCs w:val="28"/>
        </w:rPr>
        <w:t>]</w:t>
      </w:r>
      <w:r>
        <w:rPr>
          <w:szCs w:val="28"/>
        </w:rPr>
        <w:t>. Також в</w:t>
      </w:r>
      <w:r w:rsidRPr="00792328">
        <w:rPr>
          <w:szCs w:val="28"/>
        </w:rPr>
        <w:t xml:space="preserve">становлений зв'язок між змістом </w:t>
      </w:r>
      <w:r>
        <w:rPr>
          <w:szCs w:val="28"/>
        </w:rPr>
        <w:t>вітронектину</w:t>
      </w:r>
      <w:r w:rsidRPr="00792328">
        <w:rPr>
          <w:szCs w:val="28"/>
        </w:rPr>
        <w:t xml:space="preserve"> в плазмі крові з тяжкістю атеросклеротичного ураження артерій і ризиком виникнення </w:t>
      </w:r>
      <w:r>
        <w:rPr>
          <w:szCs w:val="28"/>
        </w:rPr>
        <w:t>ІХС</w:t>
      </w:r>
      <w:r w:rsidRPr="00792328">
        <w:rPr>
          <w:szCs w:val="28"/>
        </w:rPr>
        <w:t xml:space="preserve"> [</w:t>
      </w:r>
      <w:r>
        <w:rPr>
          <w:szCs w:val="28"/>
        </w:rPr>
        <w:t>105</w:t>
      </w:r>
      <w:r w:rsidRPr="00792328">
        <w:rPr>
          <w:szCs w:val="28"/>
        </w:rPr>
        <w:t>]. Крім того, в</w:t>
      </w:r>
      <w:r>
        <w:rPr>
          <w:szCs w:val="28"/>
        </w:rPr>
        <w:t>і</w:t>
      </w:r>
      <w:r w:rsidRPr="00792328">
        <w:rPr>
          <w:szCs w:val="28"/>
        </w:rPr>
        <w:t>тронектин в деякій мірі опосередкує результативніс</w:t>
      </w:r>
      <w:r>
        <w:rPr>
          <w:szCs w:val="28"/>
        </w:rPr>
        <w:t>ть антиагрегантної терапії. Так</w:t>
      </w:r>
      <w:r w:rsidRPr="00792328">
        <w:rPr>
          <w:szCs w:val="28"/>
        </w:rPr>
        <w:t xml:space="preserve"> моноклональні антитіла до IIb/IIIa рецептор</w:t>
      </w:r>
      <w:r>
        <w:rPr>
          <w:szCs w:val="28"/>
        </w:rPr>
        <w:t>ів</w:t>
      </w:r>
      <w:r w:rsidRPr="00792328">
        <w:rPr>
          <w:szCs w:val="28"/>
        </w:rPr>
        <w:t xml:space="preserve"> тромбоцитів (абциксимаб) здатні </w:t>
      </w:r>
      <w:r>
        <w:rPr>
          <w:szCs w:val="28"/>
        </w:rPr>
        <w:t>знижувати</w:t>
      </w:r>
      <w:r w:rsidRPr="00792328">
        <w:rPr>
          <w:szCs w:val="28"/>
        </w:rPr>
        <w:t xml:space="preserve"> </w:t>
      </w:r>
      <w:r>
        <w:rPr>
          <w:szCs w:val="28"/>
        </w:rPr>
        <w:t xml:space="preserve">відгук </w:t>
      </w:r>
      <w:r w:rsidRPr="00792328">
        <w:rPr>
          <w:szCs w:val="28"/>
        </w:rPr>
        <w:t>ендотеліальн</w:t>
      </w:r>
      <w:r>
        <w:rPr>
          <w:szCs w:val="28"/>
        </w:rPr>
        <w:t xml:space="preserve">их </w:t>
      </w:r>
      <w:r w:rsidRPr="00792328">
        <w:rPr>
          <w:szCs w:val="28"/>
        </w:rPr>
        <w:t xml:space="preserve">рецепторів до </w:t>
      </w:r>
      <w:r>
        <w:rPr>
          <w:szCs w:val="28"/>
        </w:rPr>
        <w:t xml:space="preserve">вітронектину [108]. </w:t>
      </w:r>
    </w:p>
    <w:p w:rsidR="00577727" w:rsidRDefault="00577727" w:rsidP="00577727">
      <w:pPr>
        <w:autoSpaceDE w:val="0"/>
        <w:autoSpaceDN w:val="0"/>
        <w:adjustRightInd w:val="0"/>
        <w:spacing w:after="0" w:line="360" w:lineRule="auto"/>
        <w:ind w:left="-284" w:firstLine="708"/>
        <w:jc w:val="both"/>
        <w:rPr>
          <w:szCs w:val="28"/>
        </w:rPr>
      </w:pPr>
      <w:r>
        <w:rPr>
          <w:szCs w:val="28"/>
        </w:rPr>
        <w:t>У дослідженні</w:t>
      </w:r>
      <w:r w:rsidRPr="00DC7D6E">
        <w:rPr>
          <w:szCs w:val="28"/>
        </w:rPr>
        <w:t xml:space="preserve"> EPISTENT (Evaluation of Platelet IIb/IIIa Inhibitor for Stenting) </w:t>
      </w:r>
      <w:r>
        <w:rPr>
          <w:szCs w:val="28"/>
        </w:rPr>
        <w:t>зростання</w:t>
      </w:r>
      <w:r w:rsidRPr="00DC7D6E">
        <w:rPr>
          <w:szCs w:val="28"/>
        </w:rPr>
        <w:t xml:space="preserve"> концентрац</w:t>
      </w:r>
      <w:r>
        <w:rPr>
          <w:szCs w:val="28"/>
        </w:rPr>
        <w:t>ії</w:t>
      </w:r>
      <w:r w:rsidRPr="00DC7D6E">
        <w:rPr>
          <w:szCs w:val="28"/>
        </w:rPr>
        <w:t xml:space="preserve"> </w:t>
      </w:r>
      <w:r>
        <w:rPr>
          <w:szCs w:val="28"/>
        </w:rPr>
        <w:t>вітронектину</w:t>
      </w:r>
      <w:r w:rsidRPr="00DC7D6E">
        <w:rPr>
          <w:szCs w:val="28"/>
        </w:rPr>
        <w:t xml:space="preserve"> в плазм</w:t>
      </w:r>
      <w:r>
        <w:rPr>
          <w:szCs w:val="28"/>
        </w:rPr>
        <w:t>і</w:t>
      </w:r>
      <w:r w:rsidRPr="00DC7D6E">
        <w:rPr>
          <w:szCs w:val="28"/>
        </w:rPr>
        <w:t xml:space="preserve"> кров</w:t>
      </w:r>
      <w:r>
        <w:rPr>
          <w:szCs w:val="28"/>
        </w:rPr>
        <w:t>і</w:t>
      </w:r>
      <w:r w:rsidRPr="00DC7D6E">
        <w:rPr>
          <w:szCs w:val="28"/>
        </w:rPr>
        <w:t xml:space="preserve"> </w:t>
      </w:r>
      <w:r>
        <w:rPr>
          <w:szCs w:val="28"/>
        </w:rPr>
        <w:t>мало потужний зв’</w:t>
      </w:r>
      <w:r w:rsidRPr="00DC7D6E">
        <w:rPr>
          <w:szCs w:val="28"/>
        </w:rPr>
        <w:t>язок з показ</w:t>
      </w:r>
      <w:r>
        <w:rPr>
          <w:szCs w:val="28"/>
        </w:rPr>
        <w:t>никами</w:t>
      </w:r>
      <w:r w:rsidRPr="00DC7D6E">
        <w:rPr>
          <w:szCs w:val="28"/>
        </w:rPr>
        <w:t xml:space="preserve"> 30-</w:t>
      </w:r>
      <w:r>
        <w:rPr>
          <w:szCs w:val="28"/>
        </w:rPr>
        <w:t>денної та</w:t>
      </w:r>
      <w:r w:rsidRPr="00DC7D6E">
        <w:rPr>
          <w:szCs w:val="28"/>
        </w:rPr>
        <w:t xml:space="preserve"> 6-м</w:t>
      </w:r>
      <w:r>
        <w:rPr>
          <w:szCs w:val="28"/>
        </w:rPr>
        <w:t>і</w:t>
      </w:r>
      <w:r w:rsidRPr="00DC7D6E">
        <w:rPr>
          <w:szCs w:val="28"/>
        </w:rPr>
        <w:t>сячно</w:t>
      </w:r>
      <w:r>
        <w:rPr>
          <w:szCs w:val="28"/>
        </w:rPr>
        <w:t>ї</w:t>
      </w:r>
      <w:r w:rsidRPr="00DC7D6E">
        <w:rPr>
          <w:szCs w:val="28"/>
        </w:rPr>
        <w:t xml:space="preserve"> смертност</w:t>
      </w:r>
      <w:r>
        <w:rPr>
          <w:szCs w:val="28"/>
        </w:rPr>
        <w:t>і та ризиком виникнення ГІМ після виконання ангіопластики [109].</w:t>
      </w:r>
    </w:p>
    <w:p w:rsidR="00577727" w:rsidRPr="00B85B48" w:rsidRDefault="00577727" w:rsidP="00577727">
      <w:pPr>
        <w:autoSpaceDE w:val="0"/>
        <w:autoSpaceDN w:val="0"/>
        <w:adjustRightInd w:val="0"/>
        <w:spacing w:after="0" w:line="360" w:lineRule="auto"/>
        <w:ind w:left="-284" w:firstLine="708"/>
        <w:jc w:val="both"/>
        <w:rPr>
          <w:szCs w:val="28"/>
        </w:rPr>
      </w:pPr>
      <w:r>
        <w:rPr>
          <w:szCs w:val="28"/>
        </w:rPr>
        <w:t>В останні роки увагу дослідників привертає вивчення</w:t>
      </w:r>
      <w:r w:rsidRPr="00B85B48">
        <w:rPr>
          <w:szCs w:val="28"/>
        </w:rPr>
        <w:t xml:space="preserve"> впливу </w:t>
      </w:r>
      <w:r>
        <w:rPr>
          <w:szCs w:val="28"/>
        </w:rPr>
        <w:t>біомаркерів ураження міокарда</w:t>
      </w:r>
      <w:r w:rsidRPr="00B85B48">
        <w:rPr>
          <w:szCs w:val="28"/>
        </w:rPr>
        <w:t xml:space="preserve"> на розвиток ускладнень ССЗ у хворих з підвищеною </w:t>
      </w:r>
      <w:r>
        <w:rPr>
          <w:szCs w:val="28"/>
        </w:rPr>
        <w:t>мас</w:t>
      </w:r>
      <w:r w:rsidRPr="00B85B48">
        <w:rPr>
          <w:szCs w:val="28"/>
        </w:rPr>
        <w:t>ою тіла [</w:t>
      </w:r>
      <w:r w:rsidRPr="00561B65">
        <w:rPr>
          <w:szCs w:val="28"/>
        </w:rPr>
        <w:t>35</w:t>
      </w:r>
      <w:r w:rsidRPr="00B85B48">
        <w:rPr>
          <w:szCs w:val="28"/>
        </w:rPr>
        <w:t>]</w:t>
      </w:r>
      <w:r>
        <w:rPr>
          <w:szCs w:val="28"/>
        </w:rPr>
        <w:t>. Проте недостатньо вивченим залишається питання щодо ефектів наявності метаболічних розладів, а саме ожиріння, на динаміку вітронектину у хворих з ГІМ залежно від наявності ускладнень.</w:t>
      </w:r>
    </w:p>
    <w:p w:rsidR="00577727" w:rsidRPr="006B554F" w:rsidRDefault="00577727" w:rsidP="00577727">
      <w:pPr>
        <w:autoSpaceDE w:val="0"/>
        <w:autoSpaceDN w:val="0"/>
        <w:adjustRightInd w:val="0"/>
        <w:spacing w:after="0" w:line="360" w:lineRule="auto"/>
        <w:ind w:left="-284" w:firstLine="708"/>
        <w:jc w:val="both"/>
        <w:rPr>
          <w:szCs w:val="28"/>
        </w:rPr>
      </w:pPr>
      <w:r>
        <w:rPr>
          <w:szCs w:val="28"/>
        </w:rPr>
        <w:lastRenderedPageBreak/>
        <w:t>Результати дослідженнь останніх років продемонстрували також важливу роль галектину-3, представника сімейства лектинів, як інтегруючої ланки між процесами запалення і фіброзу, що є основою ремоделювання міокарда [147]</w:t>
      </w:r>
    </w:p>
    <w:p w:rsidR="00577727" w:rsidRPr="00262169" w:rsidRDefault="00577727" w:rsidP="00577727">
      <w:pPr>
        <w:autoSpaceDE w:val="0"/>
        <w:autoSpaceDN w:val="0"/>
        <w:adjustRightInd w:val="0"/>
        <w:spacing w:after="0" w:line="360" w:lineRule="auto"/>
        <w:ind w:left="-284" w:firstLine="708"/>
        <w:jc w:val="both"/>
        <w:rPr>
          <w:szCs w:val="28"/>
        </w:rPr>
      </w:pPr>
      <w:r w:rsidRPr="00D13D18">
        <w:rPr>
          <w:szCs w:val="28"/>
        </w:rPr>
        <w:t xml:space="preserve">Для </w:t>
      </w:r>
      <w:r>
        <w:rPr>
          <w:szCs w:val="28"/>
        </w:rPr>
        <w:t>галектину-3</w:t>
      </w:r>
      <w:r w:rsidRPr="00D13D18">
        <w:rPr>
          <w:szCs w:val="28"/>
        </w:rPr>
        <w:t xml:space="preserve"> характерні численні аутокринні і паракринні властивості. Він відповідальний за активац</w:t>
      </w:r>
      <w:r>
        <w:rPr>
          <w:szCs w:val="28"/>
        </w:rPr>
        <w:t>ію нейтрофілів, T-</w:t>
      </w:r>
      <w:r w:rsidRPr="00D13D18">
        <w:rPr>
          <w:szCs w:val="28"/>
        </w:rPr>
        <w:t xml:space="preserve">клітин, регуляцію клітин адгезії, запуск апоптозу </w:t>
      </w:r>
      <w:r>
        <w:rPr>
          <w:szCs w:val="28"/>
        </w:rPr>
        <w:t>та ангіогенезу [50].</w:t>
      </w:r>
      <w:r w:rsidRPr="00D13D18">
        <w:rPr>
          <w:szCs w:val="28"/>
        </w:rPr>
        <w:t xml:space="preserve"> Залежно від типу клітин і балансу між екстрацелюлярним </w:t>
      </w:r>
      <w:r>
        <w:rPr>
          <w:szCs w:val="28"/>
        </w:rPr>
        <w:t>та і</w:t>
      </w:r>
      <w:r w:rsidRPr="00D13D18">
        <w:rPr>
          <w:szCs w:val="28"/>
        </w:rPr>
        <w:t>нтрацелюлярн</w:t>
      </w:r>
      <w:r>
        <w:rPr>
          <w:szCs w:val="28"/>
        </w:rPr>
        <w:t>и</w:t>
      </w:r>
      <w:r w:rsidRPr="00D13D18">
        <w:rPr>
          <w:szCs w:val="28"/>
        </w:rPr>
        <w:t xml:space="preserve">м змістом </w:t>
      </w:r>
      <w:r>
        <w:rPr>
          <w:szCs w:val="28"/>
        </w:rPr>
        <w:t>галактин-3</w:t>
      </w:r>
      <w:r w:rsidRPr="00D13D18">
        <w:rPr>
          <w:szCs w:val="28"/>
        </w:rPr>
        <w:t xml:space="preserve"> здатний як </w:t>
      </w:r>
      <w:r>
        <w:rPr>
          <w:szCs w:val="28"/>
        </w:rPr>
        <w:t>інгібувати</w:t>
      </w:r>
      <w:r w:rsidRPr="00D13D18">
        <w:rPr>
          <w:szCs w:val="28"/>
        </w:rPr>
        <w:t>, так і індукувати зростання і диференціацію клітин</w:t>
      </w:r>
      <w:r>
        <w:rPr>
          <w:szCs w:val="28"/>
        </w:rPr>
        <w:t xml:space="preserve"> </w:t>
      </w:r>
      <w:r w:rsidRPr="00262169">
        <w:rPr>
          <w:szCs w:val="28"/>
        </w:rPr>
        <w:t>[</w:t>
      </w:r>
      <w:r>
        <w:rPr>
          <w:szCs w:val="28"/>
        </w:rPr>
        <w:t>48</w:t>
      </w:r>
      <w:r w:rsidRPr="00262169">
        <w:rPr>
          <w:szCs w:val="28"/>
        </w:rPr>
        <w:t>]</w:t>
      </w:r>
      <w:r>
        <w:rPr>
          <w:szCs w:val="28"/>
        </w:rPr>
        <w:t>.</w:t>
      </w:r>
    </w:p>
    <w:p w:rsidR="00577727" w:rsidRPr="00171627" w:rsidRDefault="00577727" w:rsidP="00577727">
      <w:pPr>
        <w:autoSpaceDE w:val="0"/>
        <w:autoSpaceDN w:val="0"/>
        <w:adjustRightInd w:val="0"/>
        <w:spacing w:after="0" w:line="360" w:lineRule="auto"/>
        <w:ind w:left="-284" w:firstLine="708"/>
        <w:jc w:val="both"/>
        <w:rPr>
          <w:szCs w:val="28"/>
        </w:rPr>
      </w:pPr>
      <w:r w:rsidRPr="00171627">
        <w:rPr>
          <w:szCs w:val="28"/>
        </w:rPr>
        <w:t>Існують поодинокі дослідження щодо участі лектинів у розвитку метаболічних порушень, а саме ожиріння [</w:t>
      </w:r>
      <w:r>
        <w:rPr>
          <w:szCs w:val="28"/>
        </w:rPr>
        <w:t>91</w:t>
      </w:r>
      <w:r w:rsidRPr="00171627">
        <w:rPr>
          <w:szCs w:val="28"/>
        </w:rPr>
        <w:t xml:space="preserve">], проте </w:t>
      </w:r>
      <w:r>
        <w:rPr>
          <w:szCs w:val="28"/>
        </w:rPr>
        <w:t>недостатня кількість достовірної інформації є стимулом для подальшого наукового пошуку.</w:t>
      </w:r>
    </w:p>
    <w:p w:rsidR="00577727" w:rsidRPr="00820D6D" w:rsidRDefault="00577727" w:rsidP="00577727">
      <w:pPr>
        <w:autoSpaceDE w:val="0"/>
        <w:autoSpaceDN w:val="0"/>
        <w:adjustRightInd w:val="0"/>
        <w:spacing w:after="0" w:line="360" w:lineRule="auto"/>
        <w:ind w:left="-284" w:firstLine="708"/>
        <w:jc w:val="both"/>
        <w:rPr>
          <w:szCs w:val="28"/>
        </w:rPr>
      </w:pPr>
      <w:r>
        <w:rPr>
          <w:szCs w:val="28"/>
        </w:rPr>
        <w:t>На сьогодні є дослідження, що вказують на тісний зв’</w:t>
      </w:r>
      <w:r w:rsidRPr="00820D6D">
        <w:rPr>
          <w:szCs w:val="28"/>
        </w:rPr>
        <w:t xml:space="preserve">язок рівня </w:t>
      </w:r>
      <w:r>
        <w:rPr>
          <w:szCs w:val="28"/>
        </w:rPr>
        <w:t>галектину</w:t>
      </w:r>
      <w:r w:rsidRPr="00820D6D">
        <w:rPr>
          <w:szCs w:val="28"/>
        </w:rPr>
        <w:t>-3 з</w:t>
      </w:r>
      <w:r>
        <w:rPr>
          <w:szCs w:val="28"/>
        </w:rPr>
        <w:t xml:space="preserve"> виникненням небажаних наслідків у хворих з</w:t>
      </w:r>
      <w:r w:rsidRPr="00820D6D">
        <w:rPr>
          <w:szCs w:val="28"/>
        </w:rPr>
        <w:t xml:space="preserve"> гострим коронарним синдромом [</w:t>
      </w:r>
      <w:r>
        <w:rPr>
          <w:szCs w:val="28"/>
        </w:rPr>
        <w:t>123</w:t>
      </w:r>
      <w:r w:rsidRPr="00820D6D">
        <w:rPr>
          <w:szCs w:val="28"/>
        </w:rPr>
        <w:t>]</w:t>
      </w:r>
      <w:r>
        <w:rPr>
          <w:szCs w:val="28"/>
        </w:rPr>
        <w:t>, але клінічне значення цього показника як біомаркера ускладнень ГІМ представлене лише у декількох наукових працях та потребує більш детального вивчення.</w:t>
      </w:r>
    </w:p>
    <w:p w:rsidR="00577727" w:rsidRDefault="00577727" w:rsidP="00577727">
      <w:pPr>
        <w:spacing w:after="0" w:line="360" w:lineRule="auto"/>
        <w:ind w:left="-284" w:firstLine="708"/>
        <w:jc w:val="both"/>
        <w:rPr>
          <w:szCs w:val="28"/>
        </w:rPr>
      </w:pPr>
      <w:r w:rsidRPr="000317B0">
        <w:rPr>
          <w:szCs w:val="28"/>
        </w:rPr>
        <w:t xml:space="preserve">Дана галузь медичних досліджень є актуальною і перспективною, оскільки на сучасному етапі біологічні і патофізіологічні ефекти </w:t>
      </w:r>
      <w:r>
        <w:rPr>
          <w:szCs w:val="28"/>
        </w:rPr>
        <w:t>вітронектину та галектину-3</w:t>
      </w:r>
      <w:r w:rsidRPr="000317B0">
        <w:rPr>
          <w:szCs w:val="28"/>
        </w:rPr>
        <w:t xml:space="preserve"> в організмі людини остаточно не з'ясовані і вищезазначена проблематика залишається темою наукових дискусій. Суперечливість даних досліджень вимагає пошуку нових достовірних фактів, які можуть сприяти створенню нових раціональних </w:t>
      </w:r>
      <w:r>
        <w:rPr>
          <w:szCs w:val="28"/>
        </w:rPr>
        <w:t xml:space="preserve">парадигм діагностики та прогнозування </w:t>
      </w:r>
      <w:r w:rsidRPr="000317B0">
        <w:rPr>
          <w:szCs w:val="28"/>
        </w:rPr>
        <w:t>перебігу ГІМ у хворих з супутнім ожирінням.</w:t>
      </w:r>
    </w:p>
    <w:p w:rsidR="00577727" w:rsidRPr="00273A73" w:rsidRDefault="00577727" w:rsidP="00577727">
      <w:pPr>
        <w:spacing w:after="0" w:line="360" w:lineRule="auto"/>
        <w:ind w:left="-284" w:firstLine="720"/>
        <w:jc w:val="both"/>
        <w:rPr>
          <w:rFonts w:eastAsia="Times New Roman"/>
          <w:i/>
          <w:szCs w:val="28"/>
          <w:lang w:eastAsia="ru-RU"/>
        </w:rPr>
      </w:pPr>
      <w:r w:rsidRPr="00C04C1E">
        <w:rPr>
          <w:rFonts w:eastAsia="Times New Roman"/>
          <w:b/>
          <w:szCs w:val="28"/>
          <w:lang w:eastAsia="ru-RU"/>
        </w:rPr>
        <w:t>Зв’язок роботи з науковими програмами, планами, темами</w:t>
      </w:r>
      <w:r>
        <w:rPr>
          <w:rFonts w:eastAsia="Times New Roman"/>
          <w:i/>
          <w:szCs w:val="28"/>
          <w:lang w:eastAsia="ru-RU"/>
        </w:rPr>
        <w:t xml:space="preserve">. </w:t>
      </w:r>
      <w:r w:rsidRPr="00C04C1E">
        <w:rPr>
          <w:rFonts w:eastAsia="Times New Roman"/>
          <w:szCs w:val="28"/>
          <w:lang w:eastAsia="ru-RU"/>
        </w:rPr>
        <w:t>Дисертація є фрагментом науково-дослідн</w:t>
      </w:r>
      <w:r w:rsidRPr="00DD304E">
        <w:rPr>
          <w:rFonts w:eastAsia="Times New Roman"/>
          <w:szCs w:val="28"/>
          <w:lang w:eastAsia="ru-RU"/>
        </w:rPr>
        <w:t>их</w:t>
      </w:r>
      <w:r w:rsidRPr="00C04C1E">
        <w:rPr>
          <w:rFonts w:eastAsia="Times New Roman"/>
          <w:szCs w:val="28"/>
          <w:lang w:eastAsia="ru-RU"/>
        </w:rPr>
        <w:t xml:space="preserve"> роб</w:t>
      </w:r>
      <w:r>
        <w:rPr>
          <w:rFonts w:eastAsia="Times New Roman"/>
          <w:szCs w:val="28"/>
          <w:lang w:eastAsia="ru-RU"/>
        </w:rPr>
        <w:t>іт</w:t>
      </w:r>
      <w:r w:rsidRPr="00C04C1E">
        <w:rPr>
          <w:rFonts w:eastAsia="Times New Roman"/>
          <w:szCs w:val="28"/>
          <w:lang w:eastAsia="ru-RU"/>
        </w:rPr>
        <w:t xml:space="preserve"> к</w:t>
      </w:r>
      <w:r>
        <w:rPr>
          <w:rFonts w:eastAsia="Times New Roman"/>
          <w:szCs w:val="28"/>
          <w:lang w:eastAsia="ru-RU"/>
        </w:rPr>
        <w:t>афедри внутрішньої медицини № 2,</w:t>
      </w:r>
      <w:r w:rsidRPr="00C04C1E">
        <w:rPr>
          <w:rFonts w:eastAsia="Times New Roman"/>
          <w:szCs w:val="28"/>
          <w:lang w:eastAsia="ru-RU"/>
        </w:rPr>
        <w:t xml:space="preserve"> клінічної імунології та алергології</w:t>
      </w:r>
      <w:r>
        <w:rPr>
          <w:rFonts w:eastAsia="Times New Roman"/>
          <w:szCs w:val="28"/>
          <w:lang w:eastAsia="ru-RU"/>
        </w:rPr>
        <w:t xml:space="preserve"> імені академіка Л.Т. Малої</w:t>
      </w:r>
      <w:r w:rsidRPr="00C04C1E">
        <w:rPr>
          <w:rFonts w:eastAsia="Times New Roman"/>
          <w:szCs w:val="28"/>
          <w:lang w:eastAsia="ru-RU"/>
        </w:rPr>
        <w:t xml:space="preserve"> Харківського національного медичного університета МОЗ України «Профібротичні імунозапальні фактори і анемічний синдром як маркери прогнозу у хворих на хронічну серцеву недостатність при ішемічній хворобі серця і цукровий діабет в рамках кардіоренального континуума (№ дер</w:t>
      </w:r>
      <w:r w:rsidR="00F5099E">
        <w:rPr>
          <w:rFonts w:eastAsia="Times New Roman"/>
          <w:szCs w:val="28"/>
          <w:lang w:eastAsia="ru-RU"/>
        </w:rPr>
        <w:t>жреєстрації 0111U003389; 2014-</w:t>
      </w:r>
      <w:r w:rsidRPr="00C04C1E">
        <w:rPr>
          <w:rFonts w:eastAsia="Times New Roman"/>
          <w:szCs w:val="28"/>
          <w:lang w:eastAsia="ru-RU"/>
        </w:rPr>
        <w:t>2016 рр.)</w:t>
      </w:r>
      <w:r w:rsidRPr="00DD304E">
        <w:rPr>
          <w:rFonts w:eastAsia="Times New Roman"/>
          <w:szCs w:val="28"/>
          <w:lang w:eastAsia="ru-RU"/>
        </w:rPr>
        <w:t>, «Ішемічна хвороба серця в умовах поліморбідності: патогенетичні аспекти розвитку, перебігу, діагностики й удосконалення лікування» (</w:t>
      </w:r>
      <w:r>
        <w:rPr>
          <w:rFonts w:eastAsia="Times New Roman"/>
          <w:szCs w:val="28"/>
          <w:lang w:eastAsia="ru-RU"/>
        </w:rPr>
        <w:t xml:space="preserve">№ держреєстрації </w:t>
      </w:r>
      <w:r>
        <w:rPr>
          <w:rFonts w:eastAsia="Times New Roman"/>
          <w:szCs w:val="28"/>
          <w:lang w:eastAsia="ru-RU"/>
        </w:rPr>
        <w:lastRenderedPageBreak/>
        <w:t xml:space="preserve">0118U000929; </w:t>
      </w:r>
      <w:r w:rsidRPr="00DD304E">
        <w:rPr>
          <w:rFonts w:eastAsia="Times New Roman"/>
          <w:szCs w:val="28"/>
          <w:lang w:eastAsia="ru-RU"/>
        </w:rPr>
        <w:t>2017-2019 рр.).</w:t>
      </w:r>
      <w:r w:rsidRPr="00C04C1E">
        <w:rPr>
          <w:rFonts w:eastAsia="Times New Roman"/>
          <w:szCs w:val="28"/>
          <w:lang w:eastAsia="ru-RU"/>
        </w:rPr>
        <w:t xml:space="preserve"> </w:t>
      </w:r>
      <w:r w:rsidRPr="005E38EF">
        <w:rPr>
          <w:rFonts w:eastAsia="Times New Roman"/>
          <w:szCs w:val="28"/>
          <w:lang w:eastAsia="ru-RU"/>
        </w:rPr>
        <w:t xml:space="preserve">Здобувачем </w:t>
      </w:r>
      <w:r>
        <w:rPr>
          <w:szCs w:val="28"/>
        </w:rPr>
        <w:t xml:space="preserve">проведено патентно-інформаційний пошук за темою, </w:t>
      </w:r>
      <w:r w:rsidRPr="005E38EF">
        <w:rPr>
          <w:rFonts w:eastAsia="Times New Roman"/>
          <w:szCs w:val="28"/>
          <w:lang w:eastAsia="ru-RU"/>
        </w:rPr>
        <w:t>виконаний набір хворих, аналіз джерел літератури, статистична обробка даних.</w:t>
      </w:r>
    </w:p>
    <w:p w:rsidR="00577727" w:rsidRDefault="00577727" w:rsidP="00577727">
      <w:pPr>
        <w:autoSpaceDE w:val="0"/>
        <w:autoSpaceDN w:val="0"/>
        <w:adjustRightInd w:val="0"/>
        <w:spacing w:after="0" w:line="360" w:lineRule="auto"/>
        <w:ind w:left="-284" w:firstLine="708"/>
        <w:jc w:val="both"/>
        <w:rPr>
          <w:szCs w:val="28"/>
        </w:rPr>
      </w:pPr>
      <w:r w:rsidRPr="000317B0">
        <w:rPr>
          <w:b/>
          <w:szCs w:val="28"/>
        </w:rPr>
        <w:t>Мета</w:t>
      </w:r>
      <w:r>
        <w:rPr>
          <w:b/>
          <w:szCs w:val="28"/>
        </w:rPr>
        <w:t xml:space="preserve"> і завдання дослідження. </w:t>
      </w:r>
      <w:r>
        <w:rPr>
          <w:szCs w:val="28"/>
        </w:rPr>
        <w:t xml:space="preserve">Метою дослідження є </w:t>
      </w:r>
      <w:r w:rsidRPr="000317B0">
        <w:rPr>
          <w:szCs w:val="28"/>
        </w:rPr>
        <w:t xml:space="preserve">підвищення ефективності діагностики і лікування хворих на </w:t>
      </w:r>
      <w:r>
        <w:rPr>
          <w:szCs w:val="28"/>
        </w:rPr>
        <w:t>гострий інфаркт міокарда</w:t>
      </w:r>
      <w:r w:rsidRPr="000317B0">
        <w:rPr>
          <w:szCs w:val="28"/>
        </w:rPr>
        <w:t xml:space="preserve"> із супутнім ожирінням на підставі оцінки активності </w:t>
      </w:r>
      <w:r>
        <w:rPr>
          <w:szCs w:val="28"/>
        </w:rPr>
        <w:t>вітронектину та галектину-3</w:t>
      </w:r>
      <w:r w:rsidRPr="000317B0">
        <w:rPr>
          <w:szCs w:val="28"/>
        </w:rPr>
        <w:t xml:space="preserve">, а також дослідження </w:t>
      </w:r>
      <w:r w:rsidRPr="00955B87">
        <w:rPr>
          <w:szCs w:val="28"/>
        </w:rPr>
        <w:t>їх</w:t>
      </w:r>
      <w:r w:rsidRPr="000317B0">
        <w:rPr>
          <w:szCs w:val="28"/>
        </w:rPr>
        <w:t xml:space="preserve"> прогностичного значення у розвитку несприятливого перебігу </w:t>
      </w:r>
      <w:r>
        <w:rPr>
          <w:szCs w:val="28"/>
        </w:rPr>
        <w:t>гострого інфаркту міокарда</w:t>
      </w:r>
      <w:r w:rsidRPr="000317B0">
        <w:rPr>
          <w:szCs w:val="28"/>
        </w:rPr>
        <w:t>.</w:t>
      </w:r>
    </w:p>
    <w:p w:rsidR="00577727" w:rsidRPr="00C04C1E" w:rsidRDefault="00577727" w:rsidP="00577727">
      <w:pPr>
        <w:spacing w:after="0" w:line="360" w:lineRule="auto"/>
        <w:ind w:left="-284" w:firstLine="720"/>
        <w:jc w:val="both"/>
        <w:rPr>
          <w:rFonts w:eastAsia="Times New Roman"/>
          <w:szCs w:val="28"/>
          <w:lang w:eastAsia="ru-RU"/>
        </w:rPr>
      </w:pPr>
      <w:r w:rsidRPr="00C04C1E">
        <w:rPr>
          <w:rFonts w:eastAsia="Times New Roman"/>
          <w:szCs w:val="28"/>
          <w:lang w:eastAsia="ru-RU"/>
        </w:rPr>
        <w:t>Виходячи з поставленої мети, визначено такі основні завдання дослідження:</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 xml:space="preserve">Вивчити плазматичну активність вітронектину, галектину-3, рівні тропоніну І, антропометричних параметрів, показників ліпідного профіля, функціонального стану нирок та зміни параметрів якості життя у хворих на ГІМ з супутнім ожирінням та без нього. </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Дослідити морфо-функціональні показники міокарда та стан коронарних артерій у  хворих на гострий інфаркт міокарда із супутнім ожирінням та без нього, а також проаналізувати взаємозв’язок вітронектину та галектину-3 з тяжкістю та характером ураження коронарних артерій.</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Оцінити наявність та характер взаємозв’язків між вітронектином та галектином-3, показниками кардіогемодинаміки, якості життя, ліпідного профілю, атропометричними параметрами у хворих на гострий інфаркт міокарда з супутнім ожирінням.</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Проаналізувати динаміку маркерів галектину-3 та вітронектину, параметрів якості життя у хворих з ожирінням після перенесеного інфаркту міокарда залежно від метода реперфузії на тлі подвійної антитромбоцитарної терапії з використанням ацетилсаліцилової кислоти та клопідогрелю або тикагрелору.</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 xml:space="preserve">Провести стратифікацію ризику повторних кардіоваскулярних подій після перенесеного інфаркту міокарда у хворих з ожирінням на підставі визначення вітронектину та галектину-3, антропометричних показників, рутинних лабораторних маркерів. </w:t>
      </w:r>
    </w:p>
    <w:p w:rsidR="00577727" w:rsidRPr="00741D18" w:rsidRDefault="00577727" w:rsidP="00577727">
      <w:pPr>
        <w:pStyle w:val="a3"/>
        <w:shd w:val="clear" w:color="auto" w:fill="FFFFFF"/>
        <w:autoSpaceDE w:val="0"/>
        <w:autoSpaceDN w:val="0"/>
        <w:adjustRightInd w:val="0"/>
        <w:spacing w:after="0" w:line="360" w:lineRule="auto"/>
        <w:ind w:left="-284" w:right="1" w:firstLine="567"/>
        <w:jc w:val="both"/>
        <w:rPr>
          <w:rFonts w:eastAsia="Times New Roman"/>
          <w:spacing w:val="-7"/>
          <w:szCs w:val="20"/>
          <w:lang w:eastAsia="ru-RU"/>
        </w:rPr>
      </w:pPr>
      <w:r w:rsidRPr="00741D18">
        <w:rPr>
          <w:rFonts w:eastAsia="Times New Roman"/>
          <w:i/>
          <w:spacing w:val="-7"/>
          <w:szCs w:val="20"/>
          <w:lang w:eastAsia="ru-RU"/>
        </w:rPr>
        <w:t xml:space="preserve">Об'єкт дослідження: </w:t>
      </w:r>
      <w:r>
        <w:rPr>
          <w:rFonts w:eastAsia="Times New Roman"/>
          <w:spacing w:val="-7"/>
          <w:szCs w:val="20"/>
          <w:lang w:eastAsia="ru-RU"/>
        </w:rPr>
        <w:t>гострий інфаркт міокарда</w:t>
      </w:r>
      <w:r w:rsidRPr="00741D18">
        <w:rPr>
          <w:rFonts w:eastAsia="Times New Roman"/>
          <w:spacing w:val="-7"/>
          <w:szCs w:val="20"/>
          <w:lang w:eastAsia="ru-RU"/>
        </w:rPr>
        <w:t xml:space="preserve"> з супутнім ожирінням.</w:t>
      </w:r>
    </w:p>
    <w:p w:rsidR="00577727" w:rsidRPr="00873A26" w:rsidRDefault="00577727" w:rsidP="00577727">
      <w:pPr>
        <w:shd w:val="clear" w:color="auto" w:fill="FFFFFF"/>
        <w:spacing w:after="0" w:line="360" w:lineRule="auto"/>
        <w:ind w:left="-284" w:right="1" w:firstLine="567"/>
        <w:jc w:val="both"/>
        <w:rPr>
          <w:rFonts w:eastAsia="Times New Roman"/>
          <w:spacing w:val="-7"/>
          <w:szCs w:val="20"/>
          <w:lang w:eastAsia="ru-RU"/>
        </w:rPr>
      </w:pPr>
      <w:r w:rsidRPr="00873A26">
        <w:rPr>
          <w:rFonts w:eastAsia="Times New Roman"/>
          <w:i/>
          <w:spacing w:val="-7"/>
          <w:szCs w:val="20"/>
          <w:lang w:eastAsia="ru-RU"/>
        </w:rPr>
        <w:lastRenderedPageBreak/>
        <w:t>Предмет дослідження:</w:t>
      </w:r>
      <w:r>
        <w:rPr>
          <w:rFonts w:eastAsia="Times New Roman"/>
          <w:i/>
          <w:spacing w:val="-7"/>
          <w:szCs w:val="20"/>
          <w:lang w:eastAsia="ru-RU"/>
        </w:rPr>
        <w:t xml:space="preserve"> </w:t>
      </w:r>
      <w:r>
        <w:rPr>
          <w:rFonts w:eastAsia="Times New Roman"/>
          <w:spacing w:val="-7"/>
          <w:szCs w:val="20"/>
          <w:lang w:eastAsia="ru-RU"/>
        </w:rPr>
        <w:t>маркер адгезії – вітронектин та маркер фіброгенезу – галектин-3, тропонін І, параметри кардіогемодинаміки, коронаровентрикулографії, антропометричні показники та</w:t>
      </w:r>
      <w:r w:rsidRPr="00873A26">
        <w:rPr>
          <w:rFonts w:eastAsia="Times New Roman"/>
          <w:spacing w:val="-7"/>
          <w:szCs w:val="20"/>
          <w:lang w:eastAsia="ru-RU"/>
        </w:rPr>
        <w:t xml:space="preserve"> показники </w:t>
      </w:r>
      <w:r>
        <w:rPr>
          <w:rFonts w:eastAsia="Times New Roman"/>
          <w:spacing w:val="-7"/>
          <w:szCs w:val="20"/>
          <w:lang w:eastAsia="ru-RU"/>
        </w:rPr>
        <w:t xml:space="preserve">ліпідного профілю. </w:t>
      </w:r>
    </w:p>
    <w:p w:rsidR="00577727" w:rsidRDefault="00577727" w:rsidP="00577727">
      <w:pPr>
        <w:shd w:val="clear" w:color="auto" w:fill="FFFFFF"/>
        <w:spacing w:after="0" w:line="360" w:lineRule="auto"/>
        <w:ind w:left="-284" w:right="1" w:firstLine="708"/>
        <w:jc w:val="both"/>
        <w:rPr>
          <w:rFonts w:eastAsia="Times New Roman"/>
          <w:spacing w:val="-7"/>
          <w:szCs w:val="20"/>
          <w:lang w:eastAsia="ru-RU"/>
        </w:rPr>
      </w:pPr>
      <w:r w:rsidRPr="00873A26">
        <w:rPr>
          <w:rFonts w:eastAsia="Times New Roman"/>
          <w:i/>
          <w:spacing w:val="-7"/>
          <w:szCs w:val="20"/>
          <w:lang w:eastAsia="ru-RU"/>
        </w:rPr>
        <w:t>Методи дослідження:</w:t>
      </w:r>
      <w:r w:rsidRPr="00873A26">
        <w:rPr>
          <w:rFonts w:eastAsia="Times New Roman"/>
          <w:spacing w:val="-7"/>
          <w:szCs w:val="20"/>
          <w:lang w:eastAsia="ru-RU"/>
        </w:rPr>
        <w:t xml:space="preserve"> загальноклінічні, біохімічні, імуноферментні, інструментальні, статистичні.</w:t>
      </w:r>
    </w:p>
    <w:p w:rsidR="00577727" w:rsidRPr="00130BDC" w:rsidRDefault="00577727" w:rsidP="00577727">
      <w:pPr>
        <w:spacing w:after="0" w:line="360" w:lineRule="auto"/>
        <w:ind w:left="-284" w:firstLine="567"/>
        <w:jc w:val="both"/>
      </w:pPr>
      <w:r w:rsidRPr="00755E61">
        <w:rPr>
          <w:b/>
        </w:rPr>
        <w:t>Наукова новизна:</w:t>
      </w:r>
      <w:r>
        <w:t xml:space="preserve"> Встановлено</w:t>
      </w:r>
      <w:r w:rsidRPr="00130BDC">
        <w:t xml:space="preserve"> роль вітронектину як маркера прогнозу виникнення повторних кардіоваскулярних подій протягом 6-місячного терміну спостереження за хворими після перенесеного інфаркту міокарда на тлі ожиріння.</w:t>
      </w:r>
    </w:p>
    <w:p w:rsidR="00577727" w:rsidRPr="00130BDC" w:rsidRDefault="00577727" w:rsidP="00577727">
      <w:pPr>
        <w:spacing w:after="0" w:line="360" w:lineRule="auto"/>
        <w:ind w:left="-284" w:firstLine="567"/>
        <w:jc w:val="both"/>
      </w:pPr>
      <w:r>
        <w:t>Розширено</w:t>
      </w:r>
      <w:r w:rsidRPr="00130BDC">
        <w:t xml:space="preserve"> дані щодо </w:t>
      </w:r>
      <w:r>
        <w:t>ролі</w:t>
      </w:r>
      <w:r w:rsidRPr="00130BDC">
        <w:t xml:space="preserve"> галектину-3 як індикатора тяжкості ураження коронарних артерій у хворих на гострий інфаркт міокарда та ожиріння.</w:t>
      </w:r>
    </w:p>
    <w:p w:rsidR="00577727" w:rsidRPr="00130BDC" w:rsidRDefault="00577727" w:rsidP="00577727">
      <w:pPr>
        <w:spacing w:after="0" w:line="360" w:lineRule="auto"/>
        <w:ind w:left="-284" w:firstLine="567"/>
        <w:jc w:val="both"/>
      </w:pPr>
      <w:r w:rsidRPr="00130BDC">
        <w:t>Доведено, що активність галектину</w:t>
      </w:r>
      <w:r>
        <w:t>-3 та вітронектину взаємопов’</w:t>
      </w:r>
      <w:r w:rsidRPr="002B6C76">
        <w:t>язан</w:t>
      </w:r>
      <w:r w:rsidRPr="00130BDC">
        <w:t>і з дилатацією порожнини лівого шлуночка разом зі збільшенням міокардіально-артеріальної ригідності за умов мультисудинного ураження.</w:t>
      </w:r>
    </w:p>
    <w:p w:rsidR="00577727" w:rsidRPr="00130BDC" w:rsidRDefault="00577727" w:rsidP="00577727">
      <w:pPr>
        <w:spacing w:after="0" w:line="360" w:lineRule="auto"/>
        <w:ind w:left="-284" w:firstLine="567"/>
        <w:jc w:val="both"/>
      </w:pPr>
      <w:r w:rsidRPr="00130BDC">
        <w:t>Обґрунтовано можливість персоніфікації терапевтичних підходів при лікуванні хворих на гострий інфаркт міокарда та ожиріння з урахуванням зниження ризику виникнення повторних кардіоваскулярних подій.</w:t>
      </w:r>
    </w:p>
    <w:p w:rsidR="00577727" w:rsidRPr="00130BDC" w:rsidRDefault="00577727" w:rsidP="00577727">
      <w:pPr>
        <w:spacing w:after="0" w:line="360" w:lineRule="auto"/>
        <w:ind w:left="-284" w:firstLine="567"/>
        <w:jc w:val="both"/>
      </w:pPr>
      <w:r>
        <w:t>Визначено</w:t>
      </w:r>
      <w:r w:rsidRPr="00130BDC">
        <w:t xml:space="preserve"> роль антропометричних </w:t>
      </w:r>
      <w:r>
        <w:t>параметрів</w:t>
      </w:r>
      <w:r w:rsidRPr="00130BDC">
        <w:t xml:space="preserve">, </w:t>
      </w:r>
      <w:r>
        <w:t xml:space="preserve">показників </w:t>
      </w:r>
      <w:r w:rsidRPr="00130BDC">
        <w:t>функціонального стану нирок разом з використанням галектину-3 та вітронектину як факторів ризику повторних серцево-судинних катастроф.</w:t>
      </w:r>
    </w:p>
    <w:p w:rsidR="00577727" w:rsidRPr="009600A9" w:rsidRDefault="00577727" w:rsidP="00577727">
      <w:pPr>
        <w:spacing w:after="0" w:line="360" w:lineRule="auto"/>
        <w:ind w:left="-284" w:firstLine="908"/>
        <w:jc w:val="both"/>
        <w:rPr>
          <w:rFonts w:eastAsia="Times New Roman"/>
          <w:bCs/>
          <w:spacing w:val="-7"/>
          <w:szCs w:val="20"/>
          <w:lang w:eastAsia="ru-RU"/>
        </w:rPr>
      </w:pPr>
      <w:r w:rsidRPr="009A1B87">
        <w:rPr>
          <w:rFonts w:eastAsia="Times New Roman"/>
          <w:bCs/>
          <w:spacing w:val="-7"/>
          <w:szCs w:val="20"/>
          <w:lang w:eastAsia="ru-RU"/>
        </w:rPr>
        <w:t xml:space="preserve">Наукова новизна підтверджена патентами України на корисну модель «Спосіб прогнозування повторних кардіоваскулярних подій протягом 6-місячного терміну спостереження у хворих після перенесеного гострого інфаркту міокарда в поєднанні з ожирінням за рівнем вітронектину» №121305, UА, </w:t>
      </w:r>
      <w:r w:rsidRPr="009A1B87">
        <w:t>МПК (2017.01) G01N 33/00 G01N 33/50 (2006.01)</w:t>
      </w:r>
      <w:r w:rsidRPr="009A1B87">
        <w:rPr>
          <w:rFonts w:eastAsia="Times New Roman"/>
          <w:bCs/>
          <w:spacing w:val="-7"/>
          <w:szCs w:val="20"/>
          <w:lang w:eastAsia="ru-RU"/>
        </w:rPr>
        <w:t xml:space="preserve">, </w:t>
      </w:r>
      <w:r w:rsidRPr="009A1B87">
        <w:t>u 2017 06952</w:t>
      </w:r>
      <w:r w:rsidRPr="009A1B87">
        <w:rPr>
          <w:rFonts w:eastAsia="Times New Roman"/>
          <w:bCs/>
          <w:spacing w:val="-7"/>
          <w:szCs w:val="20"/>
          <w:lang w:eastAsia="ru-RU"/>
        </w:rPr>
        <w:t xml:space="preserve"> від </w:t>
      </w:r>
      <w:r w:rsidRPr="009A1B87">
        <w:t>27.11.2017</w:t>
      </w:r>
      <w:r w:rsidRPr="009A1B87">
        <w:rPr>
          <w:rFonts w:eastAsia="Times New Roman"/>
          <w:bCs/>
          <w:spacing w:val="-7"/>
          <w:szCs w:val="20"/>
          <w:lang w:eastAsia="ru-RU"/>
        </w:rPr>
        <w:t xml:space="preserve">, </w:t>
      </w:r>
      <w:r w:rsidRPr="00FC3E52">
        <w:rPr>
          <w:rFonts w:eastAsia="Times New Roman"/>
          <w:bCs/>
          <w:spacing w:val="-7"/>
          <w:szCs w:val="20"/>
          <w:lang w:eastAsia="ru-RU"/>
        </w:rPr>
        <w:t>Бюл. №22; «Спосіб оцінки факторів ризику розвитку повторного інфаркту міокарда після перенесеного гострого коронарного синдрому з елевацією сегмента ST та ожирінням» № 123559, UА, МПК (2018.01)  G01N 33/00 G01N 33/48, u 2017 10739 від 26.02.2018, Бюл.№ 4</w:t>
      </w:r>
      <w:r>
        <w:rPr>
          <w:rFonts w:eastAsia="Times New Roman"/>
          <w:bCs/>
          <w:spacing w:val="-7"/>
          <w:szCs w:val="20"/>
          <w:lang w:eastAsia="ru-RU"/>
        </w:rPr>
        <w:t xml:space="preserve">. </w:t>
      </w:r>
    </w:p>
    <w:p w:rsidR="00577727" w:rsidRPr="00130BDC" w:rsidRDefault="00577727" w:rsidP="00577727">
      <w:pPr>
        <w:spacing w:after="0" w:line="360" w:lineRule="auto"/>
        <w:ind w:left="-284" w:firstLine="567"/>
        <w:contextualSpacing/>
        <w:jc w:val="both"/>
      </w:pPr>
      <w:r w:rsidRPr="009A1B87">
        <w:rPr>
          <w:b/>
        </w:rPr>
        <w:t>Практичне значення одержаних результатів</w:t>
      </w:r>
      <w:r>
        <w:rPr>
          <w:b/>
        </w:rPr>
        <w:t xml:space="preserve">. </w:t>
      </w:r>
      <w:r>
        <w:t>Розроблений</w:t>
      </w:r>
      <w:r w:rsidRPr="00130BDC">
        <w:t xml:space="preserve"> спосіб прогнозування повторних кардіоваскулярних подій протягом півроку спостереження при зростанні концентрації вітронектину &gt;283,26 нг/мл </w:t>
      </w:r>
      <w:r>
        <w:t xml:space="preserve">дозволяє </w:t>
      </w:r>
      <w:r>
        <w:lastRenderedPageBreak/>
        <w:t>лікарю загальної практики сімейної медицини, терапевту, кардіологу</w:t>
      </w:r>
      <w:r w:rsidRPr="00130BDC">
        <w:t xml:space="preserve"> своєчасно виділити когорту хворих високого ризику виникнення нестабільної стенокардії або повторного інфаркту міокарда при ожирінні у віддаленому постінфарктному періоді. </w:t>
      </w:r>
    </w:p>
    <w:p w:rsidR="00577727" w:rsidRPr="00130BDC" w:rsidRDefault="00577727" w:rsidP="00577727">
      <w:pPr>
        <w:spacing w:after="0" w:line="360" w:lineRule="auto"/>
        <w:ind w:left="-284" w:firstLine="567"/>
        <w:jc w:val="both"/>
      </w:pPr>
      <w:r w:rsidRPr="00130BDC">
        <w:t xml:space="preserve">Використання концентрації галектину-3 разом з оцінкою балів шкали </w:t>
      </w:r>
      <w:r>
        <w:t>Генсіні</w:t>
      </w:r>
      <w:r w:rsidRPr="00130BDC">
        <w:t xml:space="preserve"> сприяє </w:t>
      </w:r>
      <w:r>
        <w:t xml:space="preserve">підвищенню ефективності </w:t>
      </w:r>
      <w:r w:rsidRPr="00130BDC">
        <w:t>діагностики ступеня тяжкості ураження коронарних артерій у хворих з гострим інфарктом міокарда та ожирінням.</w:t>
      </w:r>
    </w:p>
    <w:p w:rsidR="00577727" w:rsidRPr="00130BDC" w:rsidRDefault="00577727" w:rsidP="00577727">
      <w:pPr>
        <w:spacing w:after="0" w:line="360" w:lineRule="auto"/>
        <w:ind w:left="-284" w:firstLine="567"/>
        <w:jc w:val="both"/>
      </w:pPr>
      <w:r w:rsidRPr="00130BDC">
        <w:t>Розроблений новий спосіб оцінки ризику виникнення повторних кардіоваскулярних подій за рівнем галектину-3 сприяє оптимізації прогнозу у хворих на гострий інфаркт міокарда та ожиріння.</w:t>
      </w:r>
    </w:p>
    <w:p w:rsidR="00577727" w:rsidRPr="00130BDC" w:rsidRDefault="00577727" w:rsidP="00577727">
      <w:pPr>
        <w:spacing w:after="0" w:line="360" w:lineRule="auto"/>
        <w:ind w:left="-284" w:firstLine="567"/>
        <w:jc w:val="both"/>
      </w:pPr>
      <w:r w:rsidRPr="00130BDC">
        <w:t>Обгрунтовано доцільність застосування т</w:t>
      </w:r>
      <w:r>
        <w:t>и</w:t>
      </w:r>
      <w:r w:rsidRPr="00130BDC">
        <w:t>кагрелору у складі подвійної антитромбоцитарної терапії, використання якого лікарями-кардіологами дозволяє оптимізувати терапевтичні стратегії за рахунок зниження ризику виникнення повторних кардіоваскулярних подій протягом 6-місячного терміну спостереження за хворими, що перенесли інфаркт міокарда на тлі супутнього ожиріння.</w:t>
      </w:r>
    </w:p>
    <w:p w:rsidR="00577727" w:rsidRPr="00130BDC" w:rsidRDefault="00577727" w:rsidP="00577727">
      <w:pPr>
        <w:spacing w:after="0" w:line="360" w:lineRule="auto"/>
        <w:ind w:left="-284" w:firstLine="567"/>
        <w:jc w:val="both"/>
      </w:pPr>
      <w:r w:rsidRPr="00130BDC">
        <w:t>Проведення комплексної оцінки показників антропометрії та функціонального стану нирок сприяє покращенню прогнозування повторних серцево-судинних катастроф у хворих з ожирінням після перенесеного інфаркту міокарда.</w:t>
      </w:r>
    </w:p>
    <w:p w:rsidR="00577727" w:rsidRPr="00336BDB" w:rsidRDefault="00577727" w:rsidP="00577727">
      <w:pPr>
        <w:pStyle w:val="a3"/>
        <w:spacing w:after="0" w:line="360" w:lineRule="auto"/>
        <w:ind w:left="-284" w:firstLine="908"/>
        <w:jc w:val="both"/>
        <w:rPr>
          <w:rFonts w:eastAsia="Times New Roman"/>
          <w:szCs w:val="20"/>
          <w:lang w:eastAsia="ru-RU"/>
        </w:rPr>
      </w:pPr>
      <w:r w:rsidRPr="00AC4921">
        <w:rPr>
          <w:szCs w:val="28"/>
        </w:rPr>
        <w:t>Результати дослідження впроваджені в роб</w:t>
      </w:r>
      <w:r>
        <w:rPr>
          <w:szCs w:val="28"/>
        </w:rPr>
        <w:t>оту інфарктного відділення КЗОЗ </w:t>
      </w:r>
      <w:r w:rsidRPr="00AC4921">
        <w:rPr>
          <w:szCs w:val="28"/>
        </w:rPr>
        <w:t xml:space="preserve">«Харківська міська клінічна лікарня № 27», </w:t>
      </w:r>
      <w:r>
        <w:rPr>
          <w:szCs w:val="28"/>
        </w:rPr>
        <w:t>ДУ «Національний інститут терапії ім. Л.Т. Малої</w:t>
      </w:r>
      <w:r w:rsidRPr="00AC4921">
        <w:rPr>
          <w:szCs w:val="28"/>
        </w:rPr>
        <w:t xml:space="preserve"> НАМН України</w:t>
      </w:r>
      <w:r>
        <w:rPr>
          <w:szCs w:val="28"/>
        </w:rPr>
        <w:t>»</w:t>
      </w:r>
      <w:r w:rsidRPr="00AC4921">
        <w:rPr>
          <w:szCs w:val="28"/>
        </w:rPr>
        <w:t xml:space="preserve">, </w:t>
      </w:r>
      <w:r>
        <w:rPr>
          <w:szCs w:val="28"/>
        </w:rPr>
        <w:t>ДУ «Науково-дослідний інститут</w:t>
      </w:r>
      <w:r w:rsidRPr="00AC4921">
        <w:rPr>
          <w:szCs w:val="28"/>
        </w:rPr>
        <w:t xml:space="preserve"> проблем ендокринної патології ім. В.Я.Данилевського НАМН України</w:t>
      </w:r>
      <w:r>
        <w:rPr>
          <w:szCs w:val="28"/>
        </w:rPr>
        <w:t>»</w:t>
      </w:r>
      <w:r w:rsidRPr="00AC4921">
        <w:rPr>
          <w:szCs w:val="28"/>
        </w:rPr>
        <w:t xml:space="preserve">, кардіологічного відділення </w:t>
      </w:r>
      <w:r>
        <w:rPr>
          <w:szCs w:val="28"/>
        </w:rPr>
        <w:t>КЗОЗ «Львівська обласна клінічна лікарня»</w:t>
      </w:r>
      <w:r w:rsidRPr="00AC4921">
        <w:rPr>
          <w:szCs w:val="28"/>
        </w:rPr>
        <w:t xml:space="preserve">, терапевтичного відділення </w:t>
      </w:r>
      <w:r>
        <w:rPr>
          <w:szCs w:val="28"/>
        </w:rPr>
        <w:t>КУ «Міська лікарня</w:t>
      </w:r>
      <w:r w:rsidRPr="00AC4921">
        <w:rPr>
          <w:szCs w:val="28"/>
        </w:rPr>
        <w:t xml:space="preserve"> №7</w:t>
      </w:r>
      <w:r>
        <w:rPr>
          <w:szCs w:val="28"/>
        </w:rPr>
        <w:t>»</w:t>
      </w:r>
      <w:r w:rsidRPr="00AC4921">
        <w:rPr>
          <w:szCs w:val="28"/>
        </w:rPr>
        <w:t xml:space="preserve"> м. Запоріжжя, Полтавського обласного клінічного кардіологічного д</w:t>
      </w:r>
      <w:r>
        <w:rPr>
          <w:szCs w:val="28"/>
        </w:rPr>
        <w:t>испансеру, КЗ «Івано-Франківський о</w:t>
      </w:r>
      <w:r w:rsidRPr="00AC4921">
        <w:rPr>
          <w:szCs w:val="28"/>
        </w:rPr>
        <w:t>бласн</w:t>
      </w:r>
      <w:r>
        <w:rPr>
          <w:szCs w:val="28"/>
        </w:rPr>
        <w:t>ий</w:t>
      </w:r>
      <w:r w:rsidRPr="00AC4921">
        <w:rPr>
          <w:szCs w:val="28"/>
        </w:rPr>
        <w:t xml:space="preserve"> клінічн</w:t>
      </w:r>
      <w:r>
        <w:rPr>
          <w:szCs w:val="28"/>
        </w:rPr>
        <w:t xml:space="preserve">ий </w:t>
      </w:r>
      <w:r w:rsidRPr="00AC4921">
        <w:rPr>
          <w:szCs w:val="28"/>
        </w:rPr>
        <w:t>кардіологічн</w:t>
      </w:r>
      <w:r>
        <w:rPr>
          <w:szCs w:val="28"/>
        </w:rPr>
        <w:t>ий</w:t>
      </w:r>
      <w:r w:rsidRPr="00AC4921">
        <w:rPr>
          <w:szCs w:val="28"/>
        </w:rPr>
        <w:t xml:space="preserve"> </w:t>
      </w:r>
      <w:r>
        <w:rPr>
          <w:szCs w:val="28"/>
        </w:rPr>
        <w:t>Центр» м. Івано-Франківськ</w:t>
      </w:r>
      <w:r w:rsidRPr="00AC4921">
        <w:rPr>
          <w:szCs w:val="28"/>
        </w:rPr>
        <w:t>,</w:t>
      </w:r>
      <w:r>
        <w:rPr>
          <w:szCs w:val="28"/>
        </w:rPr>
        <w:t xml:space="preserve"> КЗОЗ «Вінницька обласна клінічна лікарня» м Вінниця, </w:t>
      </w:r>
      <w:r w:rsidRPr="00AC4921">
        <w:rPr>
          <w:szCs w:val="28"/>
        </w:rPr>
        <w:t>що підтверджено актами впровадження</w:t>
      </w:r>
      <w:r w:rsidRPr="00E1017F">
        <w:rPr>
          <w:rFonts w:eastAsia="Times New Roman"/>
          <w:szCs w:val="20"/>
          <w:lang w:eastAsia="ru-RU"/>
        </w:rPr>
        <w:t>.</w:t>
      </w:r>
      <w:r>
        <w:rPr>
          <w:rFonts w:eastAsia="Times New Roman"/>
          <w:szCs w:val="20"/>
          <w:lang w:eastAsia="ru-RU"/>
        </w:rPr>
        <w:t xml:space="preserve"> </w:t>
      </w:r>
      <w:r w:rsidRPr="00336BDB">
        <w:rPr>
          <w:rFonts w:eastAsia="Times New Roman"/>
          <w:szCs w:val="20"/>
          <w:lang w:eastAsia="ru-RU"/>
        </w:rPr>
        <w:t>Видано 1 інформаційний лист на рівні МОЗ України.</w:t>
      </w:r>
    </w:p>
    <w:p w:rsidR="00577727" w:rsidRPr="00A36907" w:rsidRDefault="00577727" w:rsidP="00577727">
      <w:pPr>
        <w:spacing w:after="0" w:line="360" w:lineRule="auto"/>
        <w:ind w:left="-284" w:firstLine="720"/>
        <w:jc w:val="both"/>
        <w:rPr>
          <w:rFonts w:eastAsia="Times New Roman"/>
          <w:szCs w:val="20"/>
          <w:lang w:eastAsia="ru-RU"/>
        </w:rPr>
      </w:pPr>
      <w:r w:rsidRPr="00E96458">
        <w:rPr>
          <w:rFonts w:eastAsia="Times New Roman"/>
          <w:szCs w:val="20"/>
          <w:lang w:eastAsia="ru-RU"/>
        </w:rPr>
        <w:t>Результати дисертаційної роботи включено до навчальної програми підготовки студентів та лікарів-інтернів за фахом внутрішні хвороби на ка</w:t>
      </w:r>
      <w:r>
        <w:rPr>
          <w:rFonts w:eastAsia="Times New Roman"/>
          <w:szCs w:val="20"/>
          <w:lang w:eastAsia="ru-RU"/>
        </w:rPr>
        <w:t xml:space="preserve">федрі </w:t>
      </w:r>
      <w:r>
        <w:rPr>
          <w:rFonts w:eastAsia="Times New Roman"/>
          <w:szCs w:val="20"/>
          <w:lang w:eastAsia="ru-RU"/>
        </w:rPr>
        <w:lastRenderedPageBreak/>
        <w:t>внутрішньої медицини № 2,</w:t>
      </w:r>
      <w:r w:rsidRPr="00E96458">
        <w:rPr>
          <w:rFonts w:eastAsia="Times New Roman"/>
          <w:szCs w:val="20"/>
          <w:lang w:eastAsia="ru-RU"/>
        </w:rPr>
        <w:t xml:space="preserve"> клінічної імунології та алергології </w:t>
      </w:r>
      <w:r>
        <w:rPr>
          <w:rFonts w:eastAsia="Times New Roman"/>
          <w:szCs w:val="20"/>
          <w:lang w:eastAsia="ru-RU"/>
        </w:rPr>
        <w:t xml:space="preserve">імені академіка Л.Т. Малої </w:t>
      </w:r>
      <w:r w:rsidRPr="00E96458">
        <w:rPr>
          <w:rFonts w:eastAsia="Times New Roman"/>
          <w:szCs w:val="20"/>
          <w:lang w:eastAsia="ru-RU"/>
        </w:rPr>
        <w:t>Харківського національного меди</w:t>
      </w:r>
      <w:r>
        <w:rPr>
          <w:rFonts w:eastAsia="Times New Roman"/>
          <w:szCs w:val="20"/>
          <w:lang w:eastAsia="ru-RU"/>
        </w:rPr>
        <w:t>чного університету МОЗ України.</w:t>
      </w:r>
    </w:p>
    <w:p w:rsidR="00577727" w:rsidRDefault="00577727" w:rsidP="00577727">
      <w:pPr>
        <w:spacing w:after="0" w:line="360" w:lineRule="auto"/>
        <w:ind w:left="-284" w:firstLine="720"/>
        <w:jc w:val="both"/>
        <w:rPr>
          <w:szCs w:val="28"/>
        </w:rPr>
      </w:pPr>
      <w:r w:rsidRPr="00C04C1E">
        <w:rPr>
          <w:rFonts w:eastAsia="Times New Roman"/>
          <w:b/>
          <w:szCs w:val="28"/>
          <w:lang w:eastAsia="ru-RU"/>
        </w:rPr>
        <w:t>Особистий внесок здобувача</w:t>
      </w:r>
      <w:r>
        <w:rPr>
          <w:rFonts w:eastAsia="Times New Roman"/>
          <w:szCs w:val="28"/>
          <w:lang w:eastAsia="ru-RU"/>
        </w:rPr>
        <w:t xml:space="preserve">. </w:t>
      </w:r>
      <w:r>
        <w:rPr>
          <w:szCs w:val="28"/>
        </w:rPr>
        <w:t>Здобувачем особисто визначено напрямок та розроблено дизайн дослідження. Проведено набір і подальше клінічне</w:t>
      </w:r>
      <w:r w:rsidRPr="000B2AC3">
        <w:rPr>
          <w:szCs w:val="28"/>
        </w:rPr>
        <w:t xml:space="preserve"> </w:t>
      </w:r>
      <w:r>
        <w:rPr>
          <w:szCs w:val="28"/>
        </w:rPr>
        <w:t xml:space="preserve">обстеження пацієнтів, аналіз лабораторних та інструментальних результатів дослідження, призначення терапії та її корекція. Самостійно була підготовлена база даних і математична та статистична обробка результатів. Особисто здобувачем було проведено узагальнення отриманих даних, формулювання висновків і практичних рекомендацій, здійснено впровадження результатів у практичну роботу закладів охорони здоров'я та навчальний процес. </w:t>
      </w:r>
    </w:p>
    <w:p w:rsidR="00577727" w:rsidRDefault="00577727" w:rsidP="00577727">
      <w:pPr>
        <w:spacing w:after="0" w:line="360" w:lineRule="auto"/>
        <w:ind w:left="-284" w:firstLine="720"/>
        <w:jc w:val="both"/>
        <w:rPr>
          <w:rFonts w:eastAsia="Times New Roman"/>
          <w:szCs w:val="28"/>
          <w:lang w:eastAsia="ru-RU"/>
        </w:rPr>
      </w:pPr>
      <w:r w:rsidRPr="003C502A">
        <w:rPr>
          <w:rFonts w:eastAsia="Times New Roman"/>
          <w:b/>
          <w:szCs w:val="28"/>
          <w:lang w:val="ru-RU" w:eastAsia="ru-RU"/>
        </w:rPr>
        <w:t>Публ</w:t>
      </w:r>
      <w:r w:rsidRPr="003C502A">
        <w:rPr>
          <w:rFonts w:eastAsia="Times New Roman"/>
          <w:b/>
          <w:szCs w:val="28"/>
          <w:lang w:eastAsia="ru-RU"/>
        </w:rPr>
        <w:t xml:space="preserve">ікації. </w:t>
      </w:r>
      <w:r w:rsidRPr="003C502A">
        <w:rPr>
          <w:rFonts w:eastAsia="Times New Roman"/>
          <w:szCs w:val="28"/>
          <w:lang w:eastAsia="ru-RU"/>
        </w:rPr>
        <w:t>За темою дисертації опубліковано 34 наукові праці, з них 8 статей у наукових виданнях, рекомендованих МОН України (1 – у моноавторстві), серед яких 3 статті в іноземних журналах, у тому числі 1 стаття у виданні, що увійшло до міжнародної наукометричної бази S</w:t>
      </w:r>
      <w:r w:rsidRPr="003C502A">
        <w:rPr>
          <w:rFonts w:eastAsia="Times New Roman"/>
          <w:szCs w:val="28"/>
          <w:lang w:val="en-US" w:eastAsia="ru-RU"/>
        </w:rPr>
        <w:t>copus</w:t>
      </w:r>
      <w:r w:rsidRPr="003C502A">
        <w:rPr>
          <w:rFonts w:eastAsia="Times New Roman"/>
          <w:szCs w:val="28"/>
          <w:lang w:eastAsia="ru-RU"/>
        </w:rPr>
        <w:t>, 2 патенти України на корисну модель, 24 тези у матеріалах вітчизняних науково-практичних конференцій, міжнародних конференцій і симпозіумів.</w:t>
      </w:r>
      <w:r>
        <w:rPr>
          <w:rFonts w:eastAsia="Times New Roman"/>
          <w:szCs w:val="28"/>
          <w:lang w:eastAsia="ru-RU"/>
        </w:rPr>
        <w:t xml:space="preserve"> </w:t>
      </w:r>
    </w:p>
    <w:p w:rsidR="00577727" w:rsidRDefault="00577727">
      <w:pPr>
        <w:rPr>
          <w:rFonts w:eastAsia="Times New Roman"/>
          <w:szCs w:val="28"/>
          <w:lang w:eastAsia="ru-RU"/>
        </w:rPr>
      </w:pPr>
      <w:r>
        <w:rPr>
          <w:rFonts w:eastAsia="Times New Roman"/>
          <w:szCs w:val="28"/>
          <w:lang w:eastAsia="ru-RU"/>
        </w:rPr>
        <w:br w:type="page"/>
      </w:r>
    </w:p>
    <w:p w:rsidR="00577727" w:rsidRPr="00577727" w:rsidRDefault="00577727" w:rsidP="00475927">
      <w:pPr>
        <w:spacing w:after="0" w:line="360" w:lineRule="auto"/>
        <w:jc w:val="center"/>
        <w:rPr>
          <w:szCs w:val="28"/>
        </w:rPr>
      </w:pPr>
      <w:r w:rsidRPr="00577727">
        <w:rPr>
          <w:szCs w:val="28"/>
        </w:rPr>
        <w:lastRenderedPageBreak/>
        <w:t>РОЗДІЛ 1</w:t>
      </w:r>
    </w:p>
    <w:p w:rsidR="00577727" w:rsidRPr="00577727" w:rsidRDefault="00577727" w:rsidP="00475927">
      <w:pPr>
        <w:spacing w:after="0" w:line="360" w:lineRule="auto"/>
        <w:jc w:val="center"/>
        <w:rPr>
          <w:szCs w:val="28"/>
          <w:lang w:val="en-US"/>
        </w:rPr>
      </w:pPr>
      <w:r w:rsidRPr="00577727">
        <w:rPr>
          <w:szCs w:val="28"/>
        </w:rPr>
        <w:t>ОГЛЯД ЛІТЕРАТУРИ</w:t>
      </w:r>
    </w:p>
    <w:p w:rsidR="00577727" w:rsidRPr="00577727" w:rsidRDefault="00577727" w:rsidP="00577727">
      <w:pPr>
        <w:spacing w:after="0" w:line="360" w:lineRule="auto"/>
        <w:jc w:val="both"/>
        <w:rPr>
          <w:szCs w:val="28"/>
        </w:rPr>
      </w:pPr>
    </w:p>
    <w:p w:rsidR="00577727" w:rsidRPr="00577727" w:rsidRDefault="00577727" w:rsidP="00577727">
      <w:pPr>
        <w:numPr>
          <w:ilvl w:val="1"/>
          <w:numId w:val="3"/>
        </w:numPr>
        <w:spacing w:after="0" w:line="360" w:lineRule="auto"/>
        <w:jc w:val="both"/>
        <w:rPr>
          <w:szCs w:val="28"/>
        </w:rPr>
      </w:pPr>
      <w:r w:rsidRPr="00577727">
        <w:rPr>
          <w:color w:val="000000"/>
          <w:spacing w:val="7"/>
          <w:szCs w:val="28"/>
        </w:rPr>
        <w:t>Вплив абдомінального ожиріння на перебіг гострого інфаркту міокарда.</w:t>
      </w:r>
    </w:p>
    <w:p w:rsidR="00577727" w:rsidRPr="00577727" w:rsidRDefault="00577727" w:rsidP="00577727">
      <w:pPr>
        <w:spacing w:after="0" w:line="360" w:lineRule="auto"/>
        <w:ind w:firstLine="851"/>
        <w:jc w:val="both"/>
        <w:rPr>
          <w:szCs w:val="28"/>
        </w:rPr>
      </w:pPr>
      <w:r w:rsidRPr="00577727">
        <w:rPr>
          <w:szCs w:val="28"/>
        </w:rPr>
        <w:t>Гострий інфаркт міокарда (ГІМ) насьогодні є найбільш загрозливою формою ішемічної хвороби серця (ІХС) [1-4]. За статистикою щороку в світі фіксується більше 15 мільйонів нових випадків ГІМ, а його віддалені наслідки визначаються через місяці і роки. Так, за даними Американської Асоціації Серця, протягом шести років після перенесеного ГІМ 18% чоловіків і 35% жінок переносять повторний ІМ, 22% чоловіків і 46% жінок стають інвалідами через розвиток тяжкої серцевої недостатності (СН), а в 30-40 % хворих спостерігається дисфункція лівого шлуночка (ЛШ) [5]</w:t>
      </w:r>
    </w:p>
    <w:p w:rsidR="00577727" w:rsidRPr="00577727" w:rsidRDefault="00577727" w:rsidP="00577727">
      <w:pPr>
        <w:spacing w:after="0" w:line="360" w:lineRule="auto"/>
        <w:ind w:firstLine="851"/>
        <w:jc w:val="both"/>
        <w:rPr>
          <w:szCs w:val="28"/>
        </w:rPr>
      </w:pPr>
      <w:r w:rsidRPr="00577727">
        <w:rPr>
          <w:szCs w:val="28"/>
        </w:rPr>
        <w:t>Незважаючи на те, що смертність від ГІМ поступово знижувалася протягом останніх десятиліть у країнах Західної та Східної Європи, включаючи Україну, цей стан все ще призводить до приблизно однієї третини всіх смертей серед людей старше 35 років [6-8]. За прогнозами ВОЗ, до 2030 року летальність від захворювань серця та інсульту складе близько 23,6 млн осіб [9]. Так в 2008 році від ССЗ померло 17,3 мільйона чоловік, що склало 30% всіх глобальних випадків смерті. Серед них, за оцінками, 7,3 мільйона випадків сталося в результаті ІХС, а 6,2 мільйони - від інсульту [10].</w:t>
      </w:r>
    </w:p>
    <w:p w:rsidR="00577727" w:rsidRPr="00577727" w:rsidRDefault="00577727" w:rsidP="00577727">
      <w:pPr>
        <w:spacing w:after="0" w:line="360" w:lineRule="auto"/>
        <w:ind w:firstLine="851"/>
        <w:jc w:val="both"/>
        <w:rPr>
          <w:szCs w:val="28"/>
        </w:rPr>
      </w:pPr>
      <w:r w:rsidRPr="00577727">
        <w:rPr>
          <w:szCs w:val="28"/>
        </w:rPr>
        <w:t xml:space="preserve">Фремінгемське дослідження, яке розпочалося в 1949 році та тривало 25 років, дозволяючи спостерігати за цілим поколінням у певному регіоні, стало першим проспективним епідеміологічним дослідженням, в якому були отримані дані для оцінки впливу факторів ризику на розвиток серцево-судинних подій [11]. Дане дослідження дало уявлення про поширеність, захворюваність, прогноз, фактори, що впливають, та детермінанти ССЗ. На сьогодні, розроблена концепція факторів ризику, що є основополягаючою та широко використовується для запобігання ССЗ, була заснована саме на даних Фремінгемського дослідження. Це спричинило висвітлення таких явищ, як наслідки вживання тютюну, нездорового </w:t>
      </w:r>
      <w:r w:rsidRPr="00577727">
        <w:rPr>
          <w:szCs w:val="28"/>
        </w:rPr>
        <w:lastRenderedPageBreak/>
        <w:t xml:space="preserve">харчування, гіподинамії, ожиріння, підвищеного рівня холестерину в крові, підвищеного артеріального тиску та наявності супутнього діабету при ССЗ. Наразі вищезазначені фактори ризику є головною метою глобальних та національних заходів профілактики, спрямованих на зменшення наслідків ССЗ та інших неінфекційних захворювань [12]. Однак, автори Фремінгемскої шкали ризику неодноразово попереджали, що екстраполювати результати їх досліджень на інші групи населення без урахування специфіки регіону, соціально-політичних умов, географічних та кліматичних особливостей необхідно з великою обережністю. </w:t>
      </w:r>
    </w:p>
    <w:p w:rsidR="00577727" w:rsidRPr="00577727" w:rsidRDefault="00577727" w:rsidP="00577727">
      <w:pPr>
        <w:spacing w:after="0" w:line="360" w:lineRule="auto"/>
        <w:ind w:firstLine="851"/>
        <w:jc w:val="both"/>
        <w:rPr>
          <w:szCs w:val="28"/>
        </w:rPr>
      </w:pPr>
      <w:r w:rsidRPr="00577727">
        <w:rPr>
          <w:szCs w:val="28"/>
        </w:rPr>
        <w:t>В часи, коли перелік неінфекційних захворювань стає все більш і більш складним, а швидка глобалізація, урбанізація, старіння суспільства та поширення хронічних захворювань становлять нові проблеми сучасній системі охорони здоров'я, ССЗ можна запобігти, але фізична бездіяльність, зловживання нікотином та втрата традиційних дієтичних звичок у нових промислових культурах призводить до збільшення їх поширеності в більшості країн. Крім того, соціальна нерівність збільшує серцево-судинну смертність та спричиняє негативний вплив на спосіб життя, такий як зниження фізичної активності та зростання ожиріння в суспільстві</w:t>
      </w:r>
    </w:p>
    <w:p w:rsidR="00577727" w:rsidRPr="00577727" w:rsidRDefault="00577727" w:rsidP="00577727">
      <w:pPr>
        <w:spacing w:after="0" w:line="360" w:lineRule="auto"/>
        <w:ind w:firstLine="851"/>
        <w:jc w:val="both"/>
        <w:rPr>
          <w:szCs w:val="28"/>
        </w:rPr>
      </w:pPr>
      <w:r w:rsidRPr="00577727">
        <w:rPr>
          <w:szCs w:val="28"/>
        </w:rPr>
        <w:t xml:space="preserve">Починаючи з кінця ХХ століття, ожиріння було визнане не тільки косметичною, але й медико-соціальною проблемою. Важливо відмітити, що до цього надлишкова вага сприймалася багатьма суспільствами як ознака добробуту або символ високого соціального статусу, а також те, що працівники охорони здоров'я та громадськість не оголошували ожиріння самостійною хворобою та сприяли її неналежній ідентифікації, що й обумовило відсутність ефективних стратегій громадського здоров'я для боротьби з даною патологією. </w:t>
      </w:r>
    </w:p>
    <w:p w:rsidR="00577727" w:rsidRPr="00577727" w:rsidRDefault="00577727" w:rsidP="00577727">
      <w:pPr>
        <w:spacing w:after="0" w:line="360" w:lineRule="auto"/>
        <w:ind w:firstLine="851"/>
        <w:jc w:val="both"/>
        <w:rPr>
          <w:szCs w:val="28"/>
        </w:rPr>
      </w:pPr>
      <w:r w:rsidRPr="00577727">
        <w:rPr>
          <w:szCs w:val="28"/>
        </w:rPr>
        <w:t xml:space="preserve">У 2015 році, згідно даних Організації економічного співробітництва та розвитку (ОЕСР) 19,5% дорослого населення страждали ожирінням. Ця цифра коливається від менш ніж 6% в Кореї та Японії до 30% та більше в Угорщині, Новій Зеландії, Мексиці та Сполучених Штатах Америки. Більше одного з чотирьох дорослих страждає ожирінням в Австралії, Канаді, Чилі, Південній </w:t>
      </w:r>
      <w:r w:rsidRPr="00577727">
        <w:rPr>
          <w:szCs w:val="28"/>
        </w:rPr>
        <w:lastRenderedPageBreak/>
        <w:t>Африці та Об'єднаному Королівстві. Протягом останнього десятиліття рівень поширеності зайвої ваги та ожиріння збільшився у Канаді, Франції, Мексиці, Швейцарії та США, а в Англії, Італії, Кореї та Іспанії стабілізувався [13].  2010 року в Сполучених Штатах Америки було зафіксовано близько 68% дорослого населення, що мало надмірну вагу та ожиріння [14]. У Канаді 46 % дорослого населення страждає від ожиріння, а в Мексиці – кожен сьомий мешканець країни [15].</w:t>
      </w:r>
    </w:p>
    <w:p w:rsidR="00577727" w:rsidRPr="00577727" w:rsidRDefault="00577727" w:rsidP="00577727">
      <w:pPr>
        <w:spacing w:after="0" w:line="360" w:lineRule="auto"/>
        <w:ind w:firstLine="851"/>
        <w:jc w:val="both"/>
        <w:rPr>
          <w:szCs w:val="28"/>
        </w:rPr>
      </w:pPr>
      <w:r w:rsidRPr="00577727">
        <w:rPr>
          <w:szCs w:val="28"/>
        </w:rPr>
        <w:t xml:space="preserve">Занепокоєність викликає також стан в європейських країнах. Згідно Звіту Всесвітньої Організації Охорони Здоров'я (ВООЗ), представленого 17 травня 2017 року в Португалії під час Європейського Конгресу з питань ожиріння, 29,5% та 26,8% населення Андори та Чеської Республіки відповідно страждають на ожиріння. В Україні станом на 2017 рік на ожиріння страждає 22,1% населення, тобто майже кожен п’ятий громадянин країни [16]. Однак, явних ознак зменшення епідемії немає в жодній країні. </w:t>
      </w:r>
    </w:p>
    <w:p w:rsidR="00577727" w:rsidRPr="00577727" w:rsidRDefault="00577727" w:rsidP="00577727">
      <w:pPr>
        <w:spacing w:after="0" w:line="360" w:lineRule="auto"/>
        <w:ind w:firstLine="851"/>
        <w:jc w:val="both"/>
        <w:rPr>
          <w:szCs w:val="28"/>
        </w:rPr>
      </w:pPr>
      <w:r w:rsidRPr="00577727">
        <w:rPr>
          <w:szCs w:val="28"/>
        </w:rPr>
        <w:t xml:space="preserve">Сучасне суспільство провокує ненавмисне ожиріння у своїх громадян, сприяючи споживанню висококалорійної їжі з великим вмістом жирів, і в той же час, завдяки технічному прогресу, стимулюючи малорухливий спосіб життя. Ці соціальні і техногенні чинники сприяють зростанню поширеності ожиріння в останні десятиліття. ВООЗ прийшла до висновку, що основною причиною епідемії ожиріння в світі став дефіцит спонтанної і трудової фізичної активності населення в поєднанні з надмірним споживанням жирної висококалорійної їжі [17]. </w:t>
      </w:r>
    </w:p>
    <w:p w:rsidR="00577727" w:rsidRPr="00577727" w:rsidRDefault="00577727" w:rsidP="00577727">
      <w:pPr>
        <w:spacing w:after="0" w:line="360" w:lineRule="auto"/>
        <w:ind w:firstLine="851"/>
        <w:jc w:val="both"/>
        <w:rPr>
          <w:szCs w:val="28"/>
        </w:rPr>
      </w:pPr>
      <w:r w:rsidRPr="00577727">
        <w:rPr>
          <w:szCs w:val="28"/>
        </w:rPr>
        <w:t xml:space="preserve">Актуальність боротьби з ожирінням зумовлена не тільки його високою поширеністю, а й негативним впливом на якість життя хворих і, особливо, високим ризиком розвитку різних захворювань, що призводять до ранньої інвалідизації та суттєвого зменшення тривалості життя осіб, що страждають на ожиріння. Встановлено, що частота розвитку артеріальної гіпертензії (АГ) при ожирінні становить 75%, ЦД 2-го типу - 57%, ішемічної хвороби серця (ІХС) - 20%, захворювань жовчного міхура і жовчовивідних шляхів - 30%, остеоартрозу - 14%, злоякісних пухлин молочної залози, матки і товстого кишківника – 11%. </w:t>
      </w:r>
      <w:r w:rsidRPr="00577727">
        <w:rPr>
          <w:szCs w:val="28"/>
        </w:rPr>
        <w:lastRenderedPageBreak/>
        <w:t>Підраховано, що сумарні економічні збитки, пов'язані з ожирінням, перевищують такі від онкологічних захворювань [18].</w:t>
      </w:r>
    </w:p>
    <w:p w:rsidR="00577727" w:rsidRPr="00577727" w:rsidRDefault="00577727" w:rsidP="00577727">
      <w:pPr>
        <w:spacing w:after="0" w:line="360" w:lineRule="auto"/>
        <w:ind w:firstLine="851"/>
        <w:jc w:val="both"/>
        <w:rPr>
          <w:szCs w:val="28"/>
        </w:rPr>
      </w:pPr>
      <w:r w:rsidRPr="00577727">
        <w:rPr>
          <w:szCs w:val="28"/>
        </w:rPr>
        <w:t xml:space="preserve">Ретроспективний аналіз результатів Фремінгемського дослідження продемонстрував, що ожиріння є незалежним чинником ризику розвитку серцево-судинних ускладнень, особливо у жінок. Множинний логістичний аналіз показав, що відносна маса тіла (дійсна маса / ідеальна маса) на початку дослідження грала прогностичну роль у розвитку ішемічної хвороби серця (ІХС) (стенокардії, нестабільної стенокардії, ГІМ, раптової смерті), серцевої смертності, серцевої недостатності у чоловіків. Вплив ожиріння на прогноз не залежало від віку, рівня систолічного артеріального тиску, холестерину, куріння сигарет в день, ступеня ГЛШ і наявності порушень толерантності до глюкози. У жінок значення відносної маси тіла мало статистично достовірний зв'язок з розвитком інфаркту міокарда, мозкового інсульту, серцевої недостатності, а також - з рівнем серцево-судинної смертності. Ожиріння мало довгострокове прогностичне значення для ССЗ, особливо у хворих не старше 50 років. Подальше збільшення маси тіла з віком підвищує ступінь ризику виникнення ГІМ як у чоловіків, так і у жінок, незалежно від початкової маси тіла або наявності інших факторів ризику, пов'язаних зі збільшенням маси тіла [19]. </w:t>
      </w:r>
    </w:p>
    <w:p w:rsidR="00577727" w:rsidRPr="00577727" w:rsidRDefault="00577727" w:rsidP="00577727">
      <w:pPr>
        <w:spacing w:after="0" w:line="360" w:lineRule="auto"/>
        <w:ind w:firstLine="851"/>
        <w:jc w:val="both"/>
        <w:rPr>
          <w:szCs w:val="28"/>
        </w:rPr>
      </w:pPr>
      <w:r w:rsidRPr="00577727">
        <w:rPr>
          <w:szCs w:val="28"/>
        </w:rPr>
        <w:t>На Конгресі Європейського Кардіологічного Товариства у 2004 році були висвітлені результати великого міжнародного міжконтинентального епідеміологічного дослідження INTERHEART. Дане дослідження вивчало мультиетнічну когорту з 15152 хворих на ГІМ з 52 країн світу протягом 10 років.  та встановило дев'ять факторів ризику, шість з яких збільшують ймовірність виникнення захворювання, інші, навпаки - знижують. Так наявність супутнього ожиріння достовірно збільшувала ризик виникнення ГІМ в 1,62 рази, незалежно від віку, статі або регіону проживання хворого [20]</w:t>
      </w:r>
    </w:p>
    <w:p w:rsidR="00577727" w:rsidRPr="00577727" w:rsidRDefault="00577727" w:rsidP="00577727">
      <w:pPr>
        <w:spacing w:after="0" w:line="360" w:lineRule="auto"/>
        <w:ind w:firstLine="851"/>
        <w:jc w:val="both"/>
        <w:rPr>
          <w:szCs w:val="28"/>
        </w:rPr>
      </w:pPr>
      <w:r w:rsidRPr="00577727">
        <w:rPr>
          <w:szCs w:val="28"/>
        </w:rPr>
        <w:t xml:space="preserve">За визначенням В.П. Лупанова ожиріння є «хронічним поліетіологічним захворюванням, пов'язаним з впливом ряду генетичних і неврологічних чинників, зміною функцій ендокринної системи, стилем життя і харчовою поведінкою пацієнта, а не тільки з порушенням енергетичного балансу» [21]. </w:t>
      </w:r>
    </w:p>
    <w:p w:rsidR="00577727" w:rsidRPr="00577727" w:rsidRDefault="00577727" w:rsidP="00577727">
      <w:pPr>
        <w:spacing w:after="0" w:line="360" w:lineRule="auto"/>
        <w:ind w:firstLine="851"/>
        <w:jc w:val="both"/>
        <w:rPr>
          <w:szCs w:val="28"/>
        </w:rPr>
      </w:pPr>
      <w:r w:rsidRPr="00577727">
        <w:rPr>
          <w:szCs w:val="28"/>
        </w:rPr>
        <w:lastRenderedPageBreak/>
        <w:t>Жирова тканина (ЖТ), яка являє собою не тільки «камеру зберігання» жиру, а й активний ендокринний і паракрінний орган, поділяється на білу, що превалює в організмі, та буру [22]. Різні типи ЖТ мають структурні та функціональні особливості.</w:t>
      </w:r>
      <w:r>
        <w:rPr>
          <w:szCs w:val="28"/>
        </w:rPr>
        <w:t xml:space="preserve"> </w:t>
      </w:r>
      <w:r w:rsidRPr="00577727">
        <w:rPr>
          <w:szCs w:val="28"/>
        </w:rPr>
        <w:t>Адипоцит білої ЖТ містить в собі один великий жировий міхур, який займає практично всю площу клітини, з ядром на периферії. Основні завдання білої ЖТ - депонування енергії у вигляді тригліцеридів (ТГ) і регуляція енергетичного балансу, а також теплоізоляція, створення механічного захисту навколо органів у вигляді жирового прошарку, ендокринна функція [23] .</w:t>
      </w:r>
    </w:p>
    <w:p w:rsidR="00577727" w:rsidRPr="00577727" w:rsidRDefault="00577727" w:rsidP="00577727">
      <w:pPr>
        <w:spacing w:after="0" w:line="360" w:lineRule="auto"/>
        <w:ind w:firstLine="851"/>
        <w:jc w:val="both"/>
        <w:rPr>
          <w:szCs w:val="28"/>
        </w:rPr>
      </w:pPr>
      <w:r w:rsidRPr="00577727">
        <w:rPr>
          <w:szCs w:val="28"/>
        </w:rPr>
        <w:t>В адипоцитах бурої ЖТ є декілька невеликих жирових крапель і безліч мітохондрій, що містять залізо (в цитохромах) і фарбують ЖТ в бурий колір. Функція бурої ЖТ – часткове забезпечення механізму терморегуляції, а саме генерація енергії у вигляді тепла [24].</w:t>
      </w:r>
    </w:p>
    <w:p w:rsidR="00577727" w:rsidRPr="00577727" w:rsidRDefault="00577727" w:rsidP="00577727">
      <w:pPr>
        <w:spacing w:after="0" w:line="360" w:lineRule="auto"/>
        <w:ind w:firstLine="851"/>
        <w:jc w:val="both"/>
        <w:rPr>
          <w:szCs w:val="28"/>
        </w:rPr>
      </w:pPr>
      <w:r w:rsidRPr="00577727">
        <w:rPr>
          <w:szCs w:val="28"/>
        </w:rPr>
        <w:t>ЖТ розрізняють за анатомічним розташуванням, біохімічними і метаболічними ефектами. Бурий жир в підшкірно-жировій клітковині розподілений рівномірно переважно в периферійній зоні (в ділянці сідниць і стегон). Біла ЖТ вісцеральної локалізації характеризується нерівномірним розподілом з надмірним накопиченням жиру в області верхньої половини тулуба і на животі (інтраабдомінальний вісцеральний жир - в сальнику, брижі, ретроперітонеальній ділянці), а також у внутрішніх органах, включаючи серце, нирки і печінку (позаабдомінальне відкладення вісцерального жиру) [25].</w:t>
      </w:r>
    </w:p>
    <w:p w:rsidR="00577727" w:rsidRPr="00577727" w:rsidRDefault="00577727" w:rsidP="00577727">
      <w:pPr>
        <w:spacing w:after="0" w:line="360" w:lineRule="auto"/>
        <w:ind w:firstLine="851"/>
        <w:jc w:val="both"/>
        <w:rPr>
          <w:szCs w:val="28"/>
        </w:rPr>
      </w:pPr>
      <w:r w:rsidRPr="00577727">
        <w:rPr>
          <w:szCs w:val="28"/>
        </w:rPr>
        <w:t>Вісцеральний жир, як гормонально-активна субстанція, виконує в організмі комплексну роль: секретує естрогени (ароматаза адипоцитів сприяє синтезу естрогенів з надниркових андрогенів), ангиотензиноген, простагландини, фактор некрозу пухлини α (ФНП-α), інтерлейкін-6 (ІЛ-6), лептин, резистин, адипонектин, інсуліноподібний фактор росту 1 (ІПФР-1), інгібітор тканинного активатора плазміногену I (ІТАП I), фібриноген  [3]. Вони мають різний несприятливий вплив на серцево-судинну систему, створюючи прозапальний та протромботичний стан, а також викликаючи ендотеліальні ураження та судинну гіпертрофію [26].</w:t>
      </w:r>
    </w:p>
    <w:p w:rsidR="00577727" w:rsidRPr="00577727" w:rsidRDefault="00577727" w:rsidP="00577727">
      <w:pPr>
        <w:spacing w:after="0" w:line="360" w:lineRule="auto"/>
        <w:ind w:firstLine="851"/>
        <w:jc w:val="both"/>
        <w:rPr>
          <w:szCs w:val="28"/>
        </w:rPr>
      </w:pPr>
      <w:r w:rsidRPr="00577727">
        <w:rPr>
          <w:szCs w:val="28"/>
        </w:rPr>
        <w:lastRenderedPageBreak/>
        <w:t xml:space="preserve">Адипоцити вивчали протягом багатьох років, і деякі процеси отримали чудові уявлення, багато областей фізіології жирової клітки залишаються невивчені. Наше розуміння того, як клітинні події в адипоциті впливають на локальне середовище через паракринні взаємодії та як системні ефекти досягаються за допомогою ендокринних взаємодій, є рудиментарними. Хоча зберігання та вивільнення ліпідів є основними функціями адипоцитів,  вони також використовують специфічні ліпідні молекули для внутрішньоклітинної сигналізації та використовують безліч білкових факторів  для спілкування з практично кожною системою організму в організмі. </w:t>
      </w:r>
    </w:p>
    <w:p w:rsidR="00577727" w:rsidRPr="00577727" w:rsidRDefault="00577727" w:rsidP="00577727">
      <w:pPr>
        <w:spacing w:after="0" w:line="360" w:lineRule="auto"/>
        <w:ind w:firstLine="851"/>
        <w:jc w:val="both"/>
        <w:rPr>
          <w:szCs w:val="28"/>
        </w:rPr>
      </w:pPr>
      <w:r w:rsidRPr="00577727">
        <w:rPr>
          <w:szCs w:val="28"/>
        </w:rPr>
        <w:t>Вченими було доведено, що надлишок ЖТ призводить до розвитку інулінорезистентності (ІР) [27]. Менш добре відомо, але настільки ж важливо, що втрата селективних жирових прошарків (або відсутність ЖТ взагалі) також пов'язана з важкими формами ІР [28].</w:t>
      </w:r>
    </w:p>
    <w:p w:rsidR="00577727" w:rsidRPr="00577727" w:rsidRDefault="00577727" w:rsidP="00577727">
      <w:pPr>
        <w:spacing w:after="0" w:line="360" w:lineRule="auto"/>
        <w:ind w:firstLine="851"/>
        <w:jc w:val="both"/>
        <w:rPr>
          <w:szCs w:val="28"/>
        </w:rPr>
      </w:pPr>
      <w:r w:rsidRPr="00577727">
        <w:rPr>
          <w:szCs w:val="28"/>
        </w:rPr>
        <w:t>Це частково пояснюється відсутністю депо для зберігання ліпідів у звичайних умовах. Даний стан призводить до дисрегуляції рівня тригліцеридів і вільних жирних кислот, а також специфічних білків, похідних від адипоцитів, групи білків, які ми називаємо адипокінами. Як головний регулятор системного зберігання ліпідів і через секрецію ряду цих адипокінів ЖТ впливає на багато процесів, включаючи енергетичний обмін, запалення та патофізіологічні зміни, такі як рак та інфекційні захворювання [29]. На межі енергетичного обміну та запалення ЖТ також відіграє ключову роль у розвитку метаболічного синдрому. Таким чином, погляди вчених на ЖТ істотно змінилися за останні 20 років. Спочатку ЖТ вважалася інертним відділенням для зберігання тригліцеридів, новаторська робота лабораторій Spiegelman і Flier [30] у середині 1980-х років вперше показала, що адипоцити є багатим джерелом специфічного секреторного білка, який називається адипін або фактор комплемента D. У 1994 р. Група Джефрі Фрідмана [31] визначила лептин як специфічний для жирової клітини секреторний фактор, недостатній у мишей ob / ob, що опосередковує гормональну вісь між ЖТ і мозком.</w:t>
      </w:r>
    </w:p>
    <w:p w:rsidR="00577727" w:rsidRPr="00577727" w:rsidRDefault="00577727" w:rsidP="00577727">
      <w:pPr>
        <w:spacing w:after="0" w:line="360" w:lineRule="auto"/>
        <w:ind w:firstLine="851"/>
        <w:jc w:val="both"/>
        <w:rPr>
          <w:szCs w:val="28"/>
        </w:rPr>
      </w:pPr>
      <w:r w:rsidRPr="00577727">
        <w:rPr>
          <w:szCs w:val="28"/>
        </w:rPr>
        <w:lastRenderedPageBreak/>
        <w:t xml:space="preserve">Приблизно в той же час вчені описали протеїн, який спочатку назвали Acrp30, який пізніше став відомим як адипонектин [32]. З цього часу ексклюзивний клуб секреторних білків з адипоцитами приєднався до додаткових білків, включаючи адипокіни, таких як резистин та вісфатин та ретинол-зв'язуючий протеїн-4. Ферменти, такі як ліпопротеїнова ліпаза, також рясно продукуються і виділяються з адипоцитів. Нарешті, багато прозапальних цитокінів та гострофазових маркерів походять з адипоциту. До них відносяться глікопротеїн α1, сироватковий амілоїд А, гомолог-пентаксин-3 С-реактивного протеїну, ліпокалін 24p3 та безліч цитокінів [33, 34]. </w:t>
      </w:r>
    </w:p>
    <w:p w:rsidR="00577727" w:rsidRPr="00577727" w:rsidRDefault="00577727" w:rsidP="00577727">
      <w:pPr>
        <w:spacing w:after="0" w:line="360" w:lineRule="auto"/>
        <w:ind w:firstLine="851"/>
        <w:jc w:val="both"/>
        <w:rPr>
          <w:szCs w:val="28"/>
        </w:rPr>
      </w:pPr>
      <w:r w:rsidRPr="00577727">
        <w:rPr>
          <w:szCs w:val="28"/>
        </w:rPr>
        <w:t xml:space="preserve">У міру того, як відносна важливість загального та абдомінального ожиріння все ще обговорюється, саме абдомінальне ожиріння розглядається у фокусі атерогенного різномаїття, оскільки воно сприяє скупченню атерогенних факторів ризику, пов'язаних з резистентністю до інсуліну [35]. Абдомінальне ожиріння, представлене окружністю талії та співвідношенням талії-стегна, було показано як сильний предиктор ІХС, незалежно від загального ступеня ожиріння, хоча ІМТ також впливає на ризик ІХС [36]. </w:t>
      </w:r>
    </w:p>
    <w:p w:rsidR="00577727" w:rsidRPr="00577727" w:rsidRDefault="00577727" w:rsidP="00577727">
      <w:pPr>
        <w:spacing w:after="0" w:line="360" w:lineRule="auto"/>
        <w:ind w:firstLine="851"/>
        <w:jc w:val="both"/>
        <w:rPr>
          <w:szCs w:val="28"/>
        </w:rPr>
      </w:pPr>
      <w:r w:rsidRPr="00577727">
        <w:rPr>
          <w:szCs w:val="28"/>
        </w:rPr>
        <w:t>У кількох регресійних аналізах традиційні маркери серцево-судинних ризиків – ІМТ, холестерин ліпопротеїнів низької щільності (ЛПНЩ) та сімейна історія цукрового діабету (ЦД) 2 типу були довгостроковими факторами накопичення вісцеральної ЖТ та підшкірних об'ємів жиру від молодих до чоловіків середнього віку [37]. Однак надмірна кількість вісцеральної ЖТ була більш патогенним фактором, ніж підшкірний жир, оскільки надмірний вміст вісцеральної ЖТ тісно пов'язаний з кардіометаболічними аномаліями та збільшення постачання вільних жирних кислот до печінки через портальний венозний дренаж за рахунок анатомічної локалізації [38]. У цьому сенсі накопичення вісцеральної ЖТ співвідноситься із зростанням частоти випадків ЦД 2 типу, атерогенної дисліпідемії та гіпертонічної хвороби [39; 40] Важливо відзначити, що в декількох клінічних дослідженнях відкладення вісцеральної абдомінальної ЖТ корелює із серцевою недостатністю (СН). Мульти-етнічне дослідження атеросклерозу (</w:t>
      </w:r>
      <w:r w:rsidRPr="00577727">
        <w:rPr>
          <w:szCs w:val="28"/>
          <w:lang w:val="en-US"/>
        </w:rPr>
        <w:t>MESA</w:t>
      </w:r>
      <w:r w:rsidRPr="00577727">
        <w:rPr>
          <w:szCs w:val="28"/>
        </w:rPr>
        <w:t xml:space="preserve">) демонструє тісний зв'язок вісцерального </w:t>
      </w:r>
      <w:r w:rsidRPr="00577727">
        <w:rPr>
          <w:szCs w:val="28"/>
        </w:rPr>
        <w:lastRenderedPageBreak/>
        <w:t xml:space="preserve">жиру із збільшеною концентричністю та гіпертрофією лівого желудочка [41]. Дослідження </w:t>
      </w:r>
      <w:r w:rsidRPr="00577727">
        <w:rPr>
          <w:szCs w:val="28"/>
          <w:lang w:val="en-US"/>
        </w:rPr>
        <w:t>Health</w:t>
      </w:r>
      <w:r w:rsidRPr="00577727">
        <w:rPr>
          <w:szCs w:val="28"/>
        </w:rPr>
        <w:t xml:space="preserve"> </w:t>
      </w:r>
      <w:r w:rsidRPr="00577727">
        <w:rPr>
          <w:szCs w:val="28"/>
          <w:lang w:val="en-US"/>
        </w:rPr>
        <w:t>ABC</w:t>
      </w:r>
      <w:r w:rsidRPr="00577727">
        <w:rPr>
          <w:szCs w:val="28"/>
        </w:rPr>
        <w:t xml:space="preserve"> та </w:t>
      </w:r>
      <w:r w:rsidRPr="00577727">
        <w:rPr>
          <w:szCs w:val="28"/>
          <w:lang w:val="en-US"/>
        </w:rPr>
        <w:t>Cardiovascular</w:t>
      </w:r>
      <w:r w:rsidRPr="00577727">
        <w:rPr>
          <w:szCs w:val="28"/>
        </w:rPr>
        <w:t xml:space="preserve"> </w:t>
      </w:r>
      <w:r w:rsidRPr="00577727">
        <w:rPr>
          <w:szCs w:val="28"/>
          <w:lang w:val="en-US"/>
        </w:rPr>
        <w:t>Health</w:t>
      </w:r>
      <w:r w:rsidRPr="00577727">
        <w:rPr>
          <w:szCs w:val="28"/>
        </w:rPr>
        <w:t xml:space="preserve"> [42] продемонстрували позитивний зв'язок між вісцеральною ЖТ та СН незалежно від ІМТ, об’єму талії та співвідношення об’єму талії та стегон, як антропометричні значення для прогнозування накопичення вісцеральної ЖТ.</w:t>
      </w:r>
    </w:p>
    <w:p w:rsidR="00577727" w:rsidRPr="00577727" w:rsidRDefault="00577727" w:rsidP="00577727">
      <w:pPr>
        <w:spacing w:after="0" w:line="360" w:lineRule="auto"/>
        <w:ind w:firstLine="851"/>
        <w:jc w:val="both"/>
        <w:rPr>
          <w:szCs w:val="28"/>
        </w:rPr>
      </w:pPr>
      <w:r w:rsidRPr="00577727">
        <w:rPr>
          <w:szCs w:val="28"/>
        </w:rPr>
        <w:t xml:space="preserve">В дослідженні </w:t>
      </w:r>
      <w:r w:rsidRPr="00577727">
        <w:rPr>
          <w:szCs w:val="28"/>
          <w:lang w:val="en-US"/>
        </w:rPr>
        <w:t>Dudina</w:t>
      </w:r>
      <w:r w:rsidRPr="00577727">
        <w:rPr>
          <w:szCs w:val="28"/>
        </w:rPr>
        <w:t xml:space="preserve"> А. і співавт. [43], завершеному і опублікованому в 2011 році, для виявлення кореляції між показником ІМТ та традиційними факторами ризику ССЗ, такими як вік, паління, рівень загального холестерину крові, систолічний АТ, використовувався шкала SCORE (Systematic Coronary Risk Evaluation). За результатами аналізу даних 12 когортних європейських досліджень було зроблено висновок: підвищення ІМТ на кожні п'ять одиниць корелює з ростом серцево-судинної смертності на 34% у чоловіків і на 29% у жінок.</w:t>
      </w:r>
    </w:p>
    <w:p w:rsidR="00577727" w:rsidRPr="00577727" w:rsidRDefault="00577727" w:rsidP="00577727">
      <w:pPr>
        <w:spacing w:after="0" w:line="360" w:lineRule="auto"/>
        <w:ind w:firstLine="851"/>
        <w:jc w:val="both"/>
        <w:rPr>
          <w:szCs w:val="28"/>
        </w:rPr>
      </w:pPr>
      <w:r w:rsidRPr="00577727">
        <w:rPr>
          <w:szCs w:val="28"/>
        </w:rPr>
        <w:t>В той же час 2007 року Hassani і співавт. [44] публікують результати своїх спостережень, в яких відзначається, що у пацієнтів з надмірною масою тіла та ІХС, які перенесли ендоваскулярне лікування коронарних артерій, відсоток рестенозів і летальність від кардіоваскулярних причин достовірно нижче, ніж у хворих з нормальною масою тіла. У 2009 році George D. Lundberg і співавт. [45] підтверджують, що у пацієнтів з ХСН наявність ожиріння не погіршує серцево-судинний прогноз: надлишкова маса тіла корелює зі зменшенням загальної летальності на 25%, а при ожирінні I ступеня ризик смерті знижується на 12%. Таким чином, був закріплений термін «парадокс ожиріння», запропонований 2003 року американським нефрологом Kalantar-Zadeh [46]</w:t>
      </w:r>
    </w:p>
    <w:p w:rsidR="00577727" w:rsidRPr="00577727" w:rsidRDefault="00577727" w:rsidP="00577727">
      <w:pPr>
        <w:spacing w:after="0" w:line="360" w:lineRule="auto"/>
        <w:ind w:firstLine="851"/>
        <w:jc w:val="both"/>
        <w:rPr>
          <w:szCs w:val="28"/>
        </w:rPr>
      </w:pPr>
      <w:r w:rsidRPr="00577727">
        <w:rPr>
          <w:szCs w:val="28"/>
        </w:rPr>
        <w:t>Результати найбільшого міжнародного дослідження MONICA - Multinational Monitoring of Trends and Determinants in Cardiovascular Disease (загальна кількість учасників склала 10 мільйонів чоловік у віці 25-64 років), метою якого було виявити, якою мірою серцево-судинна захворюваність залежить від відомих факторів ризику її розвитку , а також щоденних звичок, способу життя і соціально-економічних чинників, продемонструвало, що класичні причини появи і прогресування атеросклерозу підтверджуються лише в 15% випадків у жінок і в 40% у чоловіків [47]</w:t>
      </w:r>
    </w:p>
    <w:p w:rsidR="00577727" w:rsidRPr="00577727" w:rsidRDefault="00577727" w:rsidP="00577727">
      <w:pPr>
        <w:spacing w:after="0" w:line="360" w:lineRule="auto"/>
        <w:ind w:firstLine="851"/>
        <w:jc w:val="both"/>
        <w:rPr>
          <w:szCs w:val="28"/>
        </w:rPr>
      </w:pPr>
      <w:r w:rsidRPr="00577727">
        <w:rPr>
          <w:szCs w:val="28"/>
        </w:rPr>
        <w:lastRenderedPageBreak/>
        <w:t xml:space="preserve">Також в системному огляді 40 досліджень з включенням 250 000 пацієнтів було проаналізовано, якою мірою ожиріння впливає на загальну і коронарну смертність у пацієнтів з ІХС [48]. За час спостереження,що склав 3,8 років, було показано, що особи з надмірною вагою і ожирінням мають більш низький ризик як загальної, так і серцево-судинної смертності в порівнянні з особами з нормальною та зниженою вагою. Однак пацієнти з ІМТ більше 35 кг/м2 достовірно частіше вмирали від кардіальних причин без підвищення загальної смертності. </w:t>
      </w:r>
    </w:p>
    <w:p w:rsidR="00577727" w:rsidRPr="00577727" w:rsidRDefault="00577727" w:rsidP="00577727">
      <w:pPr>
        <w:spacing w:after="0" w:line="360" w:lineRule="auto"/>
        <w:ind w:firstLine="851"/>
        <w:jc w:val="both"/>
        <w:rPr>
          <w:szCs w:val="28"/>
        </w:rPr>
      </w:pPr>
      <w:r w:rsidRPr="00577727">
        <w:rPr>
          <w:szCs w:val="28"/>
        </w:rPr>
        <w:t>У дослідженні APPROACH (Alberta Provincial Project for Outcome Assessment in Coronary Heart Disease) вивчався вплив ІМТ на загальну смертність в залежності від виду лікування підтвердженої ІХС [49]. Більше 30 тисяч пацієнтів спостерігали протягом 46 місяців. Вони були розділені на групи за рівнем ІМТ і виду лікування ІХС: медикаментозна терапія, стентування коронарних артерій і аорто-коронарне шунтування. У групі пацієнтів, що мали надлишкову масу тіла або ожиріння, що не перевищує 1-2-й ступінь, які отримують медикаментозну терапію, ІМТ корелював з більш низькою смертністю в порівнянні з нормальною вагою. Проте, хворі з надмірною вагою і помірним ожирінням частіше піддавалися реваскулярізуючим втручанням, незважаючи на те, що були менш схильні до прогностично несприятливого ураження лівої коронарної артерії. Останнє спостереження дослідники пов'язали з тим, що ці пацієнти частіше мали гіперхолестеринемію, АГ, порушену толерантність до глюкози або ЦД.</w:t>
      </w:r>
    </w:p>
    <w:p w:rsidR="00577727" w:rsidRPr="00577727" w:rsidRDefault="00577727" w:rsidP="00577727">
      <w:pPr>
        <w:spacing w:after="0" w:line="360" w:lineRule="auto"/>
        <w:ind w:firstLine="851"/>
        <w:jc w:val="both"/>
        <w:rPr>
          <w:szCs w:val="28"/>
        </w:rPr>
      </w:pPr>
      <w:r w:rsidRPr="00577727">
        <w:rPr>
          <w:szCs w:val="28"/>
        </w:rPr>
        <w:t>Аналізуючи дослідження за участю 26 тисяч пацієнтів, кому проводилося ендоваскулярне лікування ІХС, підтвердилися раніше отримані висновки: при ІМТ в діапазоні 25 – 40 кг/м</w:t>
      </w:r>
      <w:r w:rsidRPr="00577727">
        <w:rPr>
          <w:szCs w:val="28"/>
          <w:vertAlign w:val="superscript"/>
        </w:rPr>
        <w:t>2</w:t>
      </w:r>
      <w:r w:rsidRPr="00577727">
        <w:rPr>
          <w:szCs w:val="28"/>
        </w:rPr>
        <w:t xml:space="preserve"> серцево-судинний прогноз менш сприятливий. Цікаво, що в даному дослідженні, що закінчилося в 2010 р [50], виживаність в групі хворих з ІМТ 25 – 40 кг/м2 вище в порівнянні як з крайніми показниками ІМТ, так і з нормальною вагою.</w:t>
      </w:r>
    </w:p>
    <w:p w:rsidR="00577727" w:rsidRPr="00577727" w:rsidRDefault="00577727" w:rsidP="00577727">
      <w:pPr>
        <w:spacing w:after="0" w:line="360" w:lineRule="auto"/>
        <w:ind w:firstLine="851"/>
        <w:jc w:val="both"/>
        <w:rPr>
          <w:szCs w:val="28"/>
        </w:rPr>
      </w:pPr>
      <w:r w:rsidRPr="00577727">
        <w:rPr>
          <w:szCs w:val="28"/>
        </w:rPr>
        <w:t xml:space="preserve">У 2012 р шведськими вченими опубліковані результати великого дослідження за участю 38 000 пацієнтів, які перенесли гострий коронарний </w:t>
      </w:r>
      <w:r w:rsidRPr="00577727">
        <w:rPr>
          <w:szCs w:val="28"/>
        </w:rPr>
        <w:lastRenderedPageBreak/>
        <w:t>синдром (ГКС) [51]. Особи з гемодинамічно значущими стенозами за результатами коронарографії були розділені за ступенем ІМТ на 9 груп. Протягом 3-річного періоду спостереження найбільша смертність від усіх причин зареєстрована у пацієнтів з дефіцитом ваги, потім з нормальною вагою, а найменша смертність - у осіб з надлишковою масою тіла. Ті ж результати спостерігалися в групі у майже 29 тисяч осіб, кому проводилося стентування коронарних артерій. Смертність достовірно знижувалася від групи з дефіцитом ваги (12,4%) до групи з надмірною вагою і ожирінням з ІМТ до 35 кг / м2 (3,9%). При ІМТ понад 35 кг/м2 смертність починала зростати. Вчені пояснили отримані результати дією деяких невстановлених чинників у пацієнтів з надмірною вагою, або наявністю кардіопротективного ефекту ЖТ.</w:t>
      </w:r>
    </w:p>
    <w:p w:rsidR="00577727" w:rsidRPr="00577727" w:rsidRDefault="00577727" w:rsidP="00577727">
      <w:pPr>
        <w:spacing w:after="0" w:line="360" w:lineRule="auto"/>
        <w:ind w:firstLine="851"/>
        <w:jc w:val="both"/>
        <w:rPr>
          <w:szCs w:val="28"/>
        </w:rPr>
      </w:pPr>
      <w:r w:rsidRPr="00577727">
        <w:rPr>
          <w:szCs w:val="28"/>
        </w:rPr>
        <w:t>За новою інформацією американські вчені в дослідженні, опублікованому на сайті журналу The JAMA Cardiology у лютому 2018 року, заперечують існування так званого «парадоксу ожиріння» [52]. Для цього вчені зібрали дані 190 тисяч осіб з десяти досліджень з 1964 по 2015 рік. При порівнянні було зроблено висновок, що у чоловіків з надмірною вагою (ІМТ від 25 до 29,9 кг/м</w:t>
      </w:r>
      <w:r w:rsidRPr="00577727">
        <w:rPr>
          <w:szCs w:val="28"/>
          <w:vertAlign w:val="superscript"/>
        </w:rPr>
        <w:t>2</w:t>
      </w:r>
      <w:r w:rsidRPr="00577727">
        <w:rPr>
          <w:szCs w:val="28"/>
        </w:rPr>
        <w:t>) вірогідність ССЗ більше на 21%, а у жінок - на 32%. Серед людей з ожирінням (ІМТ від 30 до 39,9) такий ризик зростає до 67% у чоловіків і 85% у жінок. Але автори дослідження відзначають, що індекс маси тіла впливає безпосередньо не на тривалість життя, а тільки на ризики небезпечних захворювань.</w:t>
      </w:r>
    </w:p>
    <w:p w:rsidR="00864DAF" w:rsidRDefault="00577727" w:rsidP="00577727">
      <w:pPr>
        <w:spacing w:after="0" w:line="360" w:lineRule="auto"/>
        <w:ind w:firstLine="851"/>
        <w:jc w:val="both"/>
        <w:rPr>
          <w:szCs w:val="28"/>
        </w:rPr>
      </w:pPr>
      <w:r w:rsidRPr="00577727">
        <w:rPr>
          <w:szCs w:val="28"/>
        </w:rPr>
        <w:t>Тож на сьогодні вивчення впливу ожиріння на перебіг серцево-судинних захворювань, особливо ГІМ, досі залишається актуальною та дискутабельною проблемою сучасної медицини внутрішніх хвороб.</w:t>
      </w:r>
    </w:p>
    <w:p w:rsidR="00864DAF" w:rsidRDefault="00864DAF">
      <w:pPr>
        <w:rPr>
          <w:szCs w:val="28"/>
        </w:rPr>
      </w:pPr>
      <w:r>
        <w:rPr>
          <w:szCs w:val="28"/>
        </w:rPr>
        <w:br w:type="page"/>
      </w:r>
    </w:p>
    <w:p w:rsidR="00577727" w:rsidRPr="00577727" w:rsidRDefault="00577727" w:rsidP="00577727">
      <w:pPr>
        <w:spacing w:after="0" w:line="360" w:lineRule="auto"/>
        <w:ind w:firstLine="851"/>
        <w:jc w:val="both"/>
        <w:rPr>
          <w:szCs w:val="28"/>
        </w:rPr>
      </w:pPr>
      <w:r w:rsidRPr="00577727">
        <w:rPr>
          <w:szCs w:val="28"/>
        </w:rPr>
        <w:lastRenderedPageBreak/>
        <w:t xml:space="preserve">1.2. Галектин-3 та вітронектин </w:t>
      </w:r>
      <w:r w:rsidR="007571E1">
        <w:rPr>
          <w:szCs w:val="28"/>
        </w:rPr>
        <w:t>як індикатори гострого інфаркту міокарда у хворих з ожирінням</w:t>
      </w:r>
    </w:p>
    <w:p w:rsidR="00577727" w:rsidRPr="00577727" w:rsidRDefault="00577727" w:rsidP="00577727">
      <w:pPr>
        <w:spacing w:after="0" w:line="360" w:lineRule="auto"/>
        <w:ind w:firstLine="851"/>
        <w:jc w:val="both"/>
        <w:rPr>
          <w:szCs w:val="28"/>
        </w:rPr>
      </w:pPr>
      <w:r w:rsidRPr="00577727">
        <w:rPr>
          <w:szCs w:val="28"/>
        </w:rPr>
        <w:t>Галектини - це сімейство β-галактозид-зв'язуючих лектинів з одним та більше еволюційно-консервативним вуглеводрозпізнаючим доменом (С</w:t>
      </w:r>
      <w:r w:rsidRPr="00577727">
        <w:rPr>
          <w:szCs w:val="28"/>
          <w:lang w:val="en-US"/>
        </w:rPr>
        <w:t>RD</w:t>
      </w:r>
      <w:r w:rsidRPr="00577727">
        <w:rPr>
          <w:szCs w:val="28"/>
        </w:rPr>
        <w:t xml:space="preserve">) [53]. В даний час у ссавців виявлено 15 галектинів, які поділяються на три типи на основі доменної організації наступним чином: 1) прототипи – галектини з одним єдиним </w:t>
      </w:r>
      <w:r w:rsidRPr="00577727">
        <w:rPr>
          <w:szCs w:val="28"/>
          <w:lang w:val="en-US"/>
        </w:rPr>
        <w:t>CRD</w:t>
      </w:r>
      <w:r w:rsidRPr="00577727">
        <w:rPr>
          <w:szCs w:val="28"/>
        </w:rPr>
        <w:t xml:space="preserve">; 2) галектини типу «тандем-повтору» з двома CRD на одній поліпептидній ланці; 3) химерні галектини – галектини, що складаються з CRD і нелектинової частини, багатої проліном і гліцином; здатні утворювати пентамер при зв'язуванні з мультивалентними вуглеводами [54]. Відомо, що галектин-3 є єдиним галектином хімерного типу. </w:t>
      </w:r>
    </w:p>
    <w:p w:rsidR="00577727" w:rsidRPr="00577727" w:rsidRDefault="00577727" w:rsidP="00577727">
      <w:pPr>
        <w:spacing w:after="0" w:line="360" w:lineRule="auto"/>
        <w:ind w:firstLine="851"/>
        <w:jc w:val="both"/>
        <w:rPr>
          <w:szCs w:val="28"/>
        </w:rPr>
      </w:pPr>
      <w:r w:rsidRPr="00577727">
        <w:rPr>
          <w:szCs w:val="28"/>
        </w:rPr>
        <w:t xml:space="preserve">Галектин-3 людини - білок з молекулярною масою 35 кДа, кодований геном LGALS3, розташований на 14-й хромосомі. N-кінцевий домен галектину-3 є важливим для його мультимерізації, чутливої до протеолізу матричними металопротеїназами, і може брати участь у взаємодії з іншими внутрішньоклітинними білками [55]. Крім того, перші 12 амінокислот галектину-3 необхідні для його секреції та ядерної транслокації. Таким чином, галектин-3 зв'язує білки вуглеводзалежним та незалежним чином. </w:t>
      </w:r>
    </w:p>
    <w:p w:rsidR="00577727" w:rsidRPr="00577727" w:rsidRDefault="00577727" w:rsidP="00577727">
      <w:pPr>
        <w:spacing w:after="0" w:line="360" w:lineRule="auto"/>
        <w:ind w:firstLine="851"/>
        <w:jc w:val="both"/>
        <w:rPr>
          <w:szCs w:val="28"/>
        </w:rPr>
      </w:pPr>
      <w:r w:rsidRPr="00577727">
        <w:rPr>
          <w:szCs w:val="28"/>
        </w:rPr>
        <w:t>Галектин-3 широко виражений у тканинах людини, включаючи всі види імунних клітин (макрофаги, моноцити, дендритні клітини, еозинофіли, тучні клітини, натуральні кілери та активізовані Т і В клітини), епітеліальні клітини, ендотеліальні клітини та сенсорні нейрони [56]. Експресія галектину-3 в тканинах регулюється залежно від етапу розвитку – воно є більш поширеним під час ембріогенезу та розвитку в порівнянні з дорослим життям [57]. Крім того, на ранніх стадіях ембріогенезу характер вираженості його експресії більш специфічний та переважно знаходиться в епітелії, нирках, хондроцитах та печінці [58]. Галектин-3 міститься в тканинах легенів, шлунка, кишечника, печінки, підшлункової залози, селезінки, а також в тканинах серця, головного мозку і частини органів ендокринної системи [59; 60]</w:t>
      </w:r>
    </w:p>
    <w:p w:rsidR="00577727" w:rsidRPr="00577727" w:rsidRDefault="00577727" w:rsidP="00577727">
      <w:pPr>
        <w:spacing w:after="0" w:line="360" w:lineRule="auto"/>
        <w:ind w:firstLine="851"/>
        <w:jc w:val="both"/>
        <w:rPr>
          <w:szCs w:val="28"/>
        </w:rPr>
      </w:pPr>
      <w:r w:rsidRPr="00577727">
        <w:rPr>
          <w:szCs w:val="28"/>
        </w:rPr>
        <w:lastRenderedPageBreak/>
        <w:t>Експресія галектина-3 мінімальна у здорових осіб і супроводжується зв'язуванням біомаркера з рецепторами на поверхні різних клітин і глікопротеїнами. Концентрація галектина-3 залежить від статі, віку, індексу маси тіла, наявності цукрового діабету, гіперліпідемії. Також даний протеїн володіє різноманітними функціями, беручи участь в процесах запалення і фіброзування, імунної відповіді організму, зростання і апоптозу клітин, неопластичної трансформації, гіпертрофії міокарда тощо [61; 62]</w:t>
      </w:r>
    </w:p>
    <w:p w:rsidR="00577727" w:rsidRPr="00577727" w:rsidRDefault="00577727" w:rsidP="00577727">
      <w:pPr>
        <w:spacing w:after="0" w:line="360" w:lineRule="auto"/>
        <w:ind w:firstLine="851"/>
        <w:jc w:val="both"/>
        <w:rPr>
          <w:szCs w:val="28"/>
        </w:rPr>
      </w:pPr>
      <w:r w:rsidRPr="00577727">
        <w:rPr>
          <w:szCs w:val="28"/>
        </w:rPr>
        <w:t>Галектин-3 як біомаркер фіброзу та запалення був пов'язаний з розвитком і прогресуванням СН, і може передбачати зростання захворюваності та смертності. Два останніх мета-аналізи показали, що підвищення рівня експресії галектину-3 пов'язане зі смертю при гострій та хронічній СН [63; 64], тоді як інший систематичний огляд демонструє, що галектин-3 неефективний для прогнозування смертності від усіх причин та серцево-судинної смертності, зокрема під впливом певних клінічних факторів, включаючи оцінювання швидкості клубочкової фільтрації (ШКФ), фракцію викиду лівого желудочка (ФВ ЛШ) та N-кінцевого натрійуретичного пептиду pro-B типу (NT-proBNP) [65].</w:t>
      </w:r>
    </w:p>
    <w:p w:rsidR="00577727" w:rsidRPr="00577727" w:rsidRDefault="00577727" w:rsidP="00577727">
      <w:pPr>
        <w:spacing w:after="0" w:line="360" w:lineRule="auto"/>
        <w:ind w:firstLine="851"/>
        <w:jc w:val="both"/>
        <w:rPr>
          <w:szCs w:val="28"/>
        </w:rPr>
      </w:pPr>
      <w:r w:rsidRPr="00577727">
        <w:rPr>
          <w:szCs w:val="28"/>
        </w:rPr>
        <w:t>Проспективне когортне дослідження із 26-місячним терміном спостереження показало, що рівень експресії галектину-3 є незалежним предиктором 26-місячної смертності у пацієнтів з ХСН, а рівень галектину-3 &gt; 21 нг / мл був пов'язаний з підвищенням смертності [66]. У хворих на ІХС та СН підвищений рівень сироваткового галектину-3 був незалежним прогностичним фактором повторної госпіталізації та смертності від усіх причин.</w:t>
      </w:r>
    </w:p>
    <w:p w:rsidR="00577727" w:rsidRPr="00577727" w:rsidRDefault="00577727" w:rsidP="00577727">
      <w:pPr>
        <w:spacing w:after="0" w:line="360" w:lineRule="auto"/>
        <w:ind w:firstLine="851"/>
        <w:jc w:val="both"/>
        <w:rPr>
          <w:szCs w:val="28"/>
        </w:rPr>
      </w:pPr>
      <w:r w:rsidRPr="00577727">
        <w:rPr>
          <w:szCs w:val="28"/>
        </w:rPr>
        <w:t>Роль галектину-3 у розвитку ремоделювання міокарда з формуванням ХСН знайшла підтвердження в експериментальних та клінічних роботах. Передбачається, що галектин-3 може стимулювати міграцію макрофагів у зону пошкодженого міокарда з подальшою активацією фібробластів, міофібробластів і збільшенням синтезу проколагенів I і IV та накопиченням компонентів позаклітинного матриксу, таким чином, викликаючи фіброз міокарда і формуючи, перш за все, систолічну та дистолічну дисфункцію ЛШ [67-69].</w:t>
      </w:r>
    </w:p>
    <w:p w:rsidR="00577727" w:rsidRPr="00577727" w:rsidRDefault="00577727" w:rsidP="00577727">
      <w:pPr>
        <w:spacing w:after="0" w:line="360" w:lineRule="auto"/>
        <w:ind w:firstLine="851"/>
        <w:jc w:val="both"/>
        <w:rPr>
          <w:szCs w:val="28"/>
        </w:rPr>
      </w:pPr>
      <w:r w:rsidRPr="00577727">
        <w:rPr>
          <w:szCs w:val="28"/>
        </w:rPr>
        <w:lastRenderedPageBreak/>
        <w:t>У недавньому випробуванні плазмові концентрації галектину-3 визначалися у осіб з ХСН після проведеної терапії розувастатином в субпопуляції пацієнтів, які взяли участь в дослідженні CORONA (Controlled Rosuvastatin Multinational Trial in Heart Failure) [70]. Метою даного дослідження була оцінка ефективності застосування розувастатину у пацієнтів з систолічною СН ішемічного генезу з низьким плазмовим рівнем галектину-3. Плазмова концентрація галектину-3 була визначена у 1492 пацієнтів, у 411 з яких протягом 33 місяців спостереження були зафіксовані випадки нефатального інсульту, ГІМ або смерть від серцево-судинних причин. Хоча терапія розувастатином не знижує частоту первинних кінцевих точок у пацієнтів з рівнем галектину-3 плазми крові нижче або рівним середньому, відзначалося достовірне зниження частоти подій на 30,4% в порівнянні з пацієнтами тієї ж групи, що одержували плацебо. Цікаво відзначити, що у пацієнтів з рівнем галектину-3 нижче або рівним середньому, які отримували розувастатин, спостерігалася значно низька частота подій. І навпаки, у пацієнтів з плазмовими концентраціями галектину-3 вище середнього рівня терапія розувастатином була неефективною [71]</w:t>
      </w:r>
    </w:p>
    <w:p w:rsidR="00577727" w:rsidRPr="00577727" w:rsidRDefault="00577727" w:rsidP="00577727">
      <w:pPr>
        <w:spacing w:after="0" w:line="360" w:lineRule="auto"/>
        <w:ind w:firstLine="851"/>
        <w:jc w:val="both"/>
        <w:rPr>
          <w:szCs w:val="28"/>
        </w:rPr>
      </w:pPr>
      <w:r w:rsidRPr="00577727">
        <w:rPr>
          <w:szCs w:val="28"/>
        </w:rPr>
        <w:t xml:space="preserve">У проспективному когортному дослідженні з довгостроковим контролем (середній показник 7,2 років) у пацієнтів з ІХС галектин-3 представлений як сильний незалежний предиктор серцево-судинної смертності [72]. У пацієнтів з хронічними формами ІХС збільшення рівня галектину в сироватці крові було пов'язане з більшою частотою серцево-судинних подій [73]. На відміну від цього, ще одне велике когортне дослідження з 13-річним терміном спостереження пацієнтів зі стабільною формою ІХС, після корекції для маркерів гемодинамічного стресу, пошкодження міокарда, запалення та дисфункції нирок, галектин-3 не міг самостійно прогнозувати рецидивуючі серцево-судинні події [74]. У пацієнтів з ІХС рівень галектину-3 у сироватці крові виявив суттєву позитивну асоціацію з вираженою тяжкістю ураження коронарних артерій, яка визначалася за шкалою Генсіні та кількістю уражених судин [75], а збільшення рівня галектину-3 в сироватці крові відображало підвищений ступінь фіброзу міокарда [76]. Навпаки, у пацієнтів з гострим коронарним синдромом (ГКС) </w:t>
      </w:r>
      <w:r w:rsidRPr="00577727">
        <w:rPr>
          <w:szCs w:val="28"/>
        </w:rPr>
        <w:lastRenderedPageBreak/>
        <w:t>рівень галектину-3 в сироватці крові показав достовірний позитивний зв'язок зі шкалою Генсіні, однак, не з кількістю залучених до атеросклеротичного процесу судин [77]. Крім того, у хворих на ГКС з вищими показниками експресії галектину-3 було виявлено зниження ФВ ЛШ та ШКФ [78].</w:t>
      </w:r>
    </w:p>
    <w:p w:rsidR="00577727" w:rsidRPr="00577727" w:rsidRDefault="00577727" w:rsidP="00577727">
      <w:pPr>
        <w:spacing w:after="0" w:line="360" w:lineRule="auto"/>
        <w:ind w:firstLine="851"/>
        <w:jc w:val="both"/>
        <w:rPr>
          <w:szCs w:val="28"/>
        </w:rPr>
      </w:pPr>
      <w:r w:rsidRPr="00577727">
        <w:rPr>
          <w:szCs w:val="28"/>
        </w:rPr>
        <w:t xml:space="preserve">У 2006 році групою вчених під керівництвом van Kimmenade R. R. було проведено дослідження з вивчення діагностичної ролі нового біомаркера галектину-3 у пацієнтів з гострою СН. У дослідження були включені 599 пацієнтів із задишкою та іншими симптомами СН. У всіх пацієнтів визначався рівень галектину-3 і NT-proBNP в плазмі крові. В результаті дослідження було показано, що рівень галектину-3 не корелював з тяжкістю стану пацієнта, що оцінювалась згідно з класифікацією NYHA, і характеризувався більш низькою діагностичною специфічністю і чутливістю для ідентифікації СН в порівнянні з NT-proBNP [79]. </w:t>
      </w:r>
    </w:p>
    <w:p w:rsidR="00577727" w:rsidRPr="00577727" w:rsidRDefault="00577727" w:rsidP="00577727">
      <w:pPr>
        <w:spacing w:after="0" w:line="360" w:lineRule="auto"/>
        <w:ind w:firstLine="851"/>
        <w:jc w:val="both"/>
        <w:rPr>
          <w:szCs w:val="28"/>
        </w:rPr>
      </w:pPr>
      <w:r w:rsidRPr="00577727">
        <w:rPr>
          <w:szCs w:val="28"/>
        </w:rPr>
        <w:t xml:space="preserve">За даними Di Tano, у хворих з першим ГІМ передньої стінки з елевацією сегмента </w:t>
      </w:r>
      <w:r w:rsidRPr="00577727">
        <w:rPr>
          <w:szCs w:val="28"/>
          <w:lang w:val="en-US"/>
        </w:rPr>
        <w:t>ST</w:t>
      </w:r>
      <w:r w:rsidRPr="00577727">
        <w:rPr>
          <w:szCs w:val="28"/>
        </w:rPr>
        <w:t xml:space="preserve"> (</w:t>
      </w:r>
      <w:r w:rsidRPr="00577727">
        <w:rPr>
          <w:szCs w:val="28"/>
          <w:lang w:val="en-US"/>
        </w:rPr>
        <w:t>STEMI</w:t>
      </w:r>
      <w:r w:rsidRPr="00577727">
        <w:rPr>
          <w:szCs w:val="28"/>
        </w:rPr>
        <w:t>) і оклюзією передньої нисхідної артерії, яким було проведене первинне перкутанне коронарне втручання (</w:t>
      </w:r>
      <w:r w:rsidRPr="00577727">
        <w:rPr>
          <w:szCs w:val="28"/>
          <w:lang w:val="en-US"/>
        </w:rPr>
        <w:t>pPCI</w:t>
      </w:r>
      <w:r w:rsidRPr="00577727">
        <w:rPr>
          <w:szCs w:val="28"/>
        </w:rPr>
        <w:t xml:space="preserve">), під час госпіталізації були виявлені підвищені сироваткові рівні галектину-3, і вони були пов'язані з підвищеним ризиком ремоделювання ЛШ [80]. Крім того, підвищені рівні експресії галектину-3 були найбільш ефективним незалежним прогностичним інструментом для комбінованих 30-денних основних несприятливих клінічних подій у пацієнтів з першим ГІМ без передуючої СН, лікованої методом pPCI [81; 82]. Рівень галектину-3 також був пов'язаний з реінфарктом після вперше перенесеного ГІМ [83]. Галектин-3, визначений під час гострого періоду STEMI, проявив себе як незалежний предиктор підвищеного позаклітинного об'єму протягом півроку спостереження, який може бути корисним для тривалої стратифікації ризику [84], і може використовуватися для прогнозування ФВ ЛШ та розміру ураженої ділянки після інфаркту через 4 місяці після вимірювання його концентрації відразу після ГІМ [85]. Крім того, сироваткові рівні галектину-3 значно змінювалися за короткий проміжок часу у хворих зі </w:t>
      </w:r>
      <w:r w:rsidRPr="00577727">
        <w:rPr>
          <w:szCs w:val="28"/>
          <w:lang w:val="en-US"/>
        </w:rPr>
        <w:t>STEMI</w:t>
      </w:r>
      <w:r w:rsidRPr="00577727">
        <w:rPr>
          <w:szCs w:val="28"/>
        </w:rPr>
        <w:t xml:space="preserve">, що пов’язано з часом реперфузії [86]. У пацієнтів з ГІМ рівні </w:t>
      </w:r>
      <w:r w:rsidRPr="00577727">
        <w:rPr>
          <w:szCs w:val="28"/>
        </w:rPr>
        <w:lastRenderedPageBreak/>
        <w:t>експресії галектину-3 були продемонстрували тісний прямий зв'язок з певними запальними факторами, тоді як інше дослідження показало, що рівень галектину-3 не змінювався протягом гострого періоду ІМ та не було знайдено зв'язку між рівнем галектину-3 та гострим ішемічним ураженням міокарда [87]. Також у хворих з ГІМ галектин-3 було виявлено зв’язок з певними біомаркерами, такими як матриксна металлопротеїназа-3, моноцитарний хемоатрактивний протеїн-1 та інтерлейкін (ІЛ)-8, що залучені до обміну позаклітинного матриксу, але з ремоделюванням ЛШ такого зв’язку виявлено не було [88]. Крім того, галектин-3 був позитивно пов'язаний з розміром ІМ та ремоделюванням ЛШ у пацієнтів з анамнезом ускладненого ІМ [87].</w:t>
      </w:r>
    </w:p>
    <w:p w:rsidR="00577727" w:rsidRPr="00577727" w:rsidRDefault="00577727" w:rsidP="00577727">
      <w:pPr>
        <w:spacing w:after="0" w:line="360" w:lineRule="auto"/>
        <w:ind w:firstLine="851"/>
        <w:jc w:val="both"/>
        <w:rPr>
          <w:szCs w:val="28"/>
        </w:rPr>
      </w:pPr>
      <w:r w:rsidRPr="00577727">
        <w:rPr>
          <w:szCs w:val="28"/>
        </w:rPr>
        <w:t xml:space="preserve">Короткострокова прогностична цінність галектину-3 вивчалася в дослідженні </w:t>
      </w:r>
      <w:r w:rsidRPr="00577727">
        <w:rPr>
          <w:szCs w:val="28"/>
          <w:lang w:val="en-US"/>
        </w:rPr>
        <w:t>PRIDE</w:t>
      </w:r>
      <w:r w:rsidRPr="00577727">
        <w:rPr>
          <w:szCs w:val="28"/>
        </w:rPr>
        <w:t xml:space="preserve"> за участю 209 пацієнтів з гострою задишкою, що надійшли до відділення інтенсивної терапії. Протягом 60-денного періоду спостереження за хворими, що мали високі рівні галектину-3 при надходженні до клініки, рецидив гострої СН відзначався у 29% хворих, а 8% померли. Грунтуючись на цих даних, дослідниками був визначений прогностичний показник 60-денний смертності для Г3, рівний 9,42 нг / мл. Загальна частота смертності і рецидивів гострої СН була найбільш високою у пацієнтів з комбінацією високих рівнів як Г3, так і </w:t>
      </w:r>
      <w:r w:rsidRPr="00577727">
        <w:rPr>
          <w:szCs w:val="28"/>
          <w:lang w:val="en-US"/>
        </w:rPr>
        <w:t>NT</w:t>
      </w:r>
      <w:r w:rsidRPr="00577727">
        <w:rPr>
          <w:szCs w:val="28"/>
        </w:rPr>
        <w:t>-</w:t>
      </w:r>
      <w:r w:rsidRPr="00577727">
        <w:rPr>
          <w:szCs w:val="28"/>
          <w:lang w:val="en-US"/>
        </w:rPr>
        <w:t>proBNP</w:t>
      </w:r>
      <w:r w:rsidRPr="00577727">
        <w:rPr>
          <w:szCs w:val="28"/>
        </w:rPr>
        <w:t xml:space="preserve">. Таким чином, хоча діагностична цінність </w:t>
      </w:r>
      <w:r w:rsidRPr="00577727">
        <w:rPr>
          <w:szCs w:val="28"/>
          <w:lang w:val="en-US"/>
        </w:rPr>
        <w:t>NT</w:t>
      </w:r>
      <w:r w:rsidRPr="00577727">
        <w:rPr>
          <w:szCs w:val="28"/>
        </w:rPr>
        <w:t>-</w:t>
      </w:r>
      <w:r w:rsidRPr="00577727">
        <w:rPr>
          <w:szCs w:val="28"/>
          <w:lang w:val="en-US"/>
        </w:rPr>
        <w:t>proBNP</w:t>
      </w:r>
      <w:r w:rsidRPr="00577727">
        <w:rPr>
          <w:szCs w:val="28"/>
        </w:rPr>
        <w:t xml:space="preserve"> для СН перевищувала таку у галектину-3, останній був більш потужним предиктором короткострокової смертності [89].</w:t>
      </w:r>
    </w:p>
    <w:p w:rsidR="00577727" w:rsidRPr="00577727" w:rsidRDefault="00577727" w:rsidP="00577727">
      <w:pPr>
        <w:spacing w:after="0" w:line="360" w:lineRule="auto"/>
        <w:ind w:firstLine="851"/>
        <w:jc w:val="both"/>
        <w:rPr>
          <w:szCs w:val="28"/>
        </w:rPr>
      </w:pPr>
      <w:r w:rsidRPr="00577727">
        <w:rPr>
          <w:szCs w:val="28"/>
        </w:rPr>
        <w:t xml:space="preserve">Беручи до уваги результати нещодавнього дослідження </w:t>
      </w:r>
      <w:r w:rsidRPr="00577727">
        <w:rPr>
          <w:szCs w:val="28"/>
          <w:lang w:val="en-US"/>
        </w:rPr>
        <w:t>Erkilet</w:t>
      </w:r>
      <w:r w:rsidRPr="00577727">
        <w:rPr>
          <w:szCs w:val="28"/>
        </w:rPr>
        <w:t xml:space="preserve"> з співавт. [90], а також результати дослідження </w:t>
      </w:r>
      <w:r w:rsidRPr="00577727">
        <w:rPr>
          <w:szCs w:val="28"/>
          <w:lang w:val="en-US"/>
        </w:rPr>
        <w:t>COACH</w:t>
      </w:r>
      <w:r w:rsidRPr="00577727">
        <w:rPr>
          <w:szCs w:val="28"/>
        </w:rPr>
        <w:t xml:space="preserve"> [91], можна підтвердити той факт, що галектин-3 є не тільки кардіоспецифічним біомаркером. Виходячи з того, що прогностична потужність цього біомаркера може бути обумовлена нирковою дисфункцією, будь-які висновки, що грунтуються на плазмових рівнях галектина-3, повинні завжди розглядатися в контексті коморбідних станів. </w:t>
      </w:r>
    </w:p>
    <w:p w:rsidR="00577727" w:rsidRPr="00577727" w:rsidRDefault="00577727" w:rsidP="00577727">
      <w:pPr>
        <w:spacing w:after="0" w:line="360" w:lineRule="auto"/>
        <w:ind w:firstLine="851"/>
        <w:jc w:val="both"/>
        <w:rPr>
          <w:szCs w:val="28"/>
        </w:rPr>
      </w:pPr>
      <w:r w:rsidRPr="00577727">
        <w:rPr>
          <w:szCs w:val="28"/>
        </w:rPr>
        <w:t xml:space="preserve">Зважаючи на те, що попередні дослідження продемонстрували різні біологічні дії даного лектину, вплив на проліферацію клітин, а також зміни його концентрації при непластичних трансформаціях [92-101] та при прогресуванні </w:t>
      </w:r>
      <w:r w:rsidRPr="00577727">
        <w:rPr>
          <w:szCs w:val="28"/>
        </w:rPr>
        <w:lastRenderedPageBreak/>
        <w:t>атеросклеротичного ураження, ці дані свідчать про порушення експресії галектину-3 під час цих фізіологічних та патологічних змін. Це дозволяє припустити, що галектин-3 може мати здатність змінювати кількість клітин адипоцитів.</w:t>
      </w:r>
    </w:p>
    <w:p w:rsidR="00577727" w:rsidRPr="00577727" w:rsidRDefault="00577727" w:rsidP="00577727">
      <w:pPr>
        <w:spacing w:after="0" w:line="360" w:lineRule="auto"/>
        <w:ind w:firstLine="851"/>
        <w:jc w:val="both"/>
        <w:rPr>
          <w:szCs w:val="28"/>
        </w:rPr>
      </w:pPr>
      <w:r w:rsidRPr="00577727">
        <w:rPr>
          <w:szCs w:val="28"/>
        </w:rPr>
        <w:t>Дослідження Kiwaki К. et al.</w:t>
      </w:r>
      <w:r>
        <w:rPr>
          <w:szCs w:val="28"/>
        </w:rPr>
        <w:t xml:space="preserve"> </w:t>
      </w:r>
      <w:r w:rsidRPr="00577727">
        <w:rPr>
          <w:szCs w:val="28"/>
        </w:rPr>
        <w:t xml:space="preserve">[102] продемонструвало, що галектин-3 експресується переважно в преадипоцитарній фракції в жировій тканині людини. Крім того, екзогенний галектин-3 стимулює синтез ДНК у дозозалежній формі за допомогою лектин-вуглеводної взаємодії, оскільки він може бути суттєво інгібований лактозою, дисахаридом, який є конкурентоспроможним для зв'язування вуглеводів галектином-3. Взяті разом дані дозволяють припустити, що ендогенний галектин-3 може відігравати важливу роль при ожирінні </w:t>
      </w:r>
    </w:p>
    <w:p w:rsidR="00577727" w:rsidRPr="00577727" w:rsidRDefault="00577727" w:rsidP="00577727">
      <w:pPr>
        <w:spacing w:after="0" w:line="360" w:lineRule="auto"/>
        <w:ind w:firstLine="851"/>
        <w:jc w:val="both"/>
        <w:rPr>
          <w:szCs w:val="28"/>
        </w:rPr>
      </w:pPr>
      <w:r w:rsidRPr="00577727">
        <w:rPr>
          <w:szCs w:val="28"/>
        </w:rPr>
        <w:t>Кілька досліджень досліджували зв'язок між циркулюючими рівнями галектину-3, ожирінням та параметрами метаболізму глюкози та чутливості до інсуліну у хворих на ЦД 2 типу. Weigert et al. [103</w:t>
      </w:r>
      <w:r w:rsidRPr="00577727">
        <w:rPr>
          <w:iCs/>
          <w:szCs w:val="28"/>
        </w:rPr>
        <w:t xml:space="preserve">] </w:t>
      </w:r>
      <w:r w:rsidRPr="00577727">
        <w:rPr>
          <w:szCs w:val="28"/>
        </w:rPr>
        <w:t xml:space="preserve"> у своєму дослідженні відзначили підвищення рівня циркулюючого галектину-3 у 30 осіб без ЦД 2 типу з надмірною вагою та 30 хворих на ЦД 2-го типу порівняно з 23-ма пацієнтами групи контролю з нормальною вагою. Всі вони продемонстрували рівні галектину-3, які позитивно корелювали з ІМТ. </w:t>
      </w:r>
    </w:p>
    <w:p w:rsidR="00577727" w:rsidRPr="00577727" w:rsidRDefault="00577727" w:rsidP="00577727">
      <w:pPr>
        <w:spacing w:after="0" w:line="360" w:lineRule="auto"/>
        <w:ind w:firstLine="851"/>
        <w:jc w:val="both"/>
        <w:rPr>
          <w:szCs w:val="28"/>
        </w:rPr>
      </w:pPr>
      <w:r w:rsidRPr="00577727">
        <w:rPr>
          <w:szCs w:val="28"/>
        </w:rPr>
        <w:t xml:space="preserve">Вітронектин, також відомий як сироватковий розповсюджувальний фактор, S-білок та епіболін - це багатофункціональний глікопротеїн, присутній у крові у вигляді компонента альфа-гранул тромбоцитів, сечі, амніотичній рідині та екстрацелюлярному матриксі тканин. На відміну від інших білків екстрацелюлярного матриксу з структурними функціями, такими як колаген, фібронектин або ламінін, вітронектин є «матрично-целюлярним» білком: його функції залежать від взаємодії з іншими видами, включаючи матричні білки, рецептори клітинної поверхні або інші молекули, такі як цитокіни. Він має високий ступінь конформаційної гнучкості, і кожна конформація підтримує певні біологічні дії. Він відіграє роль у регулюванні комплементу і системи коагуляції, зв'язується з гепарином і нейтралізує інактивацію тромбіну антитромбіном III </w:t>
      </w:r>
      <w:r w:rsidRPr="00577727">
        <w:rPr>
          <w:szCs w:val="28"/>
        </w:rPr>
        <w:lastRenderedPageBreak/>
        <w:t>[104]. Також відомо, що вітронектин відіграє ключову роль у регуляції клітинної диференціації, проліферації, міграції та морфогенезу [105].</w:t>
      </w:r>
    </w:p>
    <w:p w:rsidR="00577727" w:rsidRPr="00577727" w:rsidRDefault="00577727" w:rsidP="00577727">
      <w:pPr>
        <w:spacing w:after="0" w:line="360" w:lineRule="auto"/>
        <w:ind w:firstLine="851"/>
        <w:jc w:val="both"/>
        <w:rPr>
          <w:szCs w:val="28"/>
        </w:rPr>
      </w:pPr>
      <w:r w:rsidRPr="00577727">
        <w:rPr>
          <w:szCs w:val="28"/>
        </w:rPr>
        <w:t>Основним органом синтезу вітронектину є печінка, але також він продукується тромбоцитами, моноцитами, макрофагами, та мегакаріоцитами [106].</w:t>
      </w:r>
    </w:p>
    <w:p w:rsidR="00475927" w:rsidRDefault="00577727" w:rsidP="00864DAF">
      <w:pPr>
        <w:spacing w:after="0" w:line="360" w:lineRule="auto"/>
        <w:ind w:firstLine="851"/>
        <w:jc w:val="both"/>
        <w:rPr>
          <w:szCs w:val="28"/>
        </w:rPr>
      </w:pPr>
      <w:r w:rsidRPr="00577727">
        <w:rPr>
          <w:szCs w:val="28"/>
        </w:rPr>
        <w:t xml:space="preserve">Одним з характерних властивостей вітронектину є його здатність зв'язуватися з багатьма типами білків, включаючи колаген, інтегринові рецептори, фактори згортання крові та фактори імунного генезу, що викликають лізис клітин, а також протеази, які беруть участь в деградації позаклітинного матриксу [107]. Мономери вітронектину можуть зв'язуватися один з одним і утворювати високомолекулярні комплекси. Специфічні сайти зв'язування були ідентифіковані при дослідженні зв'язування один з одним синтетичних пептидних фрагментів вітронектину. В результаті була отримана карта доменів зв'язування, які переважно знаходяться на С- і N-кінцевих ділянках молекули білка [108]. </w:t>
      </w:r>
    </w:p>
    <w:p w:rsidR="00577727" w:rsidRPr="00864DAF" w:rsidRDefault="00577727" w:rsidP="00577727">
      <w:pPr>
        <w:spacing w:after="0" w:line="360" w:lineRule="auto"/>
        <w:ind w:firstLine="851"/>
        <w:jc w:val="both"/>
        <w:rPr>
          <w:szCs w:val="28"/>
        </w:rPr>
      </w:pPr>
      <w:r w:rsidRPr="00864DAF">
        <w:rPr>
          <w:szCs w:val="28"/>
        </w:rPr>
        <w:t xml:space="preserve">Існує думка, що скручування молекули відбувається в результаті іонних взаємодій між її негативно зарядженою N-кінцевою ділянкою і позитивно зарядженою С-кінцевою ділянкою. Скручені мономери вітронектину циркулюють в кровотоці, не втрачаючи своєї форми. Хоча передбачається, що для ініціації процесу зв'язування з білками молекула вітронектину повинна частково розвернутися, або «розпакувати», невідомо, яким чином це відбувається. Дослідження in vitro препаратів очищеного вітронектину показали, що його структура чутлива до змін pH і концентрації іонів [109]. Це дозволяє припускати, що розкручування молекули може ініціюватися змінами в складі плазми крові. Можливо також, що часткове розкручування може відбуватися спонтанно і супроводжуватися появою невеликої кількості циркулюючих розгорнутих мономерів вітронектину. Розкручування молекул вітронектину і демаскування доменів зв'язування білків може призводить до різних результатів. Так, вітронектин може утворити в крові великі агрегати, до яких приєднуються клітини. Вітронектин служить в цьому випадку опорною структурою, що забезпечує правильну локалізацію кров'яних згустків [110]. У частково </w:t>
      </w:r>
      <w:r w:rsidRPr="00864DAF">
        <w:rPr>
          <w:szCs w:val="28"/>
        </w:rPr>
        <w:lastRenderedPageBreak/>
        <w:t>розкручених молекулах вітронектину відкриваються сайти зв'язування інтегринових рецепторів на тромбоцитах, що направляє тромбоцити до місць пошкодження судин. Пов'язані тромбоцити активуються і вивільняють інші чинники, що сприяють утворенню згустку.</w:t>
      </w:r>
    </w:p>
    <w:p w:rsidR="00577727" w:rsidRPr="00864DAF" w:rsidRDefault="00577727" w:rsidP="00577727">
      <w:pPr>
        <w:spacing w:after="0" w:line="360" w:lineRule="auto"/>
        <w:ind w:firstLine="851"/>
        <w:jc w:val="both"/>
        <w:rPr>
          <w:szCs w:val="28"/>
        </w:rPr>
      </w:pPr>
      <w:r w:rsidRPr="00864DAF">
        <w:rPr>
          <w:szCs w:val="28"/>
        </w:rPr>
        <w:t>Структурні особливості вітронектину визначають його участь у багатьох процесах, що мають місце при нормальному і патологічному станах системи гемостазу. Циркулюючий в крові вітронектин представлений, в основному, мономерной формою, однак під дією активаторів він переходить в більш активну мультимерну форму, яка пов'язує гепарин, і утворює стабільний комплекс з інгібітором активатора плазміногену (</w:t>
      </w:r>
      <w:r w:rsidRPr="00864DAF">
        <w:rPr>
          <w:szCs w:val="28"/>
          <w:lang w:val="en-US"/>
        </w:rPr>
        <w:t>PAI</w:t>
      </w:r>
      <w:r w:rsidRPr="00864DAF">
        <w:rPr>
          <w:szCs w:val="28"/>
        </w:rPr>
        <w:t xml:space="preserve">-1). У мультимерній формі вітронектин виявляють в складі атеросклеротичних бляшок і в ділянках судинного пошкодження або запалення. До теперішнього часу в літературі з'явилися нові дані щодо функціональної ролі цього білка, що знаходяться в протиріччі з колишніми уявленнями [111]. </w:t>
      </w:r>
    </w:p>
    <w:p w:rsidR="00577727" w:rsidRPr="00577727" w:rsidRDefault="00577727" w:rsidP="00577727">
      <w:pPr>
        <w:spacing w:after="0" w:line="360" w:lineRule="auto"/>
        <w:jc w:val="both"/>
        <w:rPr>
          <w:szCs w:val="28"/>
        </w:rPr>
      </w:pPr>
      <w:r w:rsidRPr="00577727">
        <w:rPr>
          <w:szCs w:val="28"/>
        </w:rPr>
        <w:br w:type="page"/>
      </w:r>
    </w:p>
    <w:p w:rsidR="00577727" w:rsidRPr="00577727" w:rsidRDefault="00577727" w:rsidP="00577727">
      <w:pPr>
        <w:spacing w:after="0" w:line="360" w:lineRule="auto"/>
        <w:ind w:firstLine="851"/>
        <w:jc w:val="both"/>
        <w:rPr>
          <w:szCs w:val="28"/>
        </w:rPr>
      </w:pPr>
      <w:r w:rsidRPr="00577727">
        <w:rPr>
          <w:szCs w:val="28"/>
        </w:rPr>
        <w:lastRenderedPageBreak/>
        <w:t>1.3. Терапевтична стратегія використання подвійної антитромбоцитарної терапії в лікуванні хворих на гострий інфаркт міокарда за наявності та відсутності супутнього ожиріння.</w:t>
      </w:r>
    </w:p>
    <w:p w:rsidR="00577727" w:rsidRPr="00577727" w:rsidRDefault="00577727" w:rsidP="00577727">
      <w:pPr>
        <w:spacing w:after="0" w:line="360" w:lineRule="auto"/>
        <w:ind w:firstLine="851"/>
        <w:jc w:val="both"/>
        <w:rPr>
          <w:szCs w:val="28"/>
        </w:rPr>
      </w:pPr>
      <w:r w:rsidRPr="00577727">
        <w:rPr>
          <w:szCs w:val="28"/>
        </w:rPr>
        <w:t xml:space="preserve">На сьогодні інтенсивне впровадження в практику сучасних стандартів лікування та профілактики є поштовхом для збільшення рівня виживаності хворих на ГІМ. В останні роки разом з постійною медикаментозною терапією значно збільшилася значимість і реваскуляризації міокарда, однак, як показали результати, хоча в багатьох випадках і дискутабельні, дослідження COURAGE, правильно підібрана та постійно застосовувана терапія порівняна за результативністю з інвазивними методами [112]. Незалежно від додаткового застосування інвазивних методів лікування, антитромбоцитарна терапія залишається основною терапевтичною стратегією як в ситуації гострого коронарного синдрому (ГКС), так і після для вторинної профілактики наступних небажаних кардіоваскулярних подій та представляє собою комбінацію ацетилсаліцилової кислоти (АСК) та інгібітора </w:t>
      </w:r>
      <w:r w:rsidRPr="00577727">
        <w:rPr>
          <w:rFonts w:eastAsia="Calibri"/>
          <w:iCs/>
          <w:szCs w:val="28"/>
          <w:lang w:val="en-US"/>
        </w:rPr>
        <w:t>P</w:t>
      </w:r>
      <w:r w:rsidRPr="00577727">
        <w:rPr>
          <w:rFonts w:eastAsia="Calibri"/>
          <w:iCs/>
          <w:szCs w:val="28"/>
          <w:vertAlign w:val="subscript"/>
        </w:rPr>
        <w:t>2</w:t>
      </w:r>
      <w:r w:rsidRPr="00577727">
        <w:rPr>
          <w:rFonts w:eastAsia="Calibri"/>
          <w:iCs/>
          <w:szCs w:val="28"/>
          <w:lang w:val="en-US"/>
        </w:rPr>
        <w:t>Y</w:t>
      </w:r>
      <w:r w:rsidRPr="00577727">
        <w:rPr>
          <w:rFonts w:eastAsia="Calibri"/>
          <w:iCs/>
          <w:szCs w:val="28"/>
          <w:vertAlign w:val="subscript"/>
        </w:rPr>
        <w:t>12</w:t>
      </w:r>
      <w:r w:rsidRPr="00577727">
        <w:rPr>
          <w:rFonts w:eastAsia="Calibri"/>
          <w:iCs/>
          <w:szCs w:val="28"/>
        </w:rPr>
        <w:t>-рецепторів</w:t>
      </w:r>
      <w:r w:rsidRPr="00577727">
        <w:rPr>
          <w:szCs w:val="28"/>
        </w:rPr>
        <w:t>. Пригнічення агрегації тромбоцитів шляхом впливу на рецептори P</w:t>
      </w:r>
      <w:r w:rsidRPr="00577727">
        <w:rPr>
          <w:szCs w:val="28"/>
          <w:vertAlign w:val="subscript"/>
        </w:rPr>
        <w:t>2</w:t>
      </w:r>
      <w:r w:rsidRPr="00577727">
        <w:rPr>
          <w:szCs w:val="28"/>
        </w:rPr>
        <w:t>Y</w:t>
      </w:r>
      <w:r w:rsidRPr="00577727">
        <w:rPr>
          <w:szCs w:val="28"/>
          <w:vertAlign w:val="subscript"/>
        </w:rPr>
        <w:t>12</w:t>
      </w:r>
      <w:r w:rsidRPr="00577727">
        <w:rPr>
          <w:szCs w:val="28"/>
        </w:rPr>
        <w:t xml:space="preserve"> застосовується в клінічній практиці вже більше 15 років, коли в клінічному дослідженні CURE блокатор рецепторів P</w:t>
      </w:r>
      <w:r w:rsidRPr="00577727">
        <w:rPr>
          <w:szCs w:val="28"/>
          <w:vertAlign w:val="subscript"/>
        </w:rPr>
        <w:t>2</w:t>
      </w:r>
      <w:r w:rsidRPr="00577727">
        <w:rPr>
          <w:szCs w:val="28"/>
        </w:rPr>
        <w:t>Y</w:t>
      </w:r>
      <w:r w:rsidRPr="00577727">
        <w:rPr>
          <w:szCs w:val="28"/>
          <w:vertAlign w:val="subscript"/>
        </w:rPr>
        <w:t>12</w:t>
      </w:r>
      <w:r w:rsidRPr="00577727">
        <w:rPr>
          <w:szCs w:val="28"/>
        </w:rPr>
        <w:t xml:space="preserve"> клопідогрель, доданий до АСК у паціент з ГКС без елевації сегменту ST, показав перевагу перед використанням монотерапії АСК щодо запобігання несприятливих кардіоваскулярних подій (серцево-судинна смерть, інфаркт міокарда, інсульт) [113]. Більш того, до різних аспектів, що стосуються особливостей застосування подвійної антитромбоцитарної терапії (ПАТ), в останні роки була прикута особлива увага дослідників, і саме ця ланка лікування ГКС зазнала найбільш серйозних змін. В першу чергу це пов’</w:t>
      </w:r>
      <w:r w:rsidRPr="00F407BB">
        <w:rPr>
          <w:szCs w:val="28"/>
          <w:lang w:val="ru-RU"/>
        </w:rPr>
        <w:t>язано з п</w:t>
      </w:r>
      <w:r w:rsidRPr="00577727">
        <w:rPr>
          <w:szCs w:val="28"/>
        </w:rPr>
        <w:t xml:space="preserve">оявою нових антитромбоцитарних препаратів - прасугрела і тикагрелора. </w:t>
      </w:r>
    </w:p>
    <w:p w:rsidR="00577727" w:rsidRPr="00577727" w:rsidRDefault="00577727" w:rsidP="00577727">
      <w:pPr>
        <w:spacing w:after="0" w:line="360" w:lineRule="auto"/>
        <w:ind w:firstLine="851"/>
        <w:jc w:val="both"/>
        <w:rPr>
          <w:szCs w:val="28"/>
        </w:rPr>
      </w:pPr>
      <w:r w:rsidRPr="00577727">
        <w:rPr>
          <w:szCs w:val="28"/>
        </w:rPr>
        <w:t xml:space="preserve">Прасугрел, як і клопідогрель, за своєю структурою є тієнопіридинами, які селективно пригнічують зв’язування аденозиндифосфату (АДФ) з рецептором на поверхні тромбоцита та подальшу активацію комплексу GPIIb/IIIa під дією АДФ , таким чином пригнічуючи агрегацію тромбоцитів. Тикагрелор в свою чергу відноситься до іншої хімічної групи - він є похідним </w:t>
      </w:r>
      <w:r w:rsidRPr="00577727">
        <w:rPr>
          <w:szCs w:val="28"/>
        </w:rPr>
        <w:lastRenderedPageBreak/>
        <w:t>циклопентілтріазолопірімідина. Від інших блокаторів рецепторов P</w:t>
      </w:r>
      <w:r w:rsidRPr="00577727">
        <w:rPr>
          <w:szCs w:val="28"/>
          <w:vertAlign w:val="subscript"/>
        </w:rPr>
        <w:t>2</w:t>
      </w:r>
      <w:r w:rsidRPr="00577727">
        <w:rPr>
          <w:szCs w:val="28"/>
        </w:rPr>
        <w:t>Y</w:t>
      </w:r>
      <w:r w:rsidRPr="00577727">
        <w:rPr>
          <w:szCs w:val="28"/>
          <w:vertAlign w:val="subscript"/>
        </w:rPr>
        <w:t xml:space="preserve">12 </w:t>
      </w:r>
      <w:r w:rsidRPr="00577727">
        <w:rPr>
          <w:szCs w:val="28"/>
        </w:rPr>
        <w:t>тикагрелор в першу чергу відрізняється тим, що його дія на тромбоцити є оборотною, тобто здатність тромбоцитів до агрегації повністю відновлюється після того, як зв'язок препарату з рецепторами розірветься [114-116]</w:t>
      </w:r>
      <w:r w:rsidRPr="00F407BB">
        <w:rPr>
          <w:szCs w:val="28"/>
        </w:rPr>
        <w:t xml:space="preserve">. </w:t>
      </w:r>
    </w:p>
    <w:p w:rsidR="00577727" w:rsidRPr="00F407BB" w:rsidRDefault="00577727" w:rsidP="00577727">
      <w:pPr>
        <w:spacing w:after="0" w:line="360" w:lineRule="auto"/>
        <w:ind w:firstLine="851"/>
        <w:jc w:val="both"/>
        <w:rPr>
          <w:rFonts w:eastAsia="Calibri"/>
          <w:iCs/>
          <w:szCs w:val="28"/>
        </w:rPr>
      </w:pPr>
      <w:r w:rsidRPr="00577727">
        <w:rPr>
          <w:szCs w:val="28"/>
        </w:rPr>
        <w:t>Крім оборотності дії важливою особливістю тикагрелору є те, що, на відміну від тієнопірідинів, він є не модифікованими проліками, а активно діючою сполукою. Тобто після всмоктування з гастроінтестінального тракту клопідогрель і прасугрел проходять етап метаболізму до трансформації в активний препарат, а тикагрелор, потрапляючи в кровотік, безпосередньо, без подальших перетворень, з'єднується з P</w:t>
      </w:r>
      <w:r w:rsidRPr="00577727">
        <w:rPr>
          <w:szCs w:val="28"/>
          <w:vertAlign w:val="subscript"/>
        </w:rPr>
        <w:t>2</w:t>
      </w:r>
      <w:r w:rsidRPr="00577727">
        <w:rPr>
          <w:szCs w:val="28"/>
        </w:rPr>
        <w:t>Y</w:t>
      </w:r>
      <w:r w:rsidRPr="00577727">
        <w:rPr>
          <w:szCs w:val="28"/>
          <w:vertAlign w:val="subscript"/>
        </w:rPr>
        <w:t xml:space="preserve">12 </w:t>
      </w:r>
      <w:r w:rsidRPr="00577727">
        <w:rPr>
          <w:szCs w:val="28"/>
        </w:rPr>
        <w:t xml:space="preserve">рецепторами тромбоцитів. Саме завдяки цій особливості антиагрегантна дія тикагрелору починається вже через 30 хвилин після його прийому, а пік концентрації і пік дії фіксуються через 2 години [114]. Незважаючи на досить чіткі рекомендації міжнародних експертів, проблема вибору оптимального інгібітора </w:t>
      </w:r>
      <w:r w:rsidRPr="00577727">
        <w:rPr>
          <w:rFonts w:eastAsia="Calibri"/>
          <w:iCs/>
          <w:szCs w:val="28"/>
          <w:lang w:val="en-US"/>
        </w:rPr>
        <w:t>P</w:t>
      </w:r>
      <w:r w:rsidRPr="00577727">
        <w:rPr>
          <w:rFonts w:eastAsia="Calibri"/>
          <w:iCs/>
          <w:szCs w:val="28"/>
          <w:vertAlign w:val="subscript"/>
        </w:rPr>
        <w:t>2</w:t>
      </w:r>
      <w:r w:rsidRPr="00577727">
        <w:rPr>
          <w:rFonts w:eastAsia="Calibri"/>
          <w:iCs/>
          <w:szCs w:val="28"/>
          <w:lang w:val="en-US"/>
        </w:rPr>
        <w:t>Y</w:t>
      </w:r>
      <w:r w:rsidRPr="00577727">
        <w:rPr>
          <w:rFonts w:eastAsia="Calibri"/>
          <w:iCs/>
          <w:szCs w:val="28"/>
          <w:vertAlign w:val="subscript"/>
        </w:rPr>
        <w:t>12</w:t>
      </w:r>
      <w:r w:rsidRPr="00577727">
        <w:rPr>
          <w:rFonts w:eastAsia="Calibri"/>
          <w:iCs/>
          <w:szCs w:val="28"/>
        </w:rPr>
        <w:t xml:space="preserve">-рецепторів хвилює світову медичну спільноту. </w:t>
      </w:r>
    </w:p>
    <w:p w:rsidR="00577727" w:rsidRPr="00577727" w:rsidRDefault="00577727" w:rsidP="00577727">
      <w:pPr>
        <w:spacing w:after="0" w:line="360" w:lineRule="auto"/>
        <w:ind w:firstLine="851"/>
        <w:jc w:val="both"/>
        <w:rPr>
          <w:szCs w:val="28"/>
        </w:rPr>
      </w:pPr>
      <w:r w:rsidRPr="00F407BB">
        <w:rPr>
          <w:szCs w:val="28"/>
          <w:lang w:val="ru-RU"/>
        </w:rPr>
        <w:t>До моменту появи т</w:t>
      </w:r>
      <w:r w:rsidRPr="00577727">
        <w:rPr>
          <w:szCs w:val="28"/>
        </w:rPr>
        <w:t>и</w:t>
      </w:r>
      <w:r w:rsidRPr="00F407BB">
        <w:rPr>
          <w:szCs w:val="28"/>
          <w:lang w:val="ru-RU"/>
        </w:rPr>
        <w:t>кагрелора</w:t>
      </w:r>
      <w:r w:rsidRPr="00577727">
        <w:rPr>
          <w:szCs w:val="28"/>
        </w:rPr>
        <w:t xml:space="preserve"> </w:t>
      </w:r>
      <w:r w:rsidRPr="00F407BB">
        <w:rPr>
          <w:szCs w:val="28"/>
          <w:lang w:val="ru-RU"/>
        </w:rPr>
        <w:t>золотим стандартом</w:t>
      </w:r>
      <w:r w:rsidRPr="00577727">
        <w:rPr>
          <w:szCs w:val="28"/>
        </w:rPr>
        <w:t xml:space="preserve"> лікування хворих</w:t>
      </w:r>
      <w:r w:rsidRPr="00F407BB">
        <w:rPr>
          <w:szCs w:val="28"/>
          <w:lang w:val="ru-RU"/>
        </w:rPr>
        <w:t xml:space="preserve"> </w:t>
      </w:r>
      <w:r w:rsidRPr="00577727">
        <w:rPr>
          <w:szCs w:val="28"/>
        </w:rPr>
        <w:t xml:space="preserve">на ГКС та осіб, яким було проведене перкутанне втручання (ПКВ) був </w:t>
      </w:r>
      <w:r w:rsidRPr="00F407BB">
        <w:rPr>
          <w:szCs w:val="28"/>
          <w:lang w:val="ru-RU"/>
        </w:rPr>
        <w:t>кло</w:t>
      </w:r>
      <w:r w:rsidRPr="00577727">
        <w:rPr>
          <w:szCs w:val="28"/>
        </w:rPr>
        <w:t>пі</w:t>
      </w:r>
      <w:r w:rsidRPr="00F407BB">
        <w:rPr>
          <w:szCs w:val="28"/>
          <w:lang w:val="ru-RU"/>
        </w:rPr>
        <w:t>догрель</w:t>
      </w:r>
      <w:r w:rsidRPr="00577727">
        <w:rPr>
          <w:szCs w:val="28"/>
        </w:rPr>
        <w:t>.</w:t>
      </w:r>
      <w:r w:rsidRPr="00F407BB">
        <w:rPr>
          <w:szCs w:val="28"/>
          <w:lang w:val="ru-RU"/>
        </w:rPr>
        <w:t xml:space="preserve"> </w:t>
      </w:r>
      <w:r w:rsidRPr="00577727">
        <w:rPr>
          <w:szCs w:val="28"/>
        </w:rPr>
        <w:t>У невеликому дослідженні ONSET / OFFSET було показано, що антиагрегантна активність тикагрелора виявлялася достовірно раніше, а сила його дії була достовірно вище в порівнянні з клопідогрелем [117].</w:t>
      </w:r>
    </w:p>
    <w:p w:rsidR="00577727" w:rsidRPr="00577727" w:rsidRDefault="00577727" w:rsidP="00577727">
      <w:pPr>
        <w:spacing w:after="0" w:line="360" w:lineRule="auto"/>
        <w:ind w:firstLine="851"/>
        <w:jc w:val="both"/>
        <w:rPr>
          <w:szCs w:val="28"/>
        </w:rPr>
      </w:pPr>
      <w:r w:rsidRPr="00577727">
        <w:rPr>
          <w:szCs w:val="28"/>
        </w:rPr>
        <w:t>Клінічна ефективність і безпека використання тикагрелору у паціентів з ГКС була вивчена в клінічному дослідженні PLATO (Study of Platelet Inhibition And Patient Outcomes) [118]. PLATO було організовано як рандомізоване подвійне сліпе дослідження, до якого було залучено когорту пацієнтів з ГКС з елевацією сегменту ST, яким було заплановано первинне перкутанне коронарне втручання (ПКВ), і хворі на ГКС без елевації сегменту ST, незалежно від стратегії лікування госпіталізовані в перші 24 години від початку симптомів ГКС. В</w:t>
      </w:r>
      <w:r w:rsidRPr="00F407BB">
        <w:rPr>
          <w:szCs w:val="28"/>
          <w:lang w:val="ru-RU"/>
        </w:rPr>
        <w:t xml:space="preserve"> дослідженні </w:t>
      </w:r>
      <w:r w:rsidRPr="00577727">
        <w:rPr>
          <w:szCs w:val="28"/>
          <w:lang w:val="en-US"/>
        </w:rPr>
        <w:t>PLATO</w:t>
      </w:r>
      <w:r w:rsidRPr="00F407BB">
        <w:rPr>
          <w:szCs w:val="28"/>
          <w:lang w:val="ru-RU"/>
        </w:rPr>
        <w:t xml:space="preserve"> т</w:t>
      </w:r>
      <w:r w:rsidRPr="00577727">
        <w:rPr>
          <w:szCs w:val="28"/>
        </w:rPr>
        <w:t>и</w:t>
      </w:r>
      <w:r w:rsidRPr="00F407BB">
        <w:rPr>
          <w:szCs w:val="28"/>
          <w:lang w:val="ru-RU"/>
        </w:rPr>
        <w:t xml:space="preserve">кагрелор порівнювався з клопідогрелем в складі </w:t>
      </w:r>
      <w:r w:rsidRPr="00577727">
        <w:rPr>
          <w:szCs w:val="28"/>
        </w:rPr>
        <w:t>ПА</w:t>
      </w:r>
      <w:r w:rsidRPr="00F407BB">
        <w:rPr>
          <w:szCs w:val="28"/>
          <w:lang w:val="ru-RU"/>
        </w:rPr>
        <w:t xml:space="preserve">Т у хворих </w:t>
      </w:r>
      <w:r w:rsidRPr="00577727">
        <w:rPr>
          <w:szCs w:val="28"/>
        </w:rPr>
        <w:t>на ГКС</w:t>
      </w:r>
      <w:r w:rsidRPr="00F407BB">
        <w:rPr>
          <w:szCs w:val="28"/>
          <w:lang w:val="ru-RU"/>
        </w:rPr>
        <w:t xml:space="preserve">. </w:t>
      </w:r>
    </w:p>
    <w:p w:rsidR="00577727" w:rsidRPr="00577727" w:rsidRDefault="00577727" w:rsidP="00577727">
      <w:pPr>
        <w:spacing w:after="0" w:line="360" w:lineRule="auto"/>
        <w:ind w:firstLine="851"/>
        <w:jc w:val="both"/>
        <w:rPr>
          <w:szCs w:val="28"/>
        </w:rPr>
      </w:pPr>
      <w:r w:rsidRPr="00577727">
        <w:rPr>
          <w:szCs w:val="28"/>
        </w:rPr>
        <w:t xml:space="preserve">При аналізі ефективності двох препаратів було продемонстровано, що частота подій первинної кінцевої точки в групі пацієнтів, які отримували </w:t>
      </w:r>
      <w:r w:rsidRPr="00577727">
        <w:rPr>
          <w:szCs w:val="28"/>
        </w:rPr>
        <w:lastRenderedPageBreak/>
        <w:t xml:space="preserve">тикагрелор, в порівнянні з тими, хто отримував клопідогрель, була достовірно менше – 9,8% проти 11,7%. </w:t>
      </w:r>
      <w:r w:rsidRPr="00F407BB">
        <w:rPr>
          <w:szCs w:val="28"/>
        </w:rPr>
        <w:t>Б</w:t>
      </w:r>
      <w:r w:rsidRPr="00577727">
        <w:rPr>
          <w:szCs w:val="28"/>
        </w:rPr>
        <w:t>уло продемонстровано, що прийом тикагрелора в поєднанні з АСК був пов'язаний з абсолютним зниженням ризику настання випадків серцево-судинної смерті (ССС) або нового ІМ, або інсульту на 1,9% і з відносним сниженням ризику настання цих подій на 16% в порівнянні з використанням клопідогрелю [119].</w:t>
      </w:r>
    </w:p>
    <w:p w:rsidR="00B20918" w:rsidRPr="00F407BB" w:rsidRDefault="00577727" w:rsidP="00B20918">
      <w:pPr>
        <w:spacing w:after="0" w:line="360" w:lineRule="auto"/>
        <w:ind w:firstLine="851"/>
        <w:jc w:val="both"/>
        <w:rPr>
          <w:szCs w:val="28"/>
        </w:rPr>
      </w:pPr>
      <w:r w:rsidRPr="00577727">
        <w:rPr>
          <w:szCs w:val="28"/>
        </w:rPr>
        <w:t>Також, зважаючи на швидкість дії тикагрелору, резонно було б припустити, що максимально рано призначений препарат зможе надавати максимальний ефект. Клінічна необхідність такої швидкості особливо очевидна при ГКС з елевацією сегмента ST, коли виявляються некротичні зміни значної ділянки міокарда, а користь від впливу медикаментозних препаратів прогресивно зменшується з кожною хвилиною відстрочки лікування. З цією метою - оцінити користь від максимально раннього залучення до терапевтичної стратегії тикагрелора на догоспітальному етапі, у пацієнтів з ГКС з елевацією сегмента ST було проведено клінічне дослідження ATLANTIC (Administration of Ticagrelor in the cath Lab or in the Ambulance for New ST elevation myocardial Infarction to open the Coronary artery) [120]. В якості критерію користі від раннього призначення тикагрелору було оцінено ступінь поліпшення коронарної перфузії. За результатами аналізу дослідження ATLANTIC було встановлено, що між групами, де навантажувальна доза тикагрелора вперше була отримана на  догоспітальному етапі та в стаціонарі, не було достовірних відмінностей щодо первинної кінцевої точки. Також тикагрелора виявив подібний ефект в обох групах за частотою виникнення небажаних серцево-судинних подій у вигляді ССС, інсульту або екстреної реваскуляризації, а також за виникненням кровотеч протягом 30 днів спостереження. Однак було отримано достовірні відмінності за частотою розвитку тромбозу стента, який значно рідше відзначався в групі догоспитального початку прийому тикагрелора в порівнянні з внутрішньогоспітальним через 30 днів після ПКВ [121]</w:t>
      </w:r>
      <w:r w:rsidRPr="00F407BB">
        <w:rPr>
          <w:szCs w:val="28"/>
        </w:rPr>
        <w:t>.</w:t>
      </w:r>
    </w:p>
    <w:p w:rsidR="00B20918" w:rsidRPr="00F407BB" w:rsidRDefault="00B20918">
      <w:pPr>
        <w:rPr>
          <w:szCs w:val="28"/>
        </w:rPr>
      </w:pPr>
      <w:r w:rsidRPr="00F407BB">
        <w:rPr>
          <w:szCs w:val="28"/>
        </w:rPr>
        <w:br w:type="page"/>
      </w:r>
    </w:p>
    <w:p w:rsidR="00475927" w:rsidRPr="00475927" w:rsidRDefault="00475927" w:rsidP="00864DAF">
      <w:pPr>
        <w:spacing w:after="0" w:line="360" w:lineRule="auto"/>
        <w:ind w:left="3600" w:firstLine="720"/>
        <w:jc w:val="both"/>
        <w:rPr>
          <w:bCs/>
          <w:szCs w:val="28"/>
          <w:lang w:val="ru-RU"/>
        </w:rPr>
      </w:pPr>
      <w:r w:rsidRPr="00475927">
        <w:rPr>
          <w:bCs/>
          <w:szCs w:val="28"/>
        </w:rPr>
        <w:lastRenderedPageBreak/>
        <w:t>РОЗДІЛ 2</w:t>
      </w:r>
    </w:p>
    <w:p w:rsidR="00475927" w:rsidRPr="00475927" w:rsidRDefault="00475927" w:rsidP="00475927">
      <w:pPr>
        <w:spacing w:after="0" w:line="360" w:lineRule="auto"/>
        <w:ind w:firstLine="851"/>
        <w:jc w:val="center"/>
        <w:rPr>
          <w:bCs/>
          <w:szCs w:val="28"/>
        </w:rPr>
      </w:pPr>
      <w:r w:rsidRPr="00475927">
        <w:rPr>
          <w:bCs/>
          <w:szCs w:val="28"/>
        </w:rPr>
        <w:t>МАТЕРІАЛИ Й МЕТОДИ ДОСЛІДЖЕННЯ</w:t>
      </w:r>
    </w:p>
    <w:p w:rsidR="00475927" w:rsidRPr="00475927" w:rsidRDefault="00475927" w:rsidP="00475927">
      <w:pPr>
        <w:spacing w:after="0" w:line="360" w:lineRule="auto"/>
        <w:ind w:firstLine="851"/>
        <w:jc w:val="both"/>
        <w:rPr>
          <w:bCs/>
          <w:szCs w:val="28"/>
        </w:rPr>
      </w:pPr>
    </w:p>
    <w:p w:rsidR="00475927" w:rsidRPr="00475927" w:rsidRDefault="00475927" w:rsidP="00475927">
      <w:pPr>
        <w:spacing w:after="0" w:line="360" w:lineRule="auto"/>
        <w:ind w:firstLine="851"/>
        <w:jc w:val="both"/>
        <w:rPr>
          <w:szCs w:val="28"/>
        </w:rPr>
      </w:pPr>
      <w:r w:rsidRPr="00475927">
        <w:rPr>
          <w:szCs w:val="28"/>
        </w:rPr>
        <w:t>2.1. Клінічна характеристика хворих</w:t>
      </w:r>
    </w:p>
    <w:p w:rsidR="00475927" w:rsidRPr="00475927" w:rsidRDefault="00475927" w:rsidP="00475927">
      <w:pPr>
        <w:spacing w:after="0" w:line="360" w:lineRule="auto"/>
        <w:ind w:firstLine="851"/>
        <w:jc w:val="both"/>
        <w:rPr>
          <w:szCs w:val="28"/>
        </w:rPr>
      </w:pPr>
    </w:p>
    <w:p w:rsidR="00475927" w:rsidRPr="00475927" w:rsidRDefault="00475927" w:rsidP="00475927">
      <w:pPr>
        <w:spacing w:after="0" w:line="360" w:lineRule="auto"/>
        <w:ind w:firstLine="851"/>
        <w:jc w:val="both"/>
        <w:rPr>
          <w:szCs w:val="28"/>
        </w:rPr>
      </w:pPr>
      <w:r w:rsidRPr="00475927">
        <w:rPr>
          <w:szCs w:val="28"/>
        </w:rPr>
        <w:t xml:space="preserve">Обстежено 105 хворих на ГІМ, що знаходилися на стаціонарному лікуванні в інфарктному відділенні </w:t>
      </w:r>
      <w:r w:rsidRPr="00475927">
        <w:rPr>
          <w:bCs/>
          <w:szCs w:val="28"/>
        </w:rPr>
        <w:t>КЗОЗ «Харківська міська клінічна лікарня №27», яка є базовим лікувальним закладом кафедри внутрішньої медицини №2, клінічної імунології і алергології імені академіка Л.Т. Малої Харківського національного медичного університету МОЗ України</w:t>
      </w:r>
      <w:r w:rsidRPr="00475927">
        <w:rPr>
          <w:szCs w:val="28"/>
        </w:rPr>
        <w:t xml:space="preserve">. Було залучено хворих з гострим коронарним синдромом з елевацією сегмента </w:t>
      </w:r>
      <w:r w:rsidRPr="00475927">
        <w:rPr>
          <w:szCs w:val="28"/>
          <w:lang w:val="en-US"/>
        </w:rPr>
        <w:t>ST</w:t>
      </w:r>
      <w:r w:rsidRPr="00475927">
        <w:rPr>
          <w:szCs w:val="28"/>
          <w:lang w:val="ru-RU"/>
        </w:rPr>
        <w:t xml:space="preserve">. </w:t>
      </w:r>
      <w:r w:rsidRPr="00475927">
        <w:rPr>
          <w:szCs w:val="28"/>
        </w:rPr>
        <w:t>Усіх хворих було розподілено на 2 групи: 1 групу склали хворі на ГІМ із супутнім ожирінням (</w:t>
      </w:r>
      <w:r w:rsidRPr="00475927">
        <w:rPr>
          <w:szCs w:val="28"/>
          <w:lang w:val="en-US"/>
        </w:rPr>
        <w:t>n</w:t>
      </w:r>
      <w:r w:rsidRPr="00475927">
        <w:rPr>
          <w:szCs w:val="28"/>
        </w:rPr>
        <w:t>=75), 2 групу‒ хворі на ГІМ без ожиріння (</w:t>
      </w:r>
      <w:r w:rsidRPr="00475927">
        <w:rPr>
          <w:szCs w:val="28"/>
          <w:lang w:val="en-US"/>
        </w:rPr>
        <w:t>n</w:t>
      </w:r>
      <w:r w:rsidRPr="00475927">
        <w:rPr>
          <w:szCs w:val="28"/>
        </w:rPr>
        <w:t>=30). Контрольну групу склали 20 практично здорових осіб. Середній вік хворих 1 групи склав 62,28±1,23 років, а 2 групи ‒ 66,16±1,61років.</w:t>
      </w:r>
    </w:p>
    <w:p w:rsidR="00475927" w:rsidRPr="00475927" w:rsidRDefault="00475927" w:rsidP="00475927">
      <w:pPr>
        <w:spacing w:after="0" w:line="360" w:lineRule="auto"/>
        <w:ind w:firstLine="851"/>
        <w:jc w:val="both"/>
        <w:rPr>
          <w:szCs w:val="28"/>
        </w:rPr>
      </w:pPr>
      <w:r w:rsidRPr="00475927">
        <w:rPr>
          <w:szCs w:val="28"/>
        </w:rPr>
        <w:t xml:space="preserve">Діагноз ГІМ було встановлено на основі клініко-анамнестичних та лабораторно-інструментальних досліджень з використанням критеріїв, рекомендованих Європейським товариством кардіологів у 2012 році та відповідно до Наказу Міністерства охорони здоров’я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475927">
        <w:rPr>
          <w:szCs w:val="28"/>
          <w:lang w:val="ru-RU"/>
        </w:rPr>
        <w:t>ST</w:t>
      </w:r>
      <w:r w:rsidRPr="00475927">
        <w:rPr>
          <w:szCs w:val="28"/>
        </w:rPr>
        <w:t xml:space="preserve">». </w:t>
      </w:r>
    </w:p>
    <w:p w:rsidR="00475927" w:rsidRPr="00475927" w:rsidRDefault="00475927" w:rsidP="00475927">
      <w:pPr>
        <w:spacing w:after="0" w:line="360" w:lineRule="auto"/>
        <w:ind w:firstLine="851"/>
        <w:jc w:val="both"/>
        <w:rPr>
          <w:szCs w:val="28"/>
        </w:rPr>
      </w:pPr>
      <w:r w:rsidRPr="00475927">
        <w:rPr>
          <w:szCs w:val="28"/>
        </w:rPr>
        <w:t>Критеріями виключення хворих із дослідження були: гострі та хронічні запальні процеси, цукровий діабет, дифузні захворювання сполучної тканини, супутн</w:t>
      </w:r>
      <w:r w:rsidRPr="00475927">
        <w:rPr>
          <w:szCs w:val="28"/>
          <w:lang w:val="ru-RU"/>
        </w:rPr>
        <w:t>i</w:t>
      </w:r>
      <w:r w:rsidRPr="00475927">
        <w:rPr>
          <w:szCs w:val="28"/>
        </w:rPr>
        <w:t xml:space="preserve"> захворювання щитопод</w:t>
      </w:r>
      <w:r w:rsidRPr="00475927">
        <w:rPr>
          <w:szCs w:val="28"/>
          <w:lang w:val="ru-RU"/>
        </w:rPr>
        <w:t>i</w:t>
      </w:r>
      <w:r w:rsidRPr="00475927">
        <w:rPr>
          <w:szCs w:val="28"/>
        </w:rPr>
        <w:t>бної залози, онкологічні захворювання, психічні захворювання, алкоголізм, наркоманія.</w:t>
      </w:r>
    </w:p>
    <w:p w:rsidR="00475927" w:rsidRPr="00475927" w:rsidRDefault="00475927" w:rsidP="00475927">
      <w:pPr>
        <w:spacing w:after="0" w:line="360" w:lineRule="auto"/>
        <w:ind w:firstLine="851"/>
        <w:jc w:val="both"/>
        <w:rPr>
          <w:szCs w:val="28"/>
        </w:rPr>
      </w:pPr>
      <w:r w:rsidRPr="00475927">
        <w:rPr>
          <w:szCs w:val="28"/>
          <w:lang w:val="ru-RU"/>
        </w:rPr>
        <w:t xml:space="preserve">Середній час від </w:t>
      </w:r>
      <w:r w:rsidRPr="00475927">
        <w:rPr>
          <w:szCs w:val="28"/>
        </w:rPr>
        <w:t>мом</w:t>
      </w:r>
      <w:r w:rsidRPr="00475927">
        <w:rPr>
          <w:szCs w:val="28"/>
          <w:lang w:val="ru-RU"/>
        </w:rPr>
        <w:t>енту</w:t>
      </w:r>
      <w:r w:rsidRPr="00475927">
        <w:rPr>
          <w:szCs w:val="28"/>
        </w:rPr>
        <w:t xml:space="preserve"> початку больового синдрому до госпіталізації до спеціалізованого стаціонару складав 14,27 </w:t>
      </w:r>
      <m:oMath>
        <m:r>
          <w:rPr>
            <w:rFonts w:ascii="Cambria Math" w:hAnsi="Cambria Math"/>
            <w:szCs w:val="28"/>
          </w:rPr>
          <m:t>±</m:t>
        </m:r>
      </m:oMath>
      <w:r w:rsidRPr="00475927">
        <w:rPr>
          <w:szCs w:val="28"/>
        </w:rPr>
        <w:t xml:space="preserve"> 2,06 годин. </w:t>
      </w:r>
    </w:p>
    <w:p w:rsidR="00475927" w:rsidRPr="00475927" w:rsidRDefault="00475927" w:rsidP="00475927">
      <w:pPr>
        <w:spacing w:after="0" w:line="360" w:lineRule="auto"/>
        <w:ind w:firstLine="851"/>
        <w:jc w:val="both"/>
        <w:rPr>
          <w:szCs w:val="28"/>
        </w:rPr>
      </w:pPr>
      <w:r w:rsidRPr="00475927">
        <w:rPr>
          <w:szCs w:val="28"/>
        </w:rPr>
        <w:lastRenderedPageBreak/>
        <w:t>Діагноз ГІМ може бути встановлено за наявності як мінімуму двох з наступних критеріїв:</w:t>
      </w:r>
    </w:p>
    <w:p w:rsidR="00475927" w:rsidRPr="00475927" w:rsidRDefault="00475927" w:rsidP="00475927">
      <w:pPr>
        <w:numPr>
          <w:ilvl w:val="0"/>
          <w:numId w:val="6"/>
        </w:numPr>
        <w:spacing w:after="0" w:line="360" w:lineRule="auto"/>
        <w:jc w:val="both"/>
        <w:rPr>
          <w:szCs w:val="28"/>
        </w:rPr>
      </w:pPr>
      <w:r w:rsidRPr="00475927">
        <w:rPr>
          <w:szCs w:val="28"/>
        </w:rPr>
        <w:t>затяжний (більше 20 хвилин) ангінозний напад в стані спокою;</w:t>
      </w:r>
    </w:p>
    <w:p w:rsidR="00475927" w:rsidRPr="00475927" w:rsidRDefault="00475927" w:rsidP="00475927">
      <w:pPr>
        <w:numPr>
          <w:ilvl w:val="0"/>
          <w:numId w:val="6"/>
        </w:numPr>
        <w:spacing w:after="0" w:line="360" w:lineRule="auto"/>
        <w:jc w:val="both"/>
        <w:rPr>
          <w:szCs w:val="28"/>
        </w:rPr>
      </w:pPr>
      <w:r w:rsidRPr="00475927">
        <w:rPr>
          <w:szCs w:val="28"/>
        </w:rPr>
        <w:t xml:space="preserve"> наявність типових змін ЕКГ;</w:t>
      </w:r>
    </w:p>
    <w:p w:rsidR="00475927" w:rsidRPr="00475927" w:rsidRDefault="00475927" w:rsidP="00475927">
      <w:pPr>
        <w:numPr>
          <w:ilvl w:val="0"/>
          <w:numId w:val="6"/>
        </w:numPr>
        <w:spacing w:after="0" w:line="360" w:lineRule="auto"/>
        <w:jc w:val="both"/>
        <w:rPr>
          <w:szCs w:val="28"/>
        </w:rPr>
      </w:pPr>
      <w:r w:rsidRPr="00475927">
        <w:rPr>
          <w:szCs w:val="28"/>
        </w:rPr>
        <w:t>наявність біохімічних маркерів некрозу міокарда.</w:t>
      </w:r>
    </w:p>
    <w:p w:rsidR="00475927" w:rsidRPr="00475927" w:rsidRDefault="00475927" w:rsidP="00475927">
      <w:pPr>
        <w:spacing w:after="0" w:line="360" w:lineRule="auto"/>
        <w:ind w:firstLine="851"/>
        <w:jc w:val="both"/>
        <w:rPr>
          <w:szCs w:val="28"/>
          <w:lang w:val="ru-RU"/>
        </w:rPr>
      </w:pPr>
      <w:r w:rsidRPr="00475927">
        <w:rPr>
          <w:szCs w:val="28"/>
          <w:lang w:val="ru-RU"/>
        </w:rPr>
        <w:t xml:space="preserve">Для характеристики ожиріння використовували індекс маси тіла (ІМТ). </w:t>
      </w:r>
    </w:p>
    <w:p w:rsidR="00475927" w:rsidRPr="00475927" w:rsidRDefault="00475927" w:rsidP="00475927">
      <w:pPr>
        <w:spacing w:after="0" w:line="360" w:lineRule="auto"/>
        <w:ind w:firstLine="851"/>
        <w:jc w:val="both"/>
        <w:rPr>
          <w:szCs w:val="28"/>
        </w:rPr>
      </w:pPr>
      <w:r w:rsidRPr="00475927">
        <w:rPr>
          <w:szCs w:val="28"/>
          <w:lang w:val="ru-RU"/>
        </w:rPr>
        <w:t>У даний час використовується класифікація, заснована на визначенні індексу маси тіла (ІМТ). Дана класифікація, розроблена Національним інститутом здоров'я (National Health Institute ˗ NH</w:t>
      </w:r>
      <w:r w:rsidRPr="00475927">
        <w:rPr>
          <w:szCs w:val="28"/>
          <w:lang w:val="en-US"/>
        </w:rPr>
        <w:t>I</w:t>
      </w:r>
      <w:r w:rsidRPr="00475927">
        <w:rPr>
          <w:szCs w:val="28"/>
          <w:lang w:val="ru-RU"/>
        </w:rPr>
        <w:t>) США, і схвалена Всесвітньою організацією охорони здоров'я.</w:t>
      </w:r>
    </w:p>
    <w:p w:rsidR="00475927" w:rsidRPr="00475927" w:rsidRDefault="00475927" w:rsidP="00475927">
      <w:pPr>
        <w:spacing w:after="0" w:line="360" w:lineRule="auto"/>
        <w:ind w:firstLine="851"/>
        <w:jc w:val="both"/>
        <w:rPr>
          <w:szCs w:val="28"/>
        </w:rPr>
      </w:pPr>
      <w:r w:rsidRPr="00475927">
        <w:rPr>
          <w:szCs w:val="28"/>
          <w:lang w:val="ru-RU"/>
        </w:rPr>
        <w:t xml:space="preserve">Для встановлення типу розподілу жирової тканини було розраховано показник співвідношення ОТ/ОС. </w:t>
      </w:r>
      <w:r w:rsidRPr="00475927">
        <w:rPr>
          <w:szCs w:val="28"/>
        </w:rPr>
        <w:t>Окружність талії (</w:t>
      </w:r>
      <w:r w:rsidRPr="00475927">
        <w:rPr>
          <w:szCs w:val="28"/>
          <w:lang w:val="ru-RU"/>
        </w:rPr>
        <w:t>ОТ</w:t>
      </w:r>
      <w:r w:rsidRPr="00475927">
        <w:rPr>
          <w:szCs w:val="28"/>
        </w:rPr>
        <w:t>)</w:t>
      </w:r>
      <w:r w:rsidRPr="00475927">
        <w:rPr>
          <w:szCs w:val="28"/>
          <w:lang w:val="ru-RU"/>
        </w:rPr>
        <w:t xml:space="preserve"> вимірювали як найменший об’єм нижче грудної клітини над пупком; </w:t>
      </w:r>
      <w:r w:rsidRPr="00475927">
        <w:rPr>
          <w:szCs w:val="28"/>
        </w:rPr>
        <w:t>окружність стегон (</w:t>
      </w:r>
      <w:r w:rsidRPr="00475927">
        <w:rPr>
          <w:szCs w:val="28"/>
          <w:lang w:val="ru-RU"/>
        </w:rPr>
        <w:t>ОС</w:t>
      </w:r>
      <w:r w:rsidRPr="00475927">
        <w:rPr>
          <w:szCs w:val="28"/>
        </w:rPr>
        <w:t>)</w:t>
      </w:r>
      <w:r w:rsidRPr="00475927">
        <w:rPr>
          <w:szCs w:val="28"/>
          <w:lang w:val="ru-RU"/>
        </w:rPr>
        <w:t xml:space="preserve"> – як найбільш</w:t>
      </w:r>
      <w:r w:rsidRPr="00475927">
        <w:rPr>
          <w:szCs w:val="28"/>
        </w:rPr>
        <w:t>у</w:t>
      </w:r>
      <w:r w:rsidRPr="00475927">
        <w:rPr>
          <w:szCs w:val="28"/>
          <w:lang w:val="ru-RU"/>
        </w:rPr>
        <w:t xml:space="preserve"> </w:t>
      </w:r>
      <w:r w:rsidRPr="00475927">
        <w:rPr>
          <w:szCs w:val="28"/>
        </w:rPr>
        <w:t>окружність</w:t>
      </w:r>
      <w:r w:rsidRPr="00475927">
        <w:rPr>
          <w:szCs w:val="28"/>
          <w:lang w:val="ru-RU"/>
        </w:rPr>
        <w:t xml:space="preserve"> на рівні стегна</w:t>
      </w:r>
      <w:r w:rsidRPr="00475927">
        <w:rPr>
          <w:szCs w:val="28"/>
        </w:rPr>
        <w:t>.</w:t>
      </w:r>
    </w:p>
    <w:p w:rsidR="00475927" w:rsidRPr="00475927" w:rsidRDefault="00475927" w:rsidP="00475927">
      <w:pPr>
        <w:spacing w:after="0" w:line="360" w:lineRule="auto"/>
        <w:ind w:firstLine="851"/>
        <w:jc w:val="both"/>
        <w:rPr>
          <w:szCs w:val="28"/>
        </w:rPr>
      </w:pPr>
      <w:r w:rsidRPr="00475927">
        <w:rPr>
          <w:szCs w:val="28"/>
          <w:lang w:val="ru-RU"/>
        </w:rPr>
        <w:tab/>
        <w:t>Значення ОТ &gt;102 см для чоловіків, &gt;89 см для жінок (за АТР III – 2001) й значення індексу ОТ/ОС &gt; 0,90 для чоловіків, &gt; 0,85 для жінок є ознакою абдомінального ожиріння</w:t>
      </w:r>
      <w:r w:rsidRPr="00475927">
        <w:rPr>
          <w:szCs w:val="28"/>
        </w:rPr>
        <w:t>.</w:t>
      </w:r>
    </w:p>
    <w:p w:rsidR="00475927" w:rsidRPr="00475927" w:rsidRDefault="00475927" w:rsidP="00475927">
      <w:pPr>
        <w:spacing w:after="0" w:line="360" w:lineRule="auto"/>
        <w:ind w:firstLine="851"/>
        <w:jc w:val="both"/>
        <w:rPr>
          <w:szCs w:val="28"/>
        </w:rPr>
      </w:pPr>
      <w:r w:rsidRPr="00475927">
        <w:rPr>
          <w:szCs w:val="28"/>
        </w:rPr>
        <w:t xml:space="preserve">При встановленні діагнозу </w:t>
      </w:r>
      <w:r w:rsidRPr="00475927">
        <w:rPr>
          <w:szCs w:val="28"/>
          <w:lang w:val="ru-RU"/>
        </w:rPr>
        <w:t xml:space="preserve">ГСН </w:t>
      </w:r>
      <w:r w:rsidRPr="00475927">
        <w:rPr>
          <w:szCs w:val="28"/>
        </w:rPr>
        <w:t>ми користувалися</w:t>
      </w:r>
      <w:r w:rsidRPr="00475927">
        <w:rPr>
          <w:szCs w:val="28"/>
          <w:lang w:val="ru-RU"/>
        </w:rPr>
        <w:t xml:space="preserve"> класифікаці</w:t>
      </w:r>
      <w:r w:rsidRPr="00475927">
        <w:rPr>
          <w:szCs w:val="28"/>
        </w:rPr>
        <w:t>єю</w:t>
      </w:r>
      <w:r w:rsidRPr="00475927">
        <w:rPr>
          <w:szCs w:val="28"/>
          <w:lang w:val="ru-RU"/>
        </w:rPr>
        <w:t xml:space="preserve"> за Killip, раніше розроблен</w:t>
      </w:r>
      <w:r w:rsidRPr="00475927">
        <w:rPr>
          <w:szCs w:val="28"/>
        </w:rPr>
        <w:t>ою</w:t>
      </w:r>
      <w:r w:rsidRPr="00475927">
        <w:rPr>
          <w:szCs w:val="28"/>
          <w:lang w:val="ru-RU"/>
        </w:rPr>
        <w:t xml:space="preserve"> для СН при ГІМ. Вона заснована на клінічній симптоматиці й результатах рентгенографії органів грудної порожнини: стадія I − немає ознак серцевої недостатності; стадія II − (вологі хрипи в нижній половині легеневих полів, III тон, ознаки венозної гіпертензії в легенях); стадія III − важка серцева недостатність (явний набряк легенів; вологі хрипи поширюються більш, ніж на нижню половину легеневих полів); стадія IV − кардіогенний шок (систолічний АТ менш 90 мм рт. ст. з ознаками периферичної вазоконстрикції: олігурія, ціаноз, пітливість).</w:t>
      </w:r>
    </w:p>
    <w:p w:rsidR="00475927" w:rsidRPr="00475927" w:rsidRDefault="00475927" w:rsidP="00475927">
      <w:pPr>
        <w:spacing w:after="0" w:line="360" w:lineRule="auto"/>
        <w:ind w:firstLine="851"/>
        <w:jc w:val="both"/>
        <w:rPr>
          <w:szCs w:val="28"/>
        </w:rPr>
      </w:pPr>
      <w:r w:rsidRPr="00475927">
        <w:rPr>
          <w:szCs w:val="28"/>
        </w:rPr>
        <w:t>Клінічна характеристика хворих представлена у таблиці 2.1.</w:t>
      </w:r>
    </w:p>
    <w:p w:rsidR="00EB666A" w:rsidRPr="00F407BB" w:rsidRDefault="00EB666A" w:rsidP="00EB666A">
      <w:pPr>
        <w:spacing w:after="0" w:line="360" w:lineRule="auto"/>
        <w:ind w:left="7789"/>
        <w:jc w:val="both"/>
        <w:rPr>
          <w:i/>
          <w:szCs w:val="28"/>
          <w:lang w:val="ru-RU"/>
        </w:rPr>
      </w:pPr>
    </w:p>
    <w:p w:rsidR="00EB666A" w:rsidRPr="00F407BB" w:rsidRDefault="00EB666A" w:rsidP="00EB666A">
      <w:pPr>
        <w:spacing w:after="0" w:line="360" w:lineRule="auto"/>
        <w:ind w:left="7789"/>
        <w:jc w:val="both"/>
        <w:rPr>
          <w:i/>
          <w:szCs w:val="28"/>
          <w:lang w:val="ru-RU"/>
        </w:rPr>
      </w:pPr>
    </w:p>
    <w:p w:rsidR="00EB666A" w:rsidRPr="00F407BB" w:rsidRDefault="00EB666A" w:rsidP="00EB666A">
      <w:pPr>
        <w:spacing w:after="0" w:line="360" w:lineRule="auto"/>
        <w:ind w:left="7789"/>
        <w:jc w:val="both"/>
        <w:rPr>
          <w:i/>
          <w:szCs w:val="28"/>
          <w:lang w:val="ru-RU"/>
        </w:rPr>
      </w:pPr>
    </w:p>
    <w:p w:rsidR="00475927" w:rsidRPr="00475927" w:rsidRDefault="00475927" w:rsidP="00EB666A">
      <w:pPr>
        <w:spacing w:after="0" w:line="360" w:lineRule="auto"/>
        <w:ind w:left="7789"/>
        <w:jc w:val="both"/>
        <w:rPr>
          <w:i/>
          <w:szCs w:val="28"/>
        </w:rPr>
      </w:pPr>
      <w:r w:rsidRPr="00475927">
        <w:rPr>
          <w:i/>
          <w:szCs w:val="28"/>
          <w:lang w:val="ru-RU"/>
        </w:rPr>
        <w:lastRenderedPageBreak/>
        <w:t>Таблиця 2.</w:t>
      </w:r>
      <w:r w:rsidRPr="00475927">
        <w:rPr>
          <w:i/>
          <w:szCs w:val="28"/>
        </w:rPr>
        <w:t>1</w:t>
      </w:r>
    </w:p>
    <w:p w:rsidR="00475927" w:rsidRPr="00864DAF" w:rsidRDefault="00475927" w:rsidP="00475927">
      <w:pPr>
        <w:spacing w:after="0" w:line="360" w:lineRule="auto"/>
        <w:ind w:firstLine="851"/>
        <w:jc w:val="center"/>
        <w:rPr>
          <w:szCs w:val="28"/>
        </w:rPr>
      </w:pPr>
      <w:r w:rsidRPr="00864DAF">
        <w:rPr>
          <w:szCs w:val="28"/>
        </w:rPr>
        <w:t>Клінічна характеристика хворих на гострий інфаркт міокарда за наявності або відсутності супутнього ожиріння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3226"/>
        <w:gridCol w:w="3101"/>
      </w:tblGrid>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Показник</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ГІМ з ОЖ (</w:t>
            </w:r>
            <w:r w:rsidRPr="00475927">
              <w:rPr>
                <w:szCs w:val="28"/>
                <w:lang w:val="en-US"/>
              </w:rPr>
              <w:t>n</w:t>
            </w:r>
            <w:r w:rsidRPr="00475927">
              <w:rPr>
                <w:szCs w:val="28"/>
                <w:lang w:val="ru-RU"/>
              </w:rPr>
              <w:t>=</w:t>
            </w:r>
            <w:r w:rsidRPr="00475927">
              <w:rPr>
                <w:szCs w:val="28"/>
              </w:rPr>
              <w:t>75)</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ГІМ без ОЖ (</w:t>
            </w:r>
            <w:r w:rsidRPr="00475927">
              <w:rPr>
                <w:szCs w:val="28"/>
                <w:lang w:val="en-US"/>
              </w:rPr>
              <w:t>n</w:t>
            </w:r>
            <w:r w:rsidRPr="00475927">
              <w:rPr>
                <w:szCs w:val="28"/>
                <w:lang w:val="ru-RU"/>
              </w:rPr>
              <w:t>=</w:t>
            </w:r>
            <w:r w:rsidRPr="00475927">
              <w:rPr>
                <w:szCs w:val="28"/>
              </w:rPr>
              <w:t>30)</w:t>
            </w:r>
          </w:p>
        </w:tc>
      </w:tr>
      <w:tr w:rsidR="00475927" w:rsidRPr="00475927" w:rsidTr="00475927">
        <w:trPr>
          <w:trHeight w:val="466"/>
        </w:trPr>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чоловіки</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43 (57,3%)</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16 (53,4%)</w:t>
            </w:r>
          </w:p>
        </w:tc>
      </w:tr>
      <w:tr w:rsidR="00475927" w:rsidRPr="00475927" w:rsidTr="00475927">
        <w:trPr>
          <w:trHeight w:val="455"/>
        </w:trPr>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жінки</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32 (42,7%)</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14 (46,6%)</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середній вік</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62,28±1,23</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66,16±1,61</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lang w:val="en-US"/>
              </w:rPr>
              <w:t>Q –по</w:t>
            </w:r>
            <w:r w:rsidRPr="00475927">
              <w:rPr>
                <w:szCs w:val="28"/>
              </w:rPr>
              <w:t>з</w:t>
            </w:r>
            <w:r w:rsidRPr="00475927">
              <w:rPr>
                <w:szCs w:val="28"/>
                <w:lang w:val="en-US"/>
              </w:rPr>
              <w:t xml:space="preserve">итивний </w:t>
            </w:r>
            <w:r w:rsidRPr="00475927">
              <w:rPr>
                <w:szCs w:val="28"/>
                <w:lang w:val="ru-RU"/>
              </w:rPr>
              <w:t>ГІМ</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47 (62,7 %)</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17 (56,7 %)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en-US"/>
              </w:rPr>
            </w:pPr>
            <w:r w:rsidRPr="00475927">
              <w:rPr>
                <w:szCs w:val="28"/>
                <w:lang w:val="en-US"/>
              </w:rPr>
              <w:t>Q –</w:t>
            </w:r>
            <w:r w:rsidRPr="00475927">
              <w:rPr>
                <w:szCs w:val="28"/>
              </w:rPr>
              <w:t>негативний</w:t>
            </w:r>
            <w:r w:rsidRPr="00475927">
              <w:rPr>
                <w:szCs w:val="28"/>
                <w:lang w:val="en-US"/>
              </w:rPr>
              <w:t xml:space="preserve"> </w:t>
            </w:r>
            <w:r w:rsidRPr="00475927">
              <w:rPr>
                <w:szCs w:val="28"/>
                <w:lang w:val="ru-RU"/>
              </w:rPr>
              <w:t>ГІМ</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28 (37,3%)</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13 (43,3 %)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en-US"/>
              </w:rPr>
            </w:pPr>
            <w:r w:rsidRPr="00475927">
              <w:rPr>
                <w:szCs w:val="28"/>
                <w:lang w:val="ru-RU"/>
              </w:rPr>
              <w:t>ГСН</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lang w:val="en-US"/>
              </w:rPr>
              <w:t>32</w:t>
            </w:r>
            <w:r w:rsidRPr="00475927">
              <w:rPr>
                <w:szCs w:val="28"/>
              </w:rPr>
              <w:t xml:space="preserve"> (</w:t>
            </w:r>
            <w:r w:rsidRPr="00475927">
              <w:rPr>
                <w:szCs w:val="28"/>
                <w:lang w:val="ru-RU"/>
              </w:rPr>
              <w:t>42</w:t>
            </w:r>
            <w:r w:rsidRPr="00475927">
              <w:rPr>
                <w:szCs w:val="28"/>
              </w:rPr>
              <w:t>,</w:t>
            </w:r>
            <w:r w:rsidRPr="00475927">
              <w:rPr>
                <w:szCs w:val="28"/>
                <w:lang w:val="ru-RU"/>
              </w:rPr>
              <w:t>7</w:t>
            </w:r>
            <w:r w:rsidRPr="00475927">
              <w:rPr>
                <w:szCs w:val="28"/>
              </w:rPr>
              <w:t xml:space="preserve">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lang w:val="ru-RU"/>
              </w:rPr>
              <w:t>6</w:t>
            </w:r>
            <w:r w:rsidRPr="00475927">
              <w:rPr>
                <w:szCs w:val="28"/>
              </w:rPr>
              <w:t xml:space="preserve"> (</w:t>
            </w:r>
            <w:r w:rsidRPr="00475927">
              <w:rPr>
                <w:szCs w:val="28"/>
                <w:lang w:val="ru-RU"/>
              </w:rPr>
              <w:t>20</w:t>
            </w:r>
            <w:r w:rsidRPr="00475927">
              <w:rPr>
                <w:szCs w:val="28"/>
              </w:rPr>
              <w:t xml:space="preserve">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en-US"/>
              </w:rPr>
            </w:pPr>
            <w:r w:rsidRPr="00475927">
              <w:rPr>
                <w:szCs w:val="28"/>
              </w:rPr>
              <w:t xml:space="preserve">ГСН </w:t>
            </w:r>
            <w:r w:rsidRPr="00475927">
              <w:rPr>
                <w:szCs w:val="28"/>
                <w:lang w:val="en-US"/>
              </w:rPr>
              <w:t xml:space="preserve">Killip </w:t>
            </w:r>
            <w:r w:rsidRPr="00475927">
              <w:rPr>
                <w:szCs w:val="28"/>
              </w:rPr>
              <w:t>клас 2</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17 (44,8 %)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 (66,7 %)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ru-RU"/>
              </w:rPr>
            </w:pPr>
            <w:r w:rsidRPr="00475927">
              <w:rPr>
                <w:szCs w:val="28"/>
              </w:rPr>
              <w:t xml:space="preserve">ГСН </w:t>
            </w:r>
            <w:r w:rsidRPr="00475927">
              <w:rPr>
                <w:szCs w:val="28"/>
                <w:lang w:val="en-US"/>
              </w:rPr>
              <w:t xml:space="preserve">Killip </w:t>
            </w:r>
            <w:r w:rsidRPr="00475927">
              <w:rPr>
                <w:szCs w:val="28"/>
              </w:rPr>
              <w:t>клас 3</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15 (55,2 %)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lang w:val="en-US"/>
              </w:rPr>
            </w:pPr>
            <w:r w:rsidRPr="00475927">
              <w:rPr>
                <w:szCs w:val="28"/>
              </w:rPr>
              <w:t>2 (33,3 %)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lang w:val="ru-RU"/>
              </w:rPr>
              <w:t xml:space="preserve">Рецидив </w:t>
            </w:r>
            <w:r w:rsidRPr="00475927">
              <w:rPr>
                <w:szCs w:val="28"/>
              </w:rPr>
              <w:t>ІМ</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lang w:val="ru-RU"/>
              </w:rPr>
              <w:t>5</w:t>
            </w:r>
            <w:r w:rsidRPr="00475927">
              <w:rPr>
                <w:szCs w:val="28"/>
                <w:lang w:val="en-US"/>
              </w:rPr>
              <w:t xml:space="preserve"> (</w:t>
            </w:r>
            <w:r w:rsidRPr="00475927">
              <w:rPr>
                <w:szCs w:val="28"/>
              </w:rPr>
              <w:t>6,66</w:t>
            </w:r>
            <w:r w:rsidRPr="00475927">
              <w:rPr>
                <w:szCs w:val="28"/>
                <w:lang w:val="en-US"/>
              </w:rPr>
              <w:t>%)</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lang w:val="ru-RU"/>
              </w:rPr>
            </w:pPr>
            <w:r w:rsidRPr="00475927">
              <w:rPr>
                <w:szCs w:val="28"/>
              </w:rPr>
              <w:t>Ожиріння І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39 (52 %)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lang w:val="ru-RU"/>
              </w:rPr>
            </w:pPr>
            <w:r w:rsidRPr="00475927">
              <w:rPr>
                <w:szCs w:val="28"/>
              </w:rPr>
              <w:t>Ожиріння ІІ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31 (41,3%)</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Ожиріння III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5 (6,66%)</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ІМТ, кг/м</w:t>
            </w:r>
            <w:r w:rsidRPr="00475927">
              <w:rPr>
                <w:szCs w:val="28"/>
                <w:vertAlign w:val="superscript"/>
              </w:rPr>
              <w:t>2</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lang w:val="en-US"/>
              </w:rPr>
            </w:pPr>
            <w:r w:rsidRPr="00475927">
              <w:rPr>
                <w:szCs w:val="28"/>
              </w:rPr>
              <w:t>35,43 ±0,52</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lang w:val="en-US"/>
              </w:rPr>
            </w:pPr>
            <w:r w:rsidRPr="00475927">
              <w:rPr>
                <w:szCs w:val="28"/>
              </w:rPr>
              <w:t>24,04±0,56</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ОТ/ОС</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0,983</w:t>
            </w:r>
            <w:r w:rsidRPr="00475927">
              <w:rPr>
                <w:szCs w:val="28"/>
              </w:rPr>
              <w:sym w:font="Symbol" w:char="F0B1"/>
            </w:r>
            <w:r w:rsidRPr="00475927">
              <w:rPr>
                <w:szCs w:val="28"/>
              </w:rPr>
              <w:t>0,09</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0,761</w:t>
            </w:r>
            <w:r w:rsidRPr="00475927">
              <w:rPr>
                <w:szCs w:val="28"/>
              </w:rPr>
              <w:sym w:font="Symbol" w:char="F0B1"/>
            </w:r>
            <w:r w:rsidRPr="00475927">
              <w:rPr>
                <w:szCs w:val="28"/>
              </w:rPr>
              <w:t>0,012</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АГ</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75 (100 %)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30 (100 %)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САТ, мм.рт.ст.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148,6±3,21</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136,3±5,26</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ДАТ, мм.рт.ст.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91,63±1,74</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82,11±3,72</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ФП</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16 (21,3 %)</w:t>
            </w:r>
          </w:p>
        </w:tc>
        <w:tc>
          <w:tcPr>
            <w:tcW w:w="3119"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9"/>
              </w:numPr>
              <w:spacing w:after="0" w:line="240" w:lineRule="auto"/>
              <w:rPr>
                <w:szCs w:val="28"/>
              </w:rPr>
            </w:pPr>
            <w:r w:rsidRPr="00587E8D">
              <w:rPr>
                <w:szCs w:val="28"/>
              </w:rPr>
              <w:t>(13,3 %)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постійна форма</w:t>
            </w:r>
          </w:p>
        </w:tc>
        <w:tc>
          <w:tcPr>
            <w:tcW w:w="3260"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10"/>
              </w:numPr>
              <w:spacing w:after="0" w:line="240" w:lineRule="auto"/>
              <w:rPr>
                <w:szCs w:val="28"/>
              </w:rPr>
            </w:pPr>
            <w:r w:rsidRPr="00587E8D">
              <w:rPr>
                <w:szCs w:val="28"/>
              </w:rPr>
              <w:t>(25 %)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персистуюча форма</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12 (75 %)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 (100 %)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Екстрасистолічна аритмія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39 (52 %)</w:t>
            </w:r>
          </w:p>
        </w:tc>
        <w:tc>
          <w:tcPr>
            <w:tcW w:w="3119"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8"/>
              </w:numPr>
              <w:spacing w:after="0" w:line="240" w:lineRule="auto"/>
              <w:rPr>
                <w:szCs w:val="28"/>
              </w:rPr>
            </w:pPr>
            <w:r w:rsidRPr="00587E8D">
              <w:rPr>
                <w:szCs w:val="28"/>
              </w:rPr>
              <w:t>46,7 %)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шлуночкові ЕС</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12 (30,8 %)</w:t>
            </w:r>
          </w:p>
        </w:tc>
        <w:tc>
          <w:tcPr>
            <w:tcW w:w="3119"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7"/>
              </w:numPr>
              <w:spacing w:after="0" w:line="240" w:lineRule="auto"/>
              <w:rPr>
                <w:szCs w:val="28"/>
              </w:rPr>
            </w:pPr>
            <w:r w:rsidRPr="00587E8D">
              <w:rPr>
                <w:szCs w:val="28"/>
              </w:rPr>
              <w:t>(28,6 %)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суправентрикулярні ЕС</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27 (69,2 %)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10 (71,4 %)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АВ блокада</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13 (17,3 %)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 (10 %)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numPr>
                <w:ilvl w:val="0"/>
                <w:numId w:val="6"/>
              </w:numPr>
              <w:spacing w:after="0" w:line="240" w:lineRule="auto"/>
              <w:ind w:firstLine="0"/>
              <w:rPr>
                <w:szCs w:val="28"/>
              </w:rPr>
            </w:pPr>
            <w:r w:rsidRPr="00475927">
              <w:rPr>
                <w:szCs w:val="28"/>
              </w:rPr>
              <w:t>I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9 (69,2 %)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 (100 %)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numPr>
                <w:ilvl w:val="0"/>
                <w:numId w:val="6"/>
              </w:numPr>
              <w:spacing w:after="0" w:line="240" w:lineRule="auto"/>
              <w:ind w:firstLine="0"/>
              <w:rPr>
                <w:szCs w:val="28"/>
              </w:rPr>
            </w:pPr>
            <w:r w:rsidRPr="00475927">
              <w:rPr>
                <w:szCs w:val="28"/>
                <w:lang w:val="en-US"/>
              </w:rPr>
              <w:t>II</w:t>
            </w:r>
            <w:r w:rsidRPr="00475927">
              <w:rPr>
                <w:szCs w:val="28"/>
              </w:rPr>
              <w:t xml:space="preserve">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 (30,8 %)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БЛНПГ</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23 (30,6 %)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8 (26,6 %)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БПНПГ</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24 (32 %)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13 (43,3 %)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lang w:val="ru-RU"/>
              </w:rPr>
            </w:pPr>
            <w:r w:rsidRPr="00475927">
              <w:rPr>
                <w:szCs w:val="28"/>
              </w:rPr>
              <w:t>ФВ &lt;40 %</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46 (61,3 %)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14 (46,7 %)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КВГ</w:t>
            </w:r>
          </w:p>
        </w:tc>
        <w:tc>
          <w:tcPr>
            <w:tcW w:w="3260"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11"/>
              </w:numPr>
              <w:spacing w:after="0" w:line="240" w:lineRule="auto"/>
              <w:rPr>
                <w:szCs w:val="28"/>
              </w:rPr>
            </w:pPr>
            <w:r w:rsidRPr="00587E8D">
              <w:rPr>
                <w:szCs w:val="28"/>
              </w:rPr>
              <w:t>41,3 %)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елютінг-стент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24 (77,4 %)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стент без покриття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7 (22,6 %)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ТЛТ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44 (58,6 %)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30 (100 %)</w:t>
            </w:r>
          </w:p>
        </w:tc>
      </w:tr>
    </w:tbl>
    <w:p w:rsidR="00475927" w:rsidRPr="00475927" w:rsidRDefault="00475927" w:rsidP="00475927">
      <w:pPr>
        <w:spacing w:after="0" w:line="360" w:lineRule="auto"/>
        <w:ind w:firstLine="851"/>
        <w:jc w:val="both"/>
        <w:rPr>
          <w:szCs w:val="28"/>
        </w:rPr>
      </w:pPr>
      <w:r w:rsidRPr="00475927">
        <w:rPr>
          <w:szCs w:val="28"/>
        </w:rPr>
        <w:t>Для характеристики ожиріння використовувались ІМТ, середні значення якого дорівнювали у 1-й групі 35,43 ±0,52 кг/м</w:t>
      </w:r>
      <w:r w:rsidRPr="00475927">
        <w:rPr>
          <w:szCs w:val="28"/>
          <w:vertAlign w:val="superscript"/>
        </w:rPr>
        <w:t>2</w:t>
      </w:r>
      <w:r w:rsidRPr="00475927">
        <w:rPr>
          <w:szCs w:val="28"/>
        </w:rPr>
        <w:t>, а у 2-й групі – 24,04±0,56 кг/м</w:t>
      </w:r>
      <w:r w:rsidRPr="00475927">
        <w:rPr>
          <w:szCs w:val="28"/>
          <w:vertAlign w:val="superscript"/>
        </w:rPr>
        <w:t>2</w:t>
      </w:r>
      <w:r w:rsidRPr="00475927">
        <w:rPr>
          <w:szCs w:val="28"/>
        </w:rPr>
        <w:t xml:space="preserve">; було визначено наявність ожиріння за класифікацією IDF. Для встановлення типу </w:t>
      </w:r>
      <w:r w:rsidRPr="00475927">
        <w:rPr>
          <w:szCs w:val="28"/>
        </w:rPr>
        <w:lastRenderedPageBreak/>
        <w:t>розподілу жирової тканини було розраховано показник співвідношення ОТ/ОС, який у 1-й групі склав 0,983</w:t>
      </w:r>
      <w:r w:rsidRPr="00475927">
        <w:rPr>
          <w:szCs w:val="28"/>
        </w:rPr>
        <w:sym w:font="Symbol" w:char="F0B1"/>
      </w:r>
      <w:r w:rsidRPr="00475927">
        <w:rPr>
          <w:szCs w:val="28"/>
        </w:rPr>
        <w:t>0,09, а у 2-й групі - 0,761</w:t>
      </w:r>
      <w:r w:rsidRPr="00475927">
        <w:rPr>
          <w:szCs w:val="28"/>
        </w:rPr>
        <w:sym w:font="Symbol" w:char="F0B1"/>
      </w:r>
      <w:r w:rsidRPr="00475927">
        <w:rPr>
          <w:szCs w:val="28"/>
        </w:rPr>
        <w:t>0,012. В 1-й групі було встановлено, що ожиріння І ступеня мали 39 хворих (52 %), ІІ ступеня – 31 (41,3 %) і III ступен</w:t>
      </w:r>
      <w:r w:rsidRPr="00475927">
        <w:rPr>
          <w:szCs w:val="28"/>
          <w:lang w:val="ru-RU"/>
        </w:rPr>
        <w:t>я – 5 (6,66 %) осіб</w:t>
      </w:r>
      <w:r w:rsidRPr="00475927">
        <w:rPr>
          <w:szCs w:val="28"/>
        </w:rPr>
        <w:t xml:space="preserve"> згідно ІМТ. В 1-й групі 32 хворих (42,7 %) мали </w:t>
      </w:r>
      <w:r w:rsidRPr="00475927">
        <w:rPr>
          <w:szCs w:val="28"/>
          <w:lang w:val="ru-RU"/>
        </w:rPr>
        <w:t>ГСН</w:t>
      </w:r>
      <w:r w:rsidRPr="00475927">
        <w:rPr>
          <w:szCs w:val="28"/>
        </w:rPr>
        <w:t>, з яких 2 клас за</w:t>
      </w:r>
      <w:r w:rsidRPr="00475927">
        <w:rPr>
          <w:szCs w:val="28"/>
          <w:lang w:val="ru-RU"/>
        </w:rPr>
        <w:t xml:space="preserve"> </w:t>
      </w:r>
      <w:r w:rsidRPr="00475927">
        <w:rPr>
          <w:szCs w:val="28"/>
          <w:lang w:val="en-US"/>
        </w:rPr>
        <w:t>Killip</w:t>
      </w:r>
      <w:r w:rsidRPr="00475927">
        <w:rPr>
          <w:szCs w:val="28"/>
          <w:lang w:val="ru-RU"/>
        </w:rPr>
        <w:t xml:space="preserve"> </w:t>
      </w:r>
      <w:r w:rsidRPr="00475927">
        <w:rPr>
          <w:szCs w:val="28"/>
        </w:rPr>
        <w:t xml:space="preserve">– у 17 хворих (44,8 %), 3 клас – у 15 хворих (55,2 %), в 2-й групі було 6 (20 %) осіб з ГСН, серед яких 2 та 3 клас за </w:t>
      </w:r>
      <w:r w:rsidRPr="00475927">
        <w:rPr>
          <w:szCs w:val="28"/>
          <w:lang w:val="en-US"/>
        </w:rPr>
        <w:t>Killip</w:t>
      </w:r>
      <w:r w:rsidRPr="00475927">
        <w:rPr>
          <w:szCs w:val="28"/>
        </w:rPr>
        <w:t xml:space="preserve"> визначалися у 4 (66,7 %) та 2 (33,3 %) осіб відповідно. У 5 обстежених хворих 1-ї групи мав місце рецидив ІМ (6,66 %), в той час як в групі порівняння рецидиву зафіксовано не було. </w:t>
      </w:r>
    </w:p>
    <w:p w:rsidR="00475927" w:rsidRPr="00475927" w:rsidRDefault="00475927" w:rsidP="00475927">
      <w:pPr>
        <w:spacing w:after="0" w:line="360" w:lineRule="auto"/>
        <w:ind w:firstLine="851"/>
        <w:jc w:val="both"/>
        <w:rPr>
          <w:szCs w:val="28"/>
        </w:rPr>
      </w:pPr>
      <w:r w:rsidRPr="00475927">
        <w:rPr>
          <w:szCs w:val="28"/>
        </w:rPr>
        <w:t xml:space="preserve">При аналізі даних АТ було визначено у всіх пацієнтів (100 %). Середній АТ у хворих 1-ї групи склав: систолічний артеріальний тиск (САТ) – 148,6±3,21 мм.рт.ст., діастолічний артеріальний тиск (ДАТ) – 91,63±1,74 мм.рт.ст, а у 2-й групі – САТ – 136,3±5,26 мм.рт.ст., ДАТ – 82,11±3,72 мм.рт.ст.  Наявність АГ була присутня в обох групах в 100% випадків. </w:t>
      </w:r>
    </w:p>
    <w:p w:rsidR="00475927" w:rsidRPr="00475927" w:rsidRDefault="00475927" w:rsidP="00475927">
      <w:pPr>
        <w:spacing w:after="0" w:line="360" w:lineRule="auto"/>
        <w:ind w:firstLine="851"/>
        <w:jc w:val="both"/>
        <w:rPr>
          <w:szCs w:val="28"/>
        </w:rPr>
      </w:pPr>
      <w:r w:rsidRPr="00475927">
        <w:rPr>
          <w:szCs w:val="28"/>
        </w:rPr>
        <w:t xml:space="preserve">Серед усіх хворих було виявлено 16 осіб з повторним ІМ (15,2 %), серед яких 10 (62,5 %) страждали на супутнє ожиріння, а 6 (37,5 %) не мали метаболічних порушень. У 89 осіб (84,8 %) ГІМ виник вперше. При розподілі хворих за ураженою стінкою було визначено. що 36 хворих мали ураження задньої стінки (34,3 %), 47 (44,8 %) – передньої, у 12 хворих (11,4 %) визначено поєднане ураження передньої та бокової стінок, а у 10 (9,5 %) – задньої та бокової стінок. </w:t>
      </w:r>
    </w:p>
    <w:p w:rsidR="00475927" w:rsidRPr="00475927" w:rsidRDefault="00475927" w:rsidP="00475927">
      <w:pPr>
        <w:spacing w:after="0" w:line="360" w:lineRule="auto"/>
        <w:ind w:firstLine="851"/>
        <w:jc w:val="both"/>
        <w:rPr>
          <w:szCs w:val="28"/>
        </w:rPr>
      </w:pPr>
      <w:r w:rsidRPr="00475927">
        <w:rPr>
          <w:szCs w:val="28"/>
        </w:rPr>
        <w:t xml:space="preserve">До загального клінічного дослідження входило визначення електрокардіографії (ЕКГ). У пацієнтів з наявністю супутнього ожиріння було зареєстровано 48 випадків (64 %) Q-позитивного ГІМ та 27 випадків (36 %) Q-негативного ГІМ, тоді як в групі хворих без ожиріння зафіксовано 16 (53,3 %) та 14 (46,7 %) випадків Q-позитивного та Q-негативного ГІМ відповідно. У хворих на ГІМ за наявності або відсутності ожиріння за даними ЕКГ спостерігалося порушення ритму та провідності. Так у 16 хворих 1 групи (21,3 %) було зареєстровано порушення ритму у вигляді фібриляції передсердь (ФП), з них у 4 </w:t>
      </w:r>
      <w:r w:rsidRPr="00475927">
        <w:rPr>
          <w:szCs w:val="28"/>
        </w:rPr>
        <w:lastRenderedPageBreak/>
        <w:t xml:space="preserve">осіб (25 %) спостерігалася постійна форма ФП, а у 12 (75 %) – персистуюча форма з наявністю пароксизму на момент госпіталізації. В групі порівняння було зафіксовано 4 випадки ФП, з яких 100 % припадало на пароксизм персистуючої форми. </w:t>
      </w:r>
    </w:p>
    <w:p w:rsidR="00475927" w:rsidRPr="00475927" w:rsidRDefault="00475927" w:rsidP="00475927">
      <w:pPr>
        <w:spacing w:after="0" w:line="360" w:lineRule="auto"/>
        <w:ind w:firstLine="851"/>
        <w:jc w:val="both"/>
        <w:rPr>
          <w:szCs w:val="28"/>
        </w:rPr>
      </w:pPr>
      <w:r w:rsidRPr="00475927">
        <w:rPr>
          <w:szCs w:val="28"/>
        </w:rPr>
        <w:t>Екстрасистолічна аритмія спостерігалась у 39 хворих на ГІМ з супутнім ожирінням (52 %) та 14 хворих на ізольований ГІМ (46,7 %). Так в першій групі шлуночкові екстрасистоли були зафіксовані у 12 осіб (30,8 %), суправентрикулярні – у 27 осіб (69,2 %), а в другій групі у 4 (28,6 %) та 10 (71,4 %) хворих відповідно. Фатальні порушення ритму у вигляді фібриляції шлуночків (ФШ) було визначено у 2 хворих основної групи (2,67 %). В обох випадках хворі отримали реанімаційні заходи в повному обсязі з позитивним ефектом. В групі порівняння ФШ не спостерігалось. Що стосується порушення провідності, 13 хворих (17,3 %) на ГІМ з супутнім ожиріння мали атріовентрикулярну (АВ) блокаду, з яких АВ-блокада I ступеня зафіксована у 9 осіб (69,2 %), II ступеня – у 4 осіб (30,8 %). В групі хворих на ГІМ без ожиріння виявлено 3 випадки АВ-блокади (10 %), серед яких 100% - АВ-блокада I ступеня. При проведенні ЕКГ-дослідження б</w:t>
      </w:r>
      <w:r w:rsidRPr="00475927">
        <w:rPr>
          <w:szCs w:val="28"/>
          <w:lang w:val="ru-RU"/>
        </w:rPr>
        <w:t>локада</w:t>
      </w:r>
      <w:r w:rsidRPr="00475927">
        <w:rPr>
          <w:szCs w:val="28"/>
        </w:rPr>
        <w:t xml:space="preserve"> лівої ніжки пучка Гіса (БЛНПГ)</w:t>
      </w:r>
      <w:r w:rsidRPr="00475927">
        <w:rPr>
          <w:szCs w:val="28"/>
          <w:lang w:val="ru-RU"/>
        </w:rPr>
        <w:t xml:space="preserve"> </w:t>
      </w:r>
      <w:r w:rsidRPr="00475927">
        <w:rPr>
          <w:szCs w:val="28"/>
        </w:rPr>
        <w:t xml:space="preserve">в 1-й групі була зареєстрована у 23 осіб (30,6 %), в 2-й – у 8 осіб (26,6 %). Також відзначалося 24 випадки блокади правої ніжки пучка Гіса серед хворих основної групи (32 %) та 13 – серед хворих групи порівняння (43,3 %). </w:t>
      </w:r>
    </w:p>
    <w:p w:rsidR="00475927" w:rsidRPr="00475927" w:rsidRDefault="00475927" w:rsidP="00475927">
      <w:pPr>
        <w:spacing w:after="0" w:line="360" w:lineRule="auto"/>
        <w:ind w:firstLine="851"/>
        <w:jc w:val="both"/>
        <w:rPr>
          <w:szCs w:val="28"/>
        </w:rPr>
      </w:pPr>
      <w:r w:rsidRPr="00475927">
        <w:rPr>
          <w:szCs w:val="28"/>
        </w:rPr>
        <w:t xml:space="preserve">Згідно даних ехокардіографічного (ЕхоКГ) дослідження морфо-функціональних показників, проведеного протягом першої доби захворювання була визначена систолічна дисфункція лівого шлуночка у вигляді зниження фракції викиду &lt;40 %у 1-й групі – у 46 хворих (61,3 %), у 2-й групі – у 14 хворих (46,7 %). </w:t>
      </w:r>
    </w:p>
    <w:p w:rsidR="00475927" w:rsidRPr="00475927" w:rsidRDefault="00475927" w:rsidP="00475927">
      <w:pPr>
        <w:spacing w:after="0" w:line="360" w:lineRule="auto"/>
        <w:ind w:firstLine="851"/>
        <w:jc w:val="both"/>
        <w:rPr>
          <w:szCs w:val="28"/>
        </w:rPr>
      </w:pPr>
      <w:r w:rsidRPr="00475927">
        <w:rPr>
          <w:szCs w:val="28"/>
        </w:rPr>
        <w:t>З метою оцінки серцево-судинного сполучення (ССС) проводилось обчислення співвідношення ефективної еластичності (Еа) до кінцево-систолічної еластичності ЛШ (</w:t>
      </w:r>
      <w:r w:rsidRPr="00475927">
        <w:rPr>
          <w:szCs w:val="28"/>
          <w:lang w:val="en-US"/>
        </w:rPr>
        <w:t>Es</w:t>
      </w:r>
      <w:r w:rsidRPr="00475927">
        <w:rPr>
          <w:szCs w:val="28"/>
        </w:rPr>
        <w:t>) на підставі аналізу кривої об’єм-тиск ЛШ: ССС=Еа/</w:t>
      </w:r>
      <w:r w:rsidRPr="00475927">
        <w:rPr>
          <w:szCs w:val="28"/>
          <w:lang w:val="en-US"/>
        </w:rPr>
        <w:t>Es</w:t>
      </w:r>
      <w:r w:rsidRPr="00475927">
        <w:rPr>
          <w:szCs w:val="28"/>
        </w:rPr>
        <w:t xml:space="preserve">. </w:t>
      </w:r>
      <w:r w:rsidRPr="00475927">
        <w:rPr>
          <w:szCs w:val="28"/>
          <w:lang w:val="ru-RU"/>
        </w:rPr>
        <w:t xml:space="preserve">Еа та </w:t>
      </w:r>
      <w:r w:rsidRPr="00475927">
        <w:rPr>
          <w:szCs w:val="28"/>
          <w:lang w:val="en-US"/>
        </w:rPr>
        <w:t>Es</w:t>
      </w:r>
      <w:r w:rsidRPr="00475927">
        <w:rPr>
          <w:szCs w:val="28"/>
        </w:rPr>
        <w:t xml:space="preserve"> розраховувались неінвазивно за ехокардіографічними показниками.</w:t>
      </w:r>
    </w:p>
    <w:p w:rsidR="00475927" w:rsidRPr="00475927" w:rsidRDefault="00475927" w:rsidP="00475927">
      <w:pPr>
        <w:spacing w:after="0" w:line="360" w:lineRule="auto"/>
        <w:ind w:firstLine="851"/>
        <w:jc w:val="both"/>
        <w:rPr>
          <w:i/>
          <w:szCs w:val="28"/>
        </w:rPr>
      </w:pPr>
      <w:r w:rsidRPr="00475927">
        <w:rPr>
          <w:i/>
          <w:szCs w:val="28"/>
        </w:rPr>
        <w:t>Еа = КСТ / УО</w:t>
      </w:r>
    </w:p>
    <w:p w:rsidR="00475927" w:rsidRPr="00475927" w:rsidRDefault="00475927" w:rsidP="00475927">
      <w:pPr>
        <w:spacing w:after="0" w:line="360" w:lineRule="auto"/>
        <w:ind w:firstLine="851"/>
        <w:jc w:val="both"/>
        <w:rPr>
          <w:szCs w:val="28"/>
        </w:rPr>
      </w:pPr>
      <w:r w:rsidRPr="00475927">
        <w:rPr>
          <w:szCs w:val="28"/>
        </w:rPr>
        <w:lastRenderedPageBreak/>
        <w:t>Кінцевий систолічний тиск (КСТ) розраховувався за формулою:</w:t>
      </w:r>
    </w:p>
    <w:p w:rsidR="00475927" w:rsidRPr="00475927" w:rsidRDefault="00475927" w:rsidP="00475927">
      <w:pPr>
        <w:spacing w:after="0" w:line="360" w:lineRule="auto"/>
        <w:ind w:firstLine="851"/>
        <w:jc w:val="both"/>
        <w:rPr>
          <w:i/>
          <w:szCs w:val="28"/>
        </w:rPr>
      </w:pPr>
      <w:r w:rsidRPr="00475927">
        <w:rPr>
          <w:i/>
          <w:szCs w:val="28"/>
        </w:rPr>
        <w:t>КСТ = 0,9 × САТ,</w:t>
      </w:r>
    </w:p>
    <w:p w:rsidR="00475927" w:rsidRPr="00475927" w:rsidRDefault="00475927" w:rsidP="00475927">
      <w:pPr>
        <w:spacing w:after="0" w:line="360" w:lineRule="auto"/>
        <w:ind w:firstLine="851"/>
        <w:jc w:val="both"/>
        <w:rPr>
          <w:szCs w:val="28"/>
        </w:rPr>
      </w:pPr>
      <w:r w:rsidRPr="00475927">
        <w:rPr>
          <w:szCs w:val="28"/>
        </w:rPr>
        <w:t>де САТ – систолічний артеріальний тиск.</w:t>
      </w:r>
    </w:p>
    <w:p w:rsidR="00475927" w:rsidRPr="00475927" w:rsidRDefault="00475927" w:rsidP="00475927">
      <w:pPr>
        <w:spacing w:after="0" w:line="360" w:lineRule="auto"/>
        <w:ind w:firstLine="851"/>
        <w:jc w:val="both"/>
        <w:rPr>
          <w:i/>
          <w:szCs w:val="28"/>
        </w:rPr>
      </w:pPr>
      <w:r w:rsidRPr="00475927">
        <w:rPr>
          <w:i/>
          <w:szCs w:val="28"/>
          <w:lang w:val="en-US"/>
        </w:rPr>
        <w:t>Es</w:t>
      </w:r>
      <w:r w:rsidRPr="00475927">
        <w:rPr>
          <w:i/>
          <w:szCs w:val="28"/>
        </w:rPr>
        <w:t xml:space="preserve"> = КСТ / КСО</w:t>
      </w:r>
    </w:p>
    <w:p w:rsidR="00475927" w:rsidRPr="00475927" w:rsidRDefault="00475927" w:rsidP="00475927">
      <w:pPr>
        <w:spacing w:after="0" w:line="360" w:lineRule="auto"/>
        <w:ind w:firstLine="851"/>
        <w:jc w:val="both"/>
        <w:rPr>
          <w:szCs w:val="28"/>
        </w:rPr>
      </w:pPr>
      <w:r w:rsidRPr="00475927">
        <w:rPr>
          <w:szCs w:val="28"/>
        </w:rPr>
        <w:t>Величина співвідношення Еа/</w:t>
      </w:r>
      <w:r w:rsidRPr="00475927">
        <w:rPr>
          <w:szCs w:val="28"/>
          <w:lang w:val="en-US"/>
        </w:rPr>
        <w:t>Es</w:t>
      </w:r>
      <w:r w:rsidRPr="00475927">
        <w:rPr>
          <w:szCs w:val="28"/>
        </w:rPr>
        <w:t xml:space="preserve"> в межах від 0,6 до 1,2 в фізіологічних умовах приймалася за показник, що відображує оптимальну взаємодію між артеріальною системою та ЛШ.</w:t>
      </w:r>
    </w:p>
    <w:p w:rsidR="00475927" w:rsidRPr="00475927" w:rsidRDefault="00475927" w:rsidP="00475927">
      <w:pPr>
        <w:spacing w:after="0" w:line="360" w:lineRule="auto"/>
        <w:ind w:firstLine="851"/>
        <w:jc w:val="both"/>
        <w:rPr>
          <w:szCs w:val="28"/>
        </w:rPr>
      </w:pPr>
      <w:r w:rsidRPr="00475927">
        <w:rPr>
          <w:szCs w:val="28"/>
        </w:rPr>
        <w:t xml:space="preserve">Коронаровентрикулографію (КВГ) з наступним стентуванням інфаркт-залежної артерії проведено 31 пацієнту (41,3 %) з ГІМ та ожирінням. Серед них 24 хворим (77,4 %) було встановлено елютінг-стенти та 7 (22,6 %) – стенти без покриття. КВГ було проведено згідно Наказу Міністерства охорони здоров’я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475927">
        <w:rPr>
          <w:szCs w:val="28"/>
          <w:lang w:val="ru-RU"/>
        </w:rPr>
        <w:t>ST</w:t>
      </w:r>
      <w:r w:rsidRPr="00475927">
        <w:rPr>
          <w:szCs w:val="28"/>
        </w:rPr>
        <w:t>» протягом 1 доби від початку больового синдрому.</w:t>
      </w:r>
    </w:p>
    <w:p w:rsidR="00475927" w:rsidRPr="00F407BB" w:rsidRDefault="00475927" w:rsidP="00475927">
      <w:pPr>
        <w:spacing w:after="0" w:line="360" w:lineRule="auto"/>
        <w:ind w:firstLine="851"/>
        <w:jc w:val="both"/>
        <w:rPr>
          <w:szCs w:val="28"/>
          <w:lang w:val="ru-RU"/>
        </w:rPr>
      </w:pPr>
      <w:r w:rsidRPr="00475927">
        <w:rPr>
          <w:szCs w:val="28"/>
        </w:rPr>
        <w:t xml:space="preserve">Всі інші хворі на ГІМ отримали в якості реперфузійної стратегії тромболітичну терапію, серед яких 44 хворих мали в анамнезі супутнє ожиріння (58,6 %), а 30 хворих не мали супутніх метаболічних порушень (100 %). Препаратами вибору для проведення тромболізису були тенектеплазе (металізе) або стрептокіназа. </w:t>
      </w:r>
    </w:p>
    <w:p w:rsidR="00475927" w:rsidRPr="00475927" w:rsidRDefault="00475927" w:rsidP="00475927">
      <w:pPr>
        <w:spacing w:after="0" w:line="360" w:lineRule="auto"/>
        <w:ind w:firstLine="851"/>
        <w:jc w:val="both"/>
        <w:rPr>
          <w:szCs w:val="28"/>
        </w:rPr>
      </w:pPr>
      <w:r w:rsidRPr="00F407BB">
        <w:rPr>
          <w:szCs w:val="28"/>
          <w:lang w:val="ru-RU"/>
        </w:rPr>
        <w:t xml:space="preserve">Для стратифікації ризику госпітальної та 6-місячної летальності була використана шкала </w:t>
      </w:r>
      <w:r w:rsidRPr="00475927">
        <w:rPr>
          <w:szCs w:val="28"/>
          <w:lang w:val="en-US"/>
        </w:rPr>
        <w:t>GRACE</w:t>
      </w:r>
      <w:r w:rsidRPr="00F407BB">
        <w:rPr>
          <w:szCs w:val="28"/>
          <w:lang w:val="ru-RU"/>
        </w:rPr>
        <w:t xml:space="preserve"> (</w:t>
      </w:r>
      <w:r w:rsidRPr="00475927">
        <w:rPr>
          <w:szCs w:val="28"/>
          <w:lang w:val="en-US"/>
        </w:rPr>
        <w:t>Global</w:t>
      </w:r>
      <w:r w:rsidRPr="00F407BB">
        <w:rPr>
          <w:szCs w:val="28"/>
          <w:lang w:val="ru-RU"/>
        </w:rPr>
        <w:t xml:space="preserve"> </w:t>
      </w:r>
      <w:r w:rsidRPr="00475927">
        <w:rPr>
          <w:szCs w:val="28"/>
          <w:lang w:val="en-US"/>
        </w:rPr>
        <w:t>Registry</w:t>
      </w:r>
      <w:r w:rsidRPr="00F407BB">
        <w:rPr>
          <w:szCs w:val="28"/>
          <w:lang w:val="ru-RU"/>
        </w:rPr>
        <w:t xml:space="preserve"> </w:t>
      </w:r>
      <w:r w:rsidRPr="00475927">
        <w:rPr>
          <w:szCs w:val="28"/>
          <w:lang w:val="en-US"/>
        </w:rPr>
        <w:t>of</w:t>
      </w:r>
      <w:r w:rsidRPr="00F407BB">
        <w:rPr>
          <w:szCs w:val="28"/>
          <w:lang w:val="ru-RU"/>
        </w:rPr>
        <w:t xml:space="preserve"> </w:t>
      </w:r>
      <w:r w:rsidRPr="00475927">
        <w:rPr>
          <w:szCs w:val="28"/>
          <w:lang w:val="en-US"/>
        </w:rPr>
        <w:t>Acute</w:t>
      </w:r>
      <w:r w:rsidRPr="00F407BB">
        <w:rPr>
          <w:szCs w:val="28"/>
          <w:lang w:val="ru-RU"/>
        </w:rPr>
        <w:t xml:space="preserve"> </w:t>
      </w:r>
      <w:r w:rsidRPr="00475927">
        <w:rPr>
          <w:szCs w:val="28"/>
          <w:lang w:val="en-US"/>
        </w:rPr>
        <w:t>Coronary</w:t>
      </w:r>
      <w:r w:rsidRPr="00F407BB">
        <w:rPr>
          <w:szCs w:val="28"/>
          <w:lang w:val="ru-RU"/>
        </w:rPr>
        <w:t xml:space="preserve"> </w:t>
      </w:r>
      <w:r w:rsidRPr="00475927">
        <w:rPr>
          <w:szCs w:val="28"/>
          <w:lang w:val="en-US"/>
        </w:rPr>
        <w:t>Events</w:t>
      </w:r>
      <w:r w:rsidRPr="00F407BB">
        <w:rPr>
          <w:szCs w:val="28"/>
          <w:lang w:val="ru-RU"/>
        </w:rPr>
        <w:t xml:space="preserve">). </w:t>
      </w:r>
      <w:r w:rsidRPr="00475927">
        <w:rPr>
          <w:szCs w:val="28"/>
        </w:rPr>
        <w:t>В</w:t>
      </w:r>
      <w:r w:rsidRPr="00F407BB">
        <w:rPr>
          <w:szCs w:val="28"/>
          <w:lang w:val="ru-RU"/>
        </w:rPr>
        <w:t xml:space="preserve"> якості </w:t>
      </w:r>
      <w:r w:rsidRPr="00475927">
        <w:rPr>
          <w:szCs w:val="28"/>
        </w:rPr>
        <w:t xml:space="preserve">факторів ризику шкала </w:t>
      </w:r>
      <w:r w:rsidRPr="00475927">
        <w:rPr>
          <w:szCs w:val="28"/>
          <w:lang w:val="en-US"/>
        </w:rPr>
        <w:t>GRACE</w:t>
      </w:r>
      <w:r w:rsidRPr="00475927">
        <w:rPr>
          <w:szCs w:val="28"/>
        </w:rPr>
        <w:t xml:space="preserve"> вік, клас ГСН за Killip,показники гемодинаміки (ЧСС та САТ), рівень креатиніна крові, наявність порушень провідності, підвищення кардіоспецифічних ферментів та елеваці. сегмента ST на кардіограмі при надходженні пацієнта до стаціонару. Це – єдина модель, що дозволяє оцінити ризик не тільки летальності, але й не фатального рецидиву ІМ та може бути застосована до всіх хворих незалежно від метода реперфузії міокарда. </w:t>
      </w:r>
    </w:p>
    <w:p w:rsidR="000D68B1" w:rsidRPr="00F407BB" w:rsidRDefault="000D68B1" w:rsidP="00EB666A">
      <w:pPr>
        <w:spacing w:after="0" w:line="360" w:lineRule="auto"/>
        <w:ind w:left="7789"/>
        <w:jc w:val="both"/>
        <w:rPr>
          <w:i/>
          <w:szCs w:val="28"/>
          <w:lang w:val="ru-RU"/>
        </w:rPr>
      </w:pPr>
    </w:p>
    <w:p w:rsidR="00475927" w:rsidRPr="00475927" w:rsidRDefault="00475927" w:rsidP="00EB666A">
      <w:pPr>
        <w:spacing w:after="0" w:line="360" w:lineRule="auto"/>
        <w:ind w:left="7789"/>
        <w:jc w:val="both"/>
        <w:rPr>
          <w:i/>
          <w:szCs w:val="28"/>
        </w:rPr>
      </w:pPr>
      <w:r w:rsidRPr="00475927">
        <w:rPr>
          <w:i/>
          <w:szCs w:val="28"/>
          <w:lang w:val="ru-RU"/>
        </w:rPr>
        <w:lastRenderedPageBreak/>
        <w:t>Таблиця 2.</w:t>
      </w:r>
      <w:r w:rsidRPr="00475927">
        <w:rPr>
          <w:i/>
          <w:szCs w:val="28"/>
        </w:rPr>
        <w:t>2</w:t>
      </w:r>
    </w:p>
    <w:p w:rsidR="00475927" w:rsidRPr="00864DAF" w:rsidRDefault="00475927" w:rsidP="00587E8D">
      <w:pPr>
        <w:spacing w:after="0" w:line="360" w:lineRule="auto"/>
        <w:ind w:firstLine="851"/>
        <w:jc w:val="center"/>
        <w:rPr>
          <w:szCs w:val="28"/>
          <w:lang w:val="ru-RU"/>
        </w:rPr>
      </w:pPr>
      <w:r w:rsidRPr="00864DAF">
        <w:rPr>
          <w:szCs w:val="28"/>
        </w:rPr>
        <w:t>Розподіл хворих з гострим інфарктом міокарда та ожирінням за рівнем ризику летальності та повторних коронарних подій за шкалою GRACE</w:t>
      </w:r>
      <w:r w:rsidRPr="00864DAF">
        <w:rPr>
          <w:szCs w:val="28"/>
          <w:lang w:val="en-US"/>
        </w:rPr>
        <w:t xml:space="preserve"> протягом п</w:t>
      </w:r>
      <w:r w:rsidRPr="00864DAF">
        <w:rPr>
          <w:szCs w:val="28"/>
        </w:rPr>
        <w:t>і</w:t>
      </w:r>
      <w:r w:rsidRPr="00864DAF">
        <w:rPr>
          <w:szCs w:val="28"/>
          <w:lang w:val="en-US"/>
        </w:rPr>
        <w:t>вроку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70"/>
      </w:tblGrid>
      <w:tr w:rsidR="00475927" w:rsidRPr="00475927" w:rsidTr="00475927">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GRACE, бали</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136,8±4,05</w:t>
            </w:r>
          </w:p>
        </w:tc>
      </w:tr>
      <w:tr w:rsidR="00475927" w:rsidRPr="00475927" w:rsidTr="00475927">
        <w:trPr>
          <w:trHeight w:val="466"/>
        </w:trPr>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високий ризик (&gt; 118 балів)</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52 (69,3%)</w:t>
            </w:r>
          </w:p>
        </w:tc>
      </w:tr>
      <w:tr w:rsidR="00475927" w:rsidRPr="00475927" w:rsidTr="00475927">
        <w:trPr>
          <w:trHeight w:val="455"/>
        </w:trPr>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середній ризик (89 – 118 балів)</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20 (26,7%)</w:t>
            </w:r>
          </w:p>
        </w:tc>
      </w:tr>
      <w:tr w:rsidR="00475927" w:rsidRPr="00475927" w:rsidTr="00475927">
        <w:trPr>
          <w:trHeight w:val="455"/>
        </w:trPr>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низький ризик (≤88 балів)</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3 (4%)</w:t>
            </w:r>
          </w:p>
        </w:tc>
      </w:tr>
    </w:tbl>
    <w:p w:rsidR="00475927" w:rsidRPr="00475927" w:rsidRDefault="00475927" w:rsidP="00475927">
      <w:pPr>
        <w:spacing w:after="0" w:line="360" w:lineRule="auto"/>
        <w:ind w:firstLine="851"/>
        <w:jc w:val="both"/>
        <w:rPr>
          <w:szCs w:val="28"/>
        </w:rPr>
      </w:pPr>
    </w:p>
    <w:p w:rsidR="00475927" w:rsidRPr="00475927" w:rsidRDefault="00475927" w:rsidP="00475927">
      <w:pPr>
        <w:spacing w:after="0" w:line="360" w:lineRule="auto"/>
        <w:ind w:firstLine="851"/>
        <w:jc w:val="both"/>
        <w:rPr>
          <w:szCs w:val="28"/>
        </w:rPr>
      </w:pPr>
      <w:r w:rsidRPr="00475927">
        <w:rPr>
          <w:szCs w:val="28"/>
        </w:rPr>
        <w:t xml:space="preserve">Вивчення балів за шкалою GRACE у хворих з ГІМ та ожирінням виявило наявність груп низького, середнього та високого ризику. Дані представлені в таблиці 2.2. Переважали хворі високого ризику (52 особи), середній ризик мали 20 осіб, до групи низького ризику увійшло 3 пацієнта. </w:t>
      </w:r>
    </w:p>
    <w:p w:rsidR="00475927" w:rsidRPr="00475927" w:rsidRDefault="00475927" w:rsidP="00475927">
      <w:pPr>
        <w:spacing w:after="0" w:line="360" w:lineRule="auto"/>
        <w:ind w:firstLine="851"/>
        <w:jc w:val="both"/>
        <w:rPr>
          <w:szCs w:val="28"/>
          <w:lang w:val="ru-RU"/>
        </w:rPr>
      </w:pPr>
      <w:r w:rsidRPr="00475927">
        <w:rPr>
          <w:szCs w:val="28"/>
        </w:rPr>
        <w:t>Клініко-інструментальне обстеження хворих проводили тричі: при надходженні до стаціонару, через 1 місяць та через 6 місяців.</w:t>
      </w:r>
    </w:p>
    <w:p w:rsidR="00587E8D" w:rsidRDefault="00587E8D">
      <w:pPr>
        <w:rPr>
          <w:szCs w:val="28"/>
        </w:rPr>
      </w:pPr>
    </w:p>
    <w:p w:rsidR="00475927" w:rsidRPr="00475927" w:rsidRDefault="00475927" w:rsidP="00475927">
      <w:pPr>
        <w:spacing w:after="0" w:line="360" w:lineRule="auto"/>
        <w:ind w:firstLine="851"/>
        <w:jc w:val="both"/>
        <w:rPr>
          <w:szCs w:val="28"/>
        </w:rPr>
      </w:pPr>
      <w:r w:rsidRPr="00475927">
        <w:rPr>
          <w:szCs w:val="28"/>
        </w:rPr>
        <w:t>2.2. Методи дослідження</w:t>
      </w:r>
    </w:p>
    <w:p w:rsidR="00475927" w:rsidRPr="00475927" w:rsidRDefault="00475927" w:rsidP="00475927">
      <w:pPr>
        <w:spacing w:after="0" w:line="360" w:lineRule="auto"/>
        <w:ind w:firstLine="851"/>
        <w:jc w:val="both"/>
        <w:rPr>
          <w:szCs w:val="28"/>
        </w:rPr>
      </w:pPr>
      <w:r w:rsidRPr="00475927">
        <w:rPr>
          <w:szCs w:val="28"/>
        </w:rPr>
        <w:t>Усім хворим, які включені до дослідження, та хворим контрольної групи було проведено обстеження, яке включало:</w:t>
      </w:r>
    </w:p>
    <w:p w:rsidR="00475927" w:rsidRPr="00475927" w:rsidRDefault="00475927" w:rsidP="00475927">
      <w:pPr>
        <w:spacing w:after="0" w:line="360" w:lineRule="auto"/>
        <w:ind w:firstLine="851"/>
        <w:jc w:val="both"/>
        <w:rPr>
          <w:szCs w:val="28"/>
        </w:rPr>
      </w:pPr>
      <w:r w:rsidRPr="00475927">
        <w:rPr>
          <w:szCs w:val="28"/>
        </w:rPr>
        <w:t>- збір скарг та анамнезу з подальшою їх деталізацією з метою визначення показань та можливих протипоказань стосовно майбутньої тромболітичної або антикоагулянтної терапії;</w:t>
      </w:r>
    </w:p>
    <w:p w:rsidR="00475927" w:rsidRPr="00475927" w:rsidRDefault="00475927" w:rsidP="00475927">
      <w:pPr>
        <w:spacing w:after="0" w:line="360" w:lineRule="auto"/>
        <w:ind w:firstLine="851"/>
        <w:jc w:val="both"/>
        <w:rPr>
          <w:szCs w:val="28"/>
        </w:rPr>
      </w:pPr>
      <w:r w:rsidRPr="00475927">
        <w:rPr>
          <w:szCs w:val="28"/>
        </w:rPr>
        <w:t xml:space="preserve">- клінічний огляд та фізикальне обстеження (оцінка свідомості, дихання, кровообігу та огляд відповідно до вимог оформлення історії хвороби (форма 003/о), візуальна оцінка кольору шкірних покривів та слизових оболонок, </w:t>
      </w:r>
    </w:p>
    <w:p w:rsidR="00475927" w:rsidRPr="00475927" w:rsidRDefault="00475927" w:rsidP="00475927">
      <w:pPr>
        <w:spacing w:after="0" w:line="360" w:lineRule="auto"/>
        <w:ind w:firstLine="851"/>
        <w:jc w:val="both"/>
        <w:rPr>
          <w:szCs w:val="28"/>
          <w:lang w:val="ru-RU"/>
        </w:rPr>
      </w:pPr>
      <w:r w:rsidRPr="00475927">
        <w:rPr>
          <w:szCs w:val="28"/>
          <w:lang w:val="ru-RU"/>
        </w:rPr>
        <w:t>- наявність набухання шийних вен та набрякового синдрому, антропометричні дані;</w:t>
      </w:r>
    </w:p>
    <w:p w:rsidR="00475927" w:rsidRPr="00475927" w:rsidRDefault="00475927" w:rsidP="00475927">
      <w:pPr>
        <w:spacing w:after="0" w:line="360" w:lineRule="auto"/>
        <w:ind w:firstLine="851"/>
        <w:jc w:val="both"/>
        <w:rPr>
          <w:szCs w:val="28"/>
          <w:lang w:val="ru-RU"/>
        </w:rPr>
      </w:pPr>
      <w:r w:rsidRPr="00475927">
        <w:rPr>
          <w:szCs w:val="28"/>
          <w:lang w:val="ru-RU"/>
        </w:rPr>
        <w:t xml:space="preserve">- оцінка стану серцево-судинної та дихальної систем пацієнта (пульс, його характеристика, рівень АТ, частота дихальних рухів, його характеристика, </w:t>
      </w:r>
      <w:r w:rsidRPr="00475927">
        <w:rPr>
          <w:szCs w:val="28"/>
          <w:lang w:val="ru-RU"/>
        </w:rPr>
        <w:lastRenderedPageBreak/>
        <w:t>пальпація, перкусія, аускультація серця та легень, обстеження черевної порожнини та оцінка неврологічного статусу);</w:t>
      </w:r>
    </w:p>
    <w:p w:rsidR="00475927" w:rsidRPr="00475927" w:rsidRDefault="00475927" w:rsidP="00475927">
      <w:pPr>
        <w:spacing w:after="0" w:line="360" w:lineRule="auto"/>
        <w:ind w:firstLine="851"/>
        <w:jc w:val="both"/>
        <w:rPr>
          <w:szCs w:val="28"/>
          <w:lang w:val="ru-RU"/>
        </w:rPr>
      </w:pPr>
      <w:r w:rsidRPr="00475927">
        <w:rPr>
          <w:szCs w:val="28"/>
          <w:lang w:val="ru-RU"/>
        </w:rPr>
        <w:t>- реєстрація ЕКГ у 12 відведеннях;</w:t>
      </w:r>
    </w:p>
    <w:p w:rsidR="00475927" w:rsidRPr="00475927" w:rsidRDefault="00475927" w:rsidP="00475927">
      <w:pPr>
        <w:spacing w:after="0" w:line="360" w:lineRule="auto"/>
        <w:ind w:firstLine="851"/>
        <w:jc w:val="both"/>
        <w:rPr>
          <w:szCs w:val="28"/>
          <w:lang w:val="ru-RU"/>
        </w:rPr>
      </w:pPr>
      <w:r w:rsidRPr="00475927">
        <w:rPr>
          <w:szCs w:val="28"/>
          <w:lang w:val="ru-RU"/>
        </w:rPr>
        <w:t xml:space="preserve">- моніторинг ЕКГ, артеріального тиску та пульсоксиметрії; </w:t>
      </w:r>
    </w:p>
    <w:p w:rsidR="00475927" w:rsidRPr="00475927" w:rsidRDefault="00475927" w:rsidP="00475927">
      <w:pPr>
        <w:spacing w:after="0" w:line="360" w:lineRule="auto"/>
        <w:ind w:firstLine="851"/>
        <w:jc w:val="both"/>
        <w:rPr>
          <w:szCs w:val="28"/>
          <w:lang w:val="ru-RU"/>
        </w:rPr>
      </w:pPr>
      <w:r w:rsidRPr="00475927">
        <w:rPr>
          <w:szCs w:val="28"/>
          <w:lang w:val="ru-RU"/>
        </w:rPr>
        <w:t xml:space="preserve">- лабораторне визначення </w:t>
      </w:r>
      <w:r w:rsidRPr="00475927">
        <w:rPr>
          <w:szCs w:val="28"/>
        </w:rPr>
        <w:t xml:space="preserve">тропоніну І - </w:t>
      </w:r>
      <w:r w:rsidRPr="00475927">
        <w:rPr>
          <w:szCs w:val="28"/>
          <w:lang w:val="ru-RU"/>
        </w:rPr>
        <w:t>маркер</w:t>
      </w:r>
      <w:r w:rsidRPr="00475927">
        <w:rPr>
          <w:szCs w:val="28"/>
        </w:rPr>
        <w:t>у</w:t>
      </w:r>
      <w:r w:rsidRPr="00475927">
        <w:rPr>
          <w:szCs w:val="28"/>
          <w:lang w:val="ru-RU"/>
        </w:rPr>
        <w:t xml:space="preserve"> ушкодження міокарда;</w:t>
      </w:r>
    </w:p>
    <w:p w:rsidR="00475927" w:rsidRPr="00475927" w:rsidRDefault="00475927" w:rsidP="00475927">
      <w:pPr>
        <w:spacing w:after="0" w:line="360" w:lineRule="auto"/>
        <w:ind w:firstLine="851"/>
        <w:jc w:val="both"/>
        <w:rPr>
          <w:szCs w:val="28"/>
          <w:lang w:val="ru-RU"/>
        </w:rPr>
      </w:pPr>
      <w:r w:rsidRPr="00475927">
        <w:rPr>
          <w:szCs w:val="28"/>
          <w:lang w:val="ru-RU"/>
        </w:rPr>
        <w:t>- біохімічний аналіз задля визначення рівня АлТ, АсТ, білірубіну, натрію,  калію;</w:t>
      </w:r>
    </w:p>
    <w:p w:rsidR="00475927" w:rsidRPr="00475927" w:rsidRDefault="00475927" w:rsidP="00475927">
      <w:pPr>
        <w:spacing w:after="0" w:line="360" w:lineRule="auto"/>
        <w:ind w:firstLine="851"/>
        <w:jc w:val="both"/>
        <w:rPr>
          <w:szCs w:val="28"/>
          <w:lang w:val="ru-RU"/>
        </w:rPr>
      </w:pPr>
      <w:r w:rsidRPr="00475927">
        <w:rPr>
          <w:szCs w:val="28"/>
          <w:lang w:val="ru-RU"/>
        </w:rPr>
        <w:t>- загальний аналіз крові;</w:t>
      </w:r>
    </w:p>
    <w:p w:rsidR="00475927" w:rsidRPr="00475927" w:rsidRDefault="00475927" w:rsidP="00475927">
      <w:pPr>
        <w:spacing w:after="0" w:line="360" w:lineRule="auto"/>
        <w:ind w:firstLine="851"/>
        <w:jc w:val="both"/>
        <w:rPr>
          <w:szCs w:val="28"/>
          <w:lang w:val="ru-RU"/>
        </w:rPr>
      </w:pPr>
      <w:r w:rsidRPr="00475927">
        <w:rPr>
          <w:szCs w:val="28"/>
          <w:lang w:val="ru-RU"/>
        </w:rPr>
        <w:t>- загальний аналіз сечі;</w:t>
      </w:r>
    </w:p>
    <w:p w:rsidR="00475927" w:rsidRPr="00475927" w:rsidRDefault="00475927" w:rsidP="00475927">
      <w:pPr>
        <w:spacing w:after="0" w:line="360" w:lineRule="auto"/>
        <w:ind w:firstLine="851"/>
        <w:jc w:val="both"/>
        <w:rPr>
          <w:szCs w:val="28"/>
          <w:lang w:val="ru-RU"/>
        </w:rPr>
      </w:pPr>
      <w:r w:rsidRPr="00475927">
        <w:rPr>
          <w:szCs w:val="28"/>
          <w:lang w:val="ru-RU"/>
        </w:rPr>
        <w:t>- аналіз крові на вміст глюкози;</w:t>
      </w:r>
    </w:p>
    <w:p w:rsidR="00475927" w:rsidRPr="00475927" w:rsidRDefault="00475927" w:rsidP="00475927">
      <w:pPr>
        <w:spacing w:after="0" w:line="360" w:lineRule="auto"/>
        <w:ind w:firstLine="851"/>
        <w:jc w:val="both"/>
        <w:rPr>
          <w:szCs w:val="28"/>
          <w:lang w:val="ru-RU"/>
        </w:rPr>
      </w:pPr>
      <w:r w:rsidRPr="00475927">
        <w:rPr>
          <w:szCs w:val="28"/>
          <w:lang w:val="ru-RU"/>
        </w:rPr>
        <w:t>- ліпідний спектр крові (загальний холестерин</w:t>
      </w:r>
      <w:r w:rsidRPr="00475927">
        <w:rPr>
          <w:szCs w:val="28"/>
        </w:rPr>
        <w:t xml:space="preserve"> (ЗХС)</w:t>
      </w:r>
      <w:r w:rsidRPr="00475927">
        <w:rPr>
          <w:szCs w:val="28"/>
          <w:lang w:val="ru-RU"/>
        </w:rPr>
        <w:t>, ЛПВЩ, ЛПНЩ, ЛПДНЩ, - тригліцериди, КА);</w:t>
      </w:r>
    </w:p>
    <w:p w:rsidR="00475927" w:rsidRPr="00475927" w:rsidRDefault="00475927" w:rsidP="00475927">
      <w:pPr>
        <w:spacing w:after="0" w:line="360" w:lineRule="auto"/>
        <w:ind w:firstLine="851"/>
        <w:jc w:val="both"/>
        <w:rPr>
          <w:szCs w:val="28"/>
          <w:lang w:val="ru-RU"/>
        </w:rPr>
      </w:pPr>
      <w:r w:rsidRPr="00475927">
        <w:rPr>
          <w:szCs w:val="28"/>
          <w:lang w:val="ru-RU"/>
        </w:rPr>
        <w:t>- ехокардіографія;</w:t>
      </w:r>
    </w:p>
    <w:p w:rsidR="00475927" w:rsidRPr="00475927" w:rsidRDefault="00475927" w:rsidP="00475927">
      <w:pPr>
        <w:spacing w:after="0" w:line="360" w:lineRule="auto"/>
        <w:ind w:firstLine="851"/>
        <w:jc w:val="both"/>
        <w:rPr>
          <w:szCs w:val="28"/>
        </w:rPr>
      </w:pPr>
      <w:r w:rsidRPr="00475927">
        <w:rPr>
          <w:szCs w:val="28"/>
          <w:lang w:val="ru-RU"/>
        </w:rPr>
        <w:t>- рентгенографія органів грудної порожнини за наявності показань</w:t>
      </w:r>
      <w:r w:rsidRPr="00475927">
        <w:rPr>
          <w:szCs w:val="28"/>
        </w:rPr>
        <w:t>;</w:t>
      </w:r>
    </w:p>
    <w:p w:rsidR="00475927" w:rsidRPr="00475927" w:rsidRDefault="00475927" w:rsidP="00475927">
      <w:pPr>
        <w:spacing w:after="0" w:line="360" w:lineRule="auto"/>
        <w:ind w:firstLine="851"/>
        <w:jc w:val="both"/>
        <w:rPr>
          <w:szCs w:val="28"/>
        </w:rPr>
      </w:pPr>
      <w:r w:rsidRPr="00475927">
        <w:rPr>
          <w:szCs w:val="28"/>
        </w:rPr>
        <w:t>- коронаровентрикулографія.</w:t>
      </w:r>
    </w:p>
    <w:p w:rsidR="00475927" w:rsidRPr="00475927" w:rsidRDefault="00475927" w:rsidP="00475927">
      <w:pPr>
        <w:spacing w:after="0" w:line="360" w:lineRule="auto"/>
        <w:ind w:firstLine="851"/>
        <w:jc w:val="both"/>
        <w:rPr>
          <w:szCs w:val="28"/>
          <w:lang w:val="ru-RU"/>
        </w:rPr>
      </w:pPr>
      <w:r w:rsidRPr="00475927">
        <w:rPr>
          <w:szCs w:val="28"/>
        </w:rPr>
        <w:t>Для дослідження даних параметрів забір крові проводився вранці натщесерце із ліктьової вени в поліетиленові пробірки (епендорфи). Для здобуття сироватки пробірки з кров'ю інкубували 30 хв. при температурі +37 ºС. Відшаровували від стінки пастерівською піпеткою, згусток, що утворювався, інкубували при температурі +4 ºС протягом 1 години для ретракції згустку. Переносили сироватку в скляні пробірки, центрифугували протягом 15 хв. при 1500 обертах у хвилину, відокремлювали супернатант й розливали в пробірки типу «Епендорф». Зберігали зразки при температурі – 20 ºС не більш 3 місяців до проведення дослідження</w:t>
      </w:r>
      <w:r w:rsidRPr="00475927">
        <w:rPr>
          <w:szCs w:val="28"/>
          <w:lang w:val="ru-RU"/>
        </w:rPr>
        <w:t xml:space="preserve">. </w:t>
      </w:r>
    </w:p>
    <w:p w:rsidR="00475927" w:rsidRPr="00475927" w:rsidRDefault="00475927" w:rsidP="00475927">
      <w:pPr>
        <w:spacing w:after="0" w:line="360" w:lineRule="auto"/>
        <w:ind w:firstLine="851"/>
        <w:jc w:val="both"/>
        <w:rPr>
          <w:szCs w:val="28"/>
        </w:rPr>
      </w:pPr>
      <w:r w:rsidRPr="00475927">
        <w:rPr>
          <w:szCs w:val="28"/>
        </w:rPr>
        <w:t>Вміст вітронектину та галектину-3 визначали імуноферментним методом на імуноферментному аналізаторі «Labline–90» (Австрія) з використанням комерційних тест–систем згідно прикладених до них інструкцій. Дослідження проводились у біохімічному відділі центральної науково-дослідної лабораторії Харківського національного медичного університету МОЗ України.</w:t>
      </w:r>
    </w:p>
    <w:p w:rsidR="00475927" w:rsidRPr="00475927" w:rsidRDefault="00475927" w:rsidP="00475927">
      <w:pPr>
        <w:spacing w:after="0" w:line="360" w:lineRule="auto"/>
        <w:ind w:firstLine="851"/>
        <w:jc w:val="both"/>
        <w:rPr>
          <w:szCs w:val="28"/>
        </w:rPr>
      </w:pPr>
      <w:r w:rsidRPr="00475927">
        <w:rPr>
          <w:szCs w:val="28"/>
        </w:rPr>
        <w:lastRenderedPageBreak/>
        <w:t>Для визначення вітронектину використовували метод імуноферментного аналізу за допомогою набору Н</w:t>
      </w:r>
      <w:r w:rsidRPr="00475927">
        <w:rPr>
          <w:szCs w:val="28"/>
          <w:lang w:val="en-US"/>
        </w:rPr>
        <w:t>uman</w:t>
      </w:r>
      <w:r w:rsidRPr="00475927">
        <w:rPr>
          <w:szCs w:val="28"/>
        </w:rPr>
        <w:t xml:space="preserve"> Vitronectin </w:t>
      </w:r>
      <w:r w:rsidRPr="00475927">
        <w:rPr>
          <w:szCs w:val="28"/>
          <w:lang w:val="en-US"/>
        </w:rPr>
        <w:t>ELISA</w:t>
      </w:r>
      <w:r w:rsidRPr="00475927">
        <w:rPr>
          <w:szCs w:val="28"/>
        </w:rPr>
        <w:t xml:space="preserve"> </w:t>
      </w:r>
      <w:r w:rsidRPr="00475927">
        <w:rPr>
          <w:szCs w:val="28"/>
          <w:lang w:val="en-US"/>
        </w:rPr>
        <w:t>Kit</w:t>
      </w:r>
      <w:r w:rsidRPr="00475927">
        <w:rPr>
          <w:szCs w:val="28"/>
        </w:rPr>
        <w:t xml:space="preserve">, </w:t>
      </w:r>
      <w:r w:rsidRPr="00475927">
        <w:rPr>
          <w:szCs w:val="28"/>
          <w:lang w:val="en-US"/>
        </w:rPr>
        <w:t>USA</w:t>
      </w:r>
      <w:r w:rsidRPr="00475927">
        <w:rPr>
          <w:szCs w:val="28"/>
        </w:rPr>
        <w:t>. В цьому наборі використовується принцип ферментативно-пов'язаного аналізу на сорбенти (ELISA) на підставі подвійних («сендвіч») мічених антитіл для визначення вітронектину людини.</w:t>
      </w:r>
    </w:p>
    <w:p w:rsidR="00475927" w:rsidRPr="00475927" w:rsidRDefault="00475927" w:rsidP="00475927">
      <w:pPr>
        <w:spacing w:after="0" w:line="360" w:lineRule="auto"/>
        <w:ind w:firstLine="851"/>
        <w:jc w:val="both"/>
        <w:rPr>
          <w:szCs w:val="28"/>
          <w:lang w:val="ru-RU"/>
        </w:rPr>
      </w:pPr>
      <w:r w:rsidRPr="00475927">
        <w:rPr>
          <w:szCs w:val="28"/>
        </w:rPr>
        <w:t>Перед використанням всі реагенти та зразки доводяться до кімнатної температури (18-25</w:t>
      </w:r>
      <w:r w:rsidRPr="00475927">
        <w:rPr>
          <w:szCs w:val="28"/>
          <w:vertAlign w:val="superscript"/>
        </w:rPr>
        <w:t>о</w:t>
      </w:r>
      <w:r w:rsidRPr="00475927">
        <w:rPr>
          <w:szCs w:val="28"/>
        </w:rPr>
        <w:t>С). На першому етапі в відповідні лунки спеціального планшета, який входить до складу набору, додають по 40 мкл стандартів і досліджених проб. В кожну лунку додають 10 мкл розчину VTN-антитіл та по 50 мкл розчину HRP-стрептовідину. Далі проводиться інкубація протягом 1 хвилини при температурі 37</w:t>
      </w:r>
      <w:r w:rsidRPr="00475927">
        <w:rPr>
          <w:szCs w:val="28"/>
          <w:vertAlign w:val="superscript"/>
        </w:rPr>
        <w:t>о</w:t>
      </w:r>
      <w:r w:rsidRPr="00475927">
        <w:rPr>
          <w:szCs w:val="28"/>
        </w:rPr>
        <w:t>С на шейкері і видалення з розчину не прореагувавших ферментів шляхом багаторазового промивання планшета спеціальним промивним буфером. На наступному етапі в кожну лунку додають по 50 мкл хромогенного субстратного розчину А та 50 мкл субстратного розчину В. Проводиться інкубація протягом 15 хв. у темряві до досягнення температури 37</w:t>
      </w:r>
      <w:r w:rsidRPr="00475927">
        <w:rPr>
          <w:szCs w:val="28"/>
          <w:vertAlign w:val="superscript"/>
        </w:rPr>
        <w:t>о</w:t>
      </w:r>
      <w:r w:rsidRPr="00475927">
        <w:rPr>
          <w:szCs w:val="28"/>
        </w:rPr>
        <w:t>С. Реакцію зупиняють додаванням у кожну лунку по 50 мкл стоп-реагенту і через 10 хв. визначають оптичну щільність кожного випробування з використанням автоматичного фотометру для мікропланшетів на при довжині хвилі 450 нм. Кількість витронектіна в пробі визначають за калібрувальним графіком, який будують паралельно з визначенням в пробах, використовуючи стандарти, що знаходяться в наборі. Уровень витронектина виражений у нанограммах у мілілітрі сироватки (нг / мл).</w:t>
      </w:r>
      <w:r w:rsidRPr="00475927">
        <w:rPr>
          <w:szCs w:val="28"/>
          <w:lang w:val="ru-RU"/>
        </w:rPr>
        <w:t xml:space="preserve"> Комплект реагентів: 1.Стандарт (1600 нг / 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Анти-VTN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 </w:t>
      </w:r>
    </w:p>
    <w:p w:rsidR="00475927" w:rsidRPr="00475927" w:rsidRDefault="00475927" w:rsidP="00475927">
      <w:pPr>
        <w:spacing w:after="0" w:line="360" w:lineRule="auto"/>
        <w:ind w:firstLine="851"/>
        <w:jc w:val="both"/>
        <w:rPr>
          <w:szCs w:val="28"/>
        </w:rPr>
      </w:pPr>
      <w:r w:rsidRPr="00475927">
        <w:rPr>
          <w:szCs w:val="28"/>
          <w:lang w:val="en-US"/>
        </w:rPr>
        <w:t>P</w:t>
      </w:r>
      <w:r w:rsidRPr="00475927">
        <w:rPr>
          <w:szCs w:val="28"/>
        </w:rPr>
        <w:t xml:space="preserve">івень галектину-3 також визначали імуноферментним методом за допомогою набору </w:t>
      </w:r>
      <w:r w:rsidRPr="00475927">
        <w:rPr>
          <w:szCs w:val="28"/>
          <w:lang w:val="en-US"/>
        </w:rPr>
        <w:t>Human</w:t>
      </w:r>
      <w:r w:rsidRPr="00475927">
        <w:rPr>
          <w:szCs w:val="28"/>
        </w:rPr>
        <w:t xml:space="preserve"> </w:t>
      </w:r>
      <w:r w:rsidRPr="00475927">
        <w:rPr>
          <w:szCs w:val="28"/>
          <w:lang w:val="en-US"/>
        </w:rPr>
        <w:t>Galectin</w:t>
      </w:r>
      <w:r w:rsidRPr="00475927">
        <w:rPr>
          <w:szCs w:val="28"/>
        </w:rPr>
        <w:t xml:space="preserve">-3 </w:t>
      </w:r>
      <w:r w:rsidRPr="00475927">
        <w:rPr>
          <w:szCs w:val="28"/>
          <w:lang w:val="en-US"/>
        </w:rPr>
        <w:t>Elisa</w:t>
      </w:r>
      <w:r w:rsidRPr="00475927">
        <w:rPr>
          <w:szCs w:val="28"/>
        </w:rPr>
        <w:t xml:space="preserve"> </w:t>
      </w:r>
      <w:r w:rsidRPr="00475927">
        <w:rPr>
          <w:szCs w:val="28"/>
          <w:lang w:val="en-US"/>
        </w:rPr>
        <w:t>Kit</w:t>
      </w:r>
      <w:r w:rsidRPr="00475927">
        <w:rPr>
          <w:szCs w:val="28"/>
        </w:rPr>
        <w:t>, («</w:t>
      </w:r>
      <w:r w:rsidRPr="00475927">
        <w:rPr>
          <w:szCs w:val="28"/>
          <w:lang w:val="en-US"/>
        </w:rPr>
        <w:t>eBioscience</w:t>
      </w:r>
      <w:r w:rsidRPr="00475927">
        <w:rPr>
          <w:szCs w:val="28"/>
        </w:rPr>
        <w:t xml:space="preserve">», Австрія). В цьому </w:t>
      </w:r>
      <w:r w:rsidRPr="00475927">
        <w:rPr>
          <w:szCs w:val="28"/>
        </w:rPr>
        <w:lastRenderedPageBreak/>
        <w:t>наборі використовується принцип ферментативно-пов'язаного аналізу на сорбенти (ELISA) на підставі подвійних («сендвіч») мічених антитіл для визначення галектину-3 людини.</w:t>
      </w:r>
    </w:p>
    <w:p w:rsidR="00475927" w:rsidRPr="00475927" w:rsidRDefault="00475927" w:rsidP="00475927">
      <w:pPr>
        <w:spacing w:after="0" w:line="360" w:lineRule="auto"/>
        <w:ind w:firstLine="851"/>
        <w:jc w:val="both"/>
        <w:rPr>
          <w:szCs w:val="28"/>
        </w:rPr>
      </w:pPr>
      <w:r w:rsidRPr="00475927">
        <w:rPr>
          <w:szCs w:val="28"/>
        </w:rPr>
        <w:t>На першому етапі в лунки планшета, на яких попередньо сорбовані моноклональні антитіла до галектину-3, додають зразок, що містить галектин-3, і проводять інкубацію. Після цього вносяться анти-</w:t>
      </w:r>
      <w:r w:rsidRPr="00475927">
        <w:rPr>
          <w:szCs w:val="28"/>
          <w:lang w:val="en-US"/>
        </w:rPr>
        <w:t>GAL</w:t>
      </w:r>
      <w:r w:rsidRPr="00475927">
        <w:rPr>
          <w:szCs w:val="28"/>
        </w:rPr>
        <w:t>3 антитіла, мічені біотином пов'язані з стрептавидин-HRP, для формування імунного комплексу. Далі проводиться інкубація і видалення з розчину не прореагувавших ферментів шляхом багаторазового промивання планшета для аналізу. На наступному етапі додаються хромогенні субстрати А і В. Після чого розчин придбає синє забарвлення а потім змінює колір на жовтий під впливом кислоти. Кольоровий градієнт розчину і концентрація галектину - 3  пов'язані позитивною кореляцією. Один тип антитіл до пептиду (біотинільований пептид) імобілізується на внутрішніх поверхнях комірок планшетів для мікротитрування. Інший тип моноклональних антитіл до незалежного епітопу молекули галектину-3 знаходиться у наборі у вигляді кон’югату з біотином. Індикаторним компонентом є кон`югат пероксидази хріну зі стрептавідином, що має високу спорідненість до біотину. Після інкубації й промивань в лунки вносять кон`югат пероксидази із стрептавідином, інкубують, промивають, вносять субстрат і вимірюють активність зв`язаної пероксидази з використанням автоматичного фотометру для мікропланшетів. Комплект реагентів: 1.Стандарт (1600 нг / 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w:t>
      </w:r>
      <w:r w:rsidRPr="00475927">
        <w:rPr>
          <w:szCs w:val="28"/>
          <w:lang w:val="en-US"/>
        </w:rPr>
        <w:t>GAL</w:t>
      </w:r>
      <w:r w:rsidRPr="00475927">
        <w:rPr>
          <w:szCs w:val="28"/>
          <w:lang w:val="ru-RU"/>
        </w:rPr>
        <w:t>3</w:t>
      </w:r>
      <w:r w:rsidRPr="00475927">
        <w:rPr>
          <w:szCs w:val="28"/>
        </w:rPr>
        <w:t xml:space="preserve">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 Обладнання: Фотометр імуноферментний з довжиною хвилі 450 нм. Аналіз проводиться з використанням безпосередньо нерозведених зразків сироватки або плазми крові. Допускається зберігання зразків при температурі 2-8°С, якщо аналіз проводиться на протязі 24 годин після їхнього </w:t>
      </w:r>
      <w:r w:rsidRPr="00475927">
        <w:rPr>
          <w:szCs w:val="28"/>
        </w:rPr>
        <w:lastRenderedPageBreak/>
        <w:t xml:space="preserve">забору. Для більш тривалого зберігання зразки слід заморозити й зберігати при температурі не вище -20°С. Облік результатів проводиться з використанням автоматичного фотометру для мікропланшетів при довжині хвилі 450 нм, дані калібрувальних розчинів вводяться у процесор «оптична щільність/концентрація». Оптичну щільність зразків визначали на рідері «Multiscan EX» («Labsystems», Велікобританія), встановлюючи нульове поглинання на комірці зі стандартом 0. </w:t>
      </w:r>
    </w:p>
    <w:p w:rsidR="00475927" w:rsidRPr="00475927" w:rsidRDefault="00475927" w:rsidP="00475927">
      <w:pPr>
        <w:spacing w:after="0" w:line="360" w:lineRule="auto"/>
        <w:ind w:firstLine="851"/>
        <w:jc w:val="both"/>
        <w:rPr>
          <w:szCs w:val="28"/>
        </w:rPr>
      </w:pPr>
      <w:r w:rsidRPr="00475927">
        <w:rPr>
          <w:szCs w:val="28"/>
          <w:lang w:val="ru-RU"/>
        </w:rPr>
        <w:t>Тропонін I визначали імуноферментним методом за допомогою набору реагентів «Troponin I » (ХЕМА, Москва)</w:t>
      </w:r>
      <w:r w:rsidRPr="00475927">
        <w:rPr>
          <w:szCs w:val="28"/>
        </w:rPr>
        <w:t>.</w:t>
      </w:r>
    </w:p>
    <w:p w:rsidR="00475927" w:rsidRPr="00475927" w:rsidRDefault="00475927" w:rsidP="00475927">
      <w:pPr>
        <w:spacing w:after="0" w:line="360" w:lineRule="auto"/>
        <w:ind w:firstLine="851"/>
        <w:jc w:val="both"/>
        <w:rPr>
          <w:szCs w:val="28"/>
        </w:rPr>
      </w:pPr>
      <w:r w:rsidRPr="00475927">
        <w:rPr>
          <w:szCs w:val="28"/>
        </w:rPr>
        <w:t>Біохімічне дослідження включало визначення рівня загального холестерину (ЗХ) й ліпопротеїдів високої щільності (ЛПВЩ), що проводили пероксидазним методом з використанням набору реактивів «</w:t>
      </w:r>
      <w:r w:rsidRPr="00475927">
        <w:rPr>
          <w:szCs w:val="28"/>
          <w:lang w:val="ru-RU"/>
        </w:rPr>
        <w:t>CholesterolLiquicolor</w:t>
      </w:r>
      <w:r w:rsidRPr="00475927">
        <w:rPr>
          <w:szCs w:val="28"/>
        </w:rPr>
        <w:t>» фірми «</w:t>
      </w:r>
      <w:r w:rsidRPr="00475927">
        <w:rPr>
          <w:szCs w:val="28"/>
          <w:lang w:val="ru-RU"/>
        </w:rPr>
        <w:t>Human</w:t>
      </w:r>
      <w:r w:rsidRPr="00475927">
        <w:rPr>
          <w:szCs w:val="28"/>
        </w:rPr>
        <w:t>» (Німеччина) у сироватці крові, стабілізованою гепарином. Рівень тригліцеридів (ТГ) визначали ферментативним колориметричним методом з використанням набору реактивів «</w:t>
      </w:r>
      <w:r w:rsidRPr="00475927">
        <w:rPr>
          <w:szCs w:val="28"/>
          <w:lang w:val="ru-RU"/>
        </w:rPr>
        <w:t>TriglyceridesGPO</w:t>
      </w:r>
      <w:r w:rsidRPr="00475927">
        <w:rPr>
          <w:szCs w:val="28"/>
        </w:rPr>
        <w:t>» фірми «</w:t>
      </w:r>
      <w:r w:rsidRPr="00475927">
        <w:rPr>
          <w:szCs w:val="28"/>
          <w:lang w:val="ru-RU"/>
        </w:rPr>
        <w:t>Human</w:t>
      </w:r>
      <w:r w:rsidRPr="00475927">
        <w:rPr>
          <w:szCs w:val="28"/>
        </w:rPr>
        <w:t>» (Німеччина). Проводили розрахунок коефіцієнта атерогенності (КА)</w:t>
      </w:r>
      <w:r w:rsidRPr="00475927">
        <w:rPr>
          <w:szCs w:val="28"/>
          <w:lang w:val="ru-RU"/>
        </w:rPr>
        <w:t xml:space="preserve"> </w:t>
      </w:r>
      <w:r w:rsidRPr="00475927">
        <w:rPr>
          <w:szCs w:val="28"/>
        </w:rPr>
        <w:t xml:space="preserve">за формулою Клімова А.М.: </w:t>
      </w:r>
    </w:p>
    <w:p w:rsidR="00475927" w:rsidRPr="00475927" w:rsidRDefault="00475927" w:rsidP="00475927">
      <w:pPr>
        <w:spacing w:after="0" w:line="360" w:lineRule="auto"/>
        <w:ind w:firstLine="851"/>
        <w:jc w:val="both"/>
        <w:rPr>
          <w:szCs w:val="28"/>
        </w:rPr>
      </w:pPr>
      <w:r w:rsidRPr="00475927">
        <w:rPr>
          <w:szCs w:val="28"/>
        </w:rPr>
        <w:t>КА = (ЗХ – ЛПВЩ)/ЛПВЩ, (ммоль/л),</w:t>
      </w:r>
      <w:r w:rsidRPr="00475927">
        <w:rPr>
          <w:szCs w:val="28"/>
        </w:rPr>
        <w:tab/>
      </w:r>
      <w:r w:rsidRPr="00475927">
        <w:rPr>
          <w:szCs w:val="28"/>
        </w:rPr>
        <w:tab/>
      </w:r>
      <w:r w:rsidRPr="00475927">
        <w:rPr>
          <w:szCs w:val="28"/>
        </w:rPr>
        <w:tab/>
      </w:r>
      <w:r w:rsidRPr="00475927">
        <w:rPr>
          <w:szCs w:val="28"/>
        </w:rPr>
        <w:tab/>
        <w:t>(2.2.1.)</w:t>
      </w:r>
    </w:p>
    <w:p w:rsidR="00475927" w:rsidRPr="00475927" w:rsidRDefault="00475927" w:rsidP="00475927">
      <w:pPr>
        <w:spacing w:after="0" w:line="360" w:lineRule="auto"/>
        <w:ind w:firstLine="851"/>
        <w:jc w:val="both"/>
        <w:rPr>
          <w:szCs w:val="28"/>
        </w:rPr>
      </w:pPr>
      <w:r w:rsidRPr="00475927">
        <w:rPr>
          <w:szCs w:val="28"/>
        </w:rPr>
        <w:t xml:space="preserve">де КА – коефіцієнт атерогенності, ЗХ – загальний холестерин (ммоль/л), ЛПВЩ– ліпопротеїди низької щільності (ммоль/л); </w:t>
      </w:r>
    </w:p>
    <w:p w:rsidR="00475927" w:rsidRPr="00475927" w:rsidRDefault="00475927" w:rsidP="00475927">
      <w:pPr>
        <w:spacing w:after="0" w:line="360" w:lineRule="auto"/>
        <w:ind w:firstLine="851"/>
        <w:jc w:val="both"/>
        <w:rPr>
          <w:szCs w:val="28"/>
        </w:rPr>
      </w:pPr>
      <w:r w:rsidRPr="00475927">
        <w:rPr>
          <w:szCs w:val="28"/>
        </w:rPr>
        <w:t>рівень ліпопротеїдів дуже низької щільності (ЛПДНЩ)</w:t>
      </w:r>
      <w:r w:rsidRPr="00475927">
        <w:rPr>
          <w:szCs w:val="28"/>
          <w:lang w:val="ru-RU"/>
        </w:rPr>
        <w:t xml:space="preserve"> </w:t>
      </w:r>
      <w:r w:rsidRPr="00475927">
        <w:rPr>
          <w:szCs w:val="28"/>
        </w:rPr>
        <w:t>за формолою:</w:t>
      </w:r>
    </w:p>
    <w:p w:rsidR="00475927" w:rsidRPr="00475927" w:rsidRDefault="00475927" w:rsidP="00475927">
      <w:pPr>
        <w:spacing w:after="0" w:line="360" w:lineRule="auto"/>
        <w:ind w:firstLine="851"/>
        <w:jc w:val="both"/>
        <w:rPr>
          <w:szCs w:val="28"/>
        </w:rPr>
      </w:pPr>
      <w:r w:rsidRPr="00475927">
        <w:rPr>
          <w:szCs w:val="28"/>
        </w:rPr>
        <w:t xml:space="preserve">ЛПДНЩ = ТГ/2,2, (ммоль/л), </w:t>
      </w:r>
      <w:r w:rsidRPr="00475927">
        <w:rPr>
          <w:szCs w:val="28"/>
        </w:rPr>
        <w:tab/>
      </w:r>
      <w:r w:rsidRPr="00475927">
        <w:rPr>
          <w:szCs w:val="28"/>
        </w:rPr>
        <w:tab/>
      </w:r>
      <w:r w:rsidRPr="00475927">
        <w:rPr>
          <w:szCs w:val="28"/>
        </w:rPr>
        <w:tab/>
      </w:r>
      <w:r w:rsidRPr="00475927">
        <w:rPr>
          <w:szCs w:val="28"/>
        </w:rPr>
        <w:tab/>
      </w:r>
      <w:r w:rsidRPr="00475927">
        <w:rPr>
          <w:szCs w:val="28"/>
        </w:rPr>
        <w:tab/>
      </w:r>
      <w:r w:rsidRPr="00475927">
        <w:rPr>
          <w:szCs w:val="28"/>
        </w:rPr>
        <w:tab/>
        <w:t>(2.2.2.)</w:t>
      </w:r>
    </w:p>
    <w:p w:rsidR="00475927" w:rsidRPr="00475927" w:rsidRDefault="00475927" w:rsidP="00475927">
      <w:pPr>
        <w:spacing w:after="0" w:line="360" w:lineRule="auto"/>
        <w:ind w:firstLine="851"/>
        <w:jc w:val="both"/>
        <w:rPr>
          <w:szCs w:val="28"/>
        </w:rPr>
      </w:pPr>
      <w:r w:rsidRPr="00475927">
        <w:rPr>
          <w:szCs w:val="28"/>
        </w:rPr>
        <w:t>де ЛПДНЩ – ліпопротеїди дуже низької щільності (ммоль/л), ТГ – тригліцериди (ммоль/л);</w:t>
      </w:r>
    </w:p>
    <w:p w:rsidR="00475927" w:rsidRPr="00475927" w:rsidRDefault="00475927" w:rsidP="00475927">
      <w:pPr>
        <w:spacing w:after="0" w:line="360" w:lineRule="auto"/>
        <w:ind w:firstLine="851"/>
        <w:jc w:val="both"/>
        <w:rPr>
          <w:szCs w:val="28"/>
        </w:rPr>
      </w:pPr>
      <w:r w:rsidRPr="00475927">
        <w:rPr>
          <w:szCs w:val="28"/>
        </w:rPr>
        <w:t>рівень ліпопротеїдів низької щільності (ЛПНЩ) визначали за формулою Фрідвальда:</w:t>
      </w:r>
    </w:p>
    <w:p w:rsidR="00475927" w:rsidRPr="00475927" w:rsidRDefault="00475927" w:rsidP="00475927">
      <w:pPr>
        <w:spacing w:after="0" w:line="360" w:lineRule="auto"/>
        <w:ind w:firstLine="851"/>
        <w:jc w:val="both"/>
        <w:rPr>
          <w:szCs w:val="28"/>
        </w:rPr>
      </w:pPr>
      <w:r w:rsidRPr="00475927">
        <w:rPr>
          <w:szCs w:val="28"/>
        </w:rPr>
        <w:t>ЛПНЩ = ЗХ–ТГ/ 2,2–ЛПВЩ, (ммоль/л),</w:t>
      </w:r>
      <w:r w:rsidRPr="00475927">
        <w:rPr>
          <w:szCs w:val="28"/>
        </w:rPr>
        <w:tab/>
      </w:r>
      <w:r w:rsidRPr="00475927">
        <w:rPr>
          <w:szCs w:val="28"/>
        </w:rPr>
        <w:tab/>
      </w:r>
      <w:r w:rsidRPr="00475927">
        <w:rPr>
          <w:szCs w:val="28"/>
        </w:rPr>
        <w:tab/>
      </w:r>
      <w:r w:rsidRPr="00475927">
        <w:rPr>
          <w:szCs w:val="28"/>
        </w:rPr>
        <w:tab/>
        <w:t>(2.2.3.)</w:t>
      </w:r>
    </w:p>
    <w:p w:rsidR="00475927" w:rsidRPr="00475927" w:rsidRDefault="00475927" w:rsidP="00475927">
      <w:pPr>
        <w:spacing w:after="0" w:line="360" w:lineRule="auto"/>
        <w:ind w:firstLine="851"/>
        <w:jc w:val="both"/>
        <w:rPr>
          <w:szCs w:val="28"/>
        </w:rPr>
      </w:pPr>
      <w:r w:rsidRPr="00475927">
        <w:rPr>
          <w:szCs w:val="28"/>
        </w:rPr>
        <w:t>де ЛПНЩ – ліпопротеїди низької щільності (ммоль/л), ЗХ – загальний холестерин (ммоль/л), ТГ – тригліцериди (ммоль/л), ЛПВЩ– ліпопротеїди низької щільності (ммоль/л).</w:t>
      </w:r>
    </w:p>
    <w:p w:rsidR="00475927" w:rsidRPr="00475927" w:rsidRDefault="00475927" w:rsidP="00475927">
      <w:pPr>
        <w:spacing w:after="0" w:line="360" w:lineRule="auto"/>
        <w:ind w:firstLine="851"/>
        <w:jc w:val="both"/>
        <w:rPr>
          <w:szCs w:val="28"/>
        </w:rPr>
      </w:pPr>
      <w:r w:rsidRPr="00475927">
        <w:rPr>
          <w:szCs w:val="28"/>
        </w:rPr>
        <w:lastRenderedPageBreak/>
        <w:t>ЕКГ у стані покою виконували у 12 стандартних відведеннях за допомогою шестиканального електрокардіографа «</w:t>
      </w:r>
      <w:r w:rsidRPr="00475927">
        <w:rPr>
          <w:szCs w:val="28"/>
          <w:lang w:val="ru-RU"/>
        </w:rPr>
        <w:t>Fukuda</w:t>
      </w:r>
      <w:r w:rsidRPr="00475927">
        <w:rPr>
          <w:szCs w:val="28"/>
        </w:rPr>
        <w:t xml:space="preserve">» </w:t>
      </w:r>
      <w:r w:rsidRPr="00475927">
        <w:rPr>
          <w:szCs w:val="28"/>
          <w:lang w:val="ru-RU"/>
        </w:rPr>
        <w:t>FX</w:t>
      </w:r>
      <w:r w:rsidRPr="00475927">
        <w:rPr>
          <w:szCs w:val="28"/>
        </w:rPr>
        <w:t>˗326</w:t>
      </w:r>
      <w:r w:rsidRPr="00475927">
        <w:rPr>
          <w:szCs w:val="28"/>
          <w:lang w:val="ru-RU"/>
        </w:rPr>
        <w:t>U</w:t>
      </w:r>
      <w:r w:rsidRPr="00475927">
        <w:rPr>
          <w:szCs w:val="28"/>
        </w:rPr>
        <w:t xml:space="preserve"> (Японія).</w:t>
      </w:r>
    </w:p>
    <w:p w:rsidR="00475927" w:rsidRPr="00F407BB" w:rsidRDefault="00475927" w:rsidP="00475927">
      <w:pPr>
        <w:spacing w:after="0" w:line="360" w:lineRule="auto"/>
        <w:ind w:firstLine="851"/>
        <w:jc w:val="both"/>
        <w:rPr>
          <w:szCs w:val="28"/>
          <w:lang w:val="ru-RU"/>
        </w:rPr>
      </w:pPr>
      <w:r w:rsidRPr="00475927">
        <w:rPr>
          <w:szCs w:val="28"/>
          <w:lang w:val="ru-RU"/>
        </w:rPr>
        <w:t>Ехокардіографічн</w:t>
      </w:r>
      <w:r w:rsidRPr="00475927">
        <w:rPr>
          <w:szCs w:val="28"/>
        </w:rPr>
        <w:t>е</w:t>
      </w:r>
      <w:r w:rsidRPr="00475927">
        <w:rPr>
          <w:szCs w:val="28"/>
          <w:lang w:val="ru-RU"/>
        </w:rPr>
        <w:t xml:space="preserve"> дослідження проводили за стандартною методикою (Фейгенбаум Х., 1999) на ультразвуковому апараті RADMIR (Ultima PRO 30) (Харків, Україна). У М–режимі визначали наступні параметри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розраховували за методом Simpson (1991), після чого обчислювали фракцію викиду (ФВ) ЛШ (%) за формул</w:t>
      </w:r>
      <w:r w:rsidRPr="00475927">
        <w:rPr>
          <w:szCs w:val="28"/>
        </w:rPr>
        <w:t>ами</w:t>
      </w:r>
      <w:r w:rsidRPr="00475927">
        <w:rPr>
          <w:szCs w:val="28"/>
          <w:lang w:val="ru-RU"/>
        </w:rPr>
        <w:t>:</w:t>
      </w:r>
    </w:p>
    <w:p w:rsidR="00475927" w:rsidRPr="00475927" w:rsidRDefault="00475927" w:rsidP="00475927">
      <w:pPr>
        <w:spacing w:after="0" w:line="360" w:lineRule="auto"/>
        <w:ind w:firstLine="851"/>
        <w:jc w:val="both"/>
        <w:rPr>
          <w:szCs w:val="28"/>
        </w:rPr>
      </w:pPr>
      <w:r w:rsidRPr="00475927">
        <w:rPr>
          <w:szCs w:val="28"/>
          <w:lang w:val="ru-RU"/>
        </w:rPr>
        <w:object w:dxaOrig="289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65pt;height:31.95pt" o:ole="" fillcolor="window">
            <v:imagedata r:id="rId9" o:title=""/>
          </v:shape>
          <o:OLEObject Type="Embed" ProgID="Equation.3" ShapeID="_x0000_i1031" DrawAspect="Content" ObjectID="_1611493431" r:id="rId10"/>
        </w:object>
      </w:r>
      <w:r w:rsidRPr="00475927">
        <w:rPr>
          <w:szCs w:val="28"/>
        </w:rPr>
        <w:t>(</w:t>
      </w:r>
      <w:r w:rsidRPr="00475927">
        <w:rPr>
          <w:szCs w:val="28"/>
          <w:lang w:val="ru-RU"/>
        </w:rPr>
        <w:t>мл</w:t>
      </w:r>
      <w:r w:rsidRPr="00475927">
        <w:rPr>
          <w:szCs w:val="28"/>
        </w:rPr>
        <w:t>)</w:t>
      </w:r>
      <w:r w:rsidRPr="00475927">
        <w:rPr>
          <w:szCs w:val="28"/>
          <w:lang w:val="ru-RU"/>
        </w:rPr>
        <w:t xml:space="preserve">                                                            (</w:t>
      </w:r>
      <w:r w:rsidRPr="00475927">
        <w:rPr>
          <w:szCs w:val="28"/>
        </w:rPr>
        <w:t>2.2.4.</w:t>
      </w:r>
      <w:r w:rsidRPr="00475927">
        <w:rPr>
          <w:szCs w:val="28"/>
          <w:lang w:val="ru-RU"/>
        </w:rPr>
        <w:t>)</w:t>
      </w:r>
    </w:p>
    <w:p w:rsidR="00475927" w:rsidRPr="00475927" w:rsidRDefault="00475927" w:rsidP="00475927">
      <w:pPr>
        <w:spacing w:after="0" w:line="360" w:lineRule="auto"/>
        <w:ind w:firstLine="851"/>
        <w:jc w:val="both"/>
        <w:rPr>
          <w:szCs w:val="28"/>
        </w:rPr>
      </w:pPr>
      <w:r w:rsidRPr="00475927">
        <w:rPr>
          <w:szCs w:val="28"/>
        </w:rPr>
        <w:t>де КДО – кінцево-діастолічний об’єм (мл), КДД – кінцево-діастолічний, діаметр ЛШ серця (см).</w:t>
      </w:r>
    </w:p>
    <w:p w:rsidR="00475927" w:rsidRPr="00475927" w:rsidRDefault="00475927" w:rsidP="00475927">
      <w:pPr>
        <w:spacing w:after="0" w:line="360" w:lineRule="auto"/>
        <w:ind w:firstLine="851"/>
        <w:jc w:val="both"/>
        <w:rPr>
          <w:szCs w:val="28"/>
        </w:rPr>
      </w:pPr>
      <w:r w:rsidRPr="00475927">
        <w:rPr>
          <w:szCs w:val="28"/>
          <w:lang w:val="ru-RU"/>
        </w:rPr>
        <w:object w:dxaOrig="2925" w:dyaOrig="645">
          <v:shape id="_x0000_i1032" type="#_x0000_t75" style="width:147.15pt;height:31.95pt" o:ole="" fillcolor="window">
            <v:imagedata r:id="rId11" o:title=""/>
          </v:shape>
          <o:OLEObject Type="Embed" ProgID="Equation.3" ShapeID="_x0000_i1032" DrawAspect="Content" ObjectID="_1611493432" r:id="rId12"/>
        </w:object>
      </w:r>
      <w:r w:rsidRPr="00475927">
        <w:rPr>
          <w:szCs w:val="28"/>
        </w:rPr>
        <w:t>(мл)                                                               (2.2.5)</w:t>
      </w:r>
    </w:p>
    <w:p w:rsidR="00475927" w:rsidRPr="00475927" w:rsidRDefault="00475927" w:rsidP="00475927">
      <w:pPr>
        <w:spacing w:after="0" w:line="360" w:lineRule="auto"/>
        <w:ind w:firstLine="851"/>
        <w:jc w:val="both"/>
        <w:rPr>
          <w:szCs w:val="28"/>
        </w:rPr>
      </w:pPr>
      <w:r w:rsidRPr="00475927">
        <w:rPr>
          <w:szCs w:val="28"/>
        </w:rPr>
        <w:t>де КСО – кінцево-діастолічний об’єм (мл), а КСД – кінцево-систолічний діаметр (см).</w:t>
      </w:r>
    </w:p>
    <w:p w:rsidR="00475927" w:rsidRPr="00475927" w:rsidRDefault="00475927" w:rsidP="00475927">
      <w:pPr>
        <w:spacing w:after="0" w:line="360" w:lineRule="auto"/>
        <w:ind w:firstLine="851"/>
        <w:jc w:val="both"/>
        <w:rPr>
          <w:szCs w:val="28"/>
        </w:rPr>
      </w:pPr>
      <w:r w:rsidRPr="00475927">
        <w:rPr>
          <w:szCs w:val="28"/>
        </w:rPr>
        <w:t>Ударний об’єм (УО, см</w:t>
      </w:r>
      <w:r w:rsidRPr="00475927">
        <w:rPr>
          <w:szCs w:val="28"/>
          <w:vertAlign w:val="superscript"/>
        </w:rPr>
        <w:t>3</w:t>
      </w:r>
      <w:r w:rsidRPr="00475927">
        <w:rPr>
          <w:szCs w:val="28"/>
        </w:rPr>
        <w:t>) визначався як різниця кінцевого діастолічного (КДО, см3) та кінцевого систолічного об’ємів (КСО, см3) ЛШ (УО= КДО-КСО), а ФВ, як співвідношення УО до КДО (%):</w:t>
      </w:r>
    </w:p>
    <w:p w:rsidR="00475927" w:rsidRPr="00475927" w:rsidRDefault="00475927" w:rsidP="00475927">
      <w:pPr>
        <w:spacing w:after="0" w:line="360" w:lineRule="auto"/>
        <w:ind w:firstLine="851"/>
        <w:jc w:val="both"/>
        <w:rPr>
          <w:szCs w:val="28"/>
        </w:rPr>
      </w:pPr>
      <w:r w:rsidRPr="00475927">
        <w:rPr>
          <w:szCs w:val="28"/>
          <w:lang w:val="en-US"/>
        </w:rPr>
        <w:object w:dxaOrig="1575" w:dyaOrig="645">
          <v:shape id="_x0000_i1033" type="#_x0000_t75" style="width:78.9pt;height:31.95pt" o:ole="" fillcolor="window">
            <v:imagedata r:id="rId13" o:title=""/>
          </v:shape>
          <o:OLEObject Type="Embed" ProgID="Equation.3" ShapeID="_x0000_i1033" DrawAspect="Content" ObjectID="_1611493433" r:id="rId14"/>
        </w:object>
      </w:r>
      <w:r w:rsidRPr="00475927">
        <w:rPr>
          <w:szCs w:val="28"/>
        </w:rPr>
        <w:t xml:space="preserve">                                                                                     (2.2.6.)</w:t>
      </w:r>
    </w:p>
    <w:p w:rsidR="00475927" w:rsidRPr="00F407BB" w:rsidRDefault="00475927" w:rsidP="00475927">
      <w:pPr>
        <w:spacing w:after="0" w:line="360" w:lineRule="auto"/>
        <w:ind w:firstLine="851"/>
        <w:jc w:val="both"/>
        <w:rPr>
          <w:szCs w:val="28"/>
        </w:rPr>
      </w:pPr>
      <w:r w:rsidRPr="00475927">
        <w:rPr>
          <w:szCs w:val="28"/>
        </w:rPr>
        <w:t>де ФВ – фракція викиду (%), УО – ударний об’єм (см</w:t>
      </w:r>
      <w:r w:rsidRPr="00475927">
        <w:rPr>
          <w:szCs w:val="28"/>
          <w:vertAlign w:val="superscript"/>
        </w:rPr>
        <w:t>3</w:t>
      </w:r>
      <w:r w:rsidRPr="00475927">
        <w:rPr>
          <w:szCs w:val="28"/>
        </w:rPr>
        <w:t>), КДО – кінцево-діастолічний об’єм (мл).</w:t>
      </w:r>
    </w:p>
    <w:p w:rsidR="00475927" w:rsidRPr="00475927" w:rsidRDefault="00475927" w:rsidP="00475927">
      <w:pPr>
        <w:spacing w:after="0" w:line="360" w:lineRule="auto"/>
        <w:ind w:firstLine="851"/>
        <w:jc w:val="both"/>
        <w:rPr>
          <w:szCs w:val="28"/>
          <w:lang w:val="ru-RU"/>
        </w:rPr>
      </w:pPr>
      <w:r w:rsidRPr="00475927">
        <w:rPr>
          <w:szCs w:val="28"/>
          <w:lang w:val="ru-RU"/>
        </w:rPr>
        <w:t>Також визначали розмір лівого передсердя (ЛП) (см) та аорти (см).</w:t>
      </w:r>
    </w:p>
    <w:p w:rsidR="00475927" w:rsidRPr="00475927" w:rsidRDefault="00475927" w:rsidP="00475927">
      <w:pPr>
        <w:spacing w:after="0" w:line="360" w:lineRule="auto"/>
        <w:ind w:firstLine="851"/>
        <w:jc w:val="both"/>
        <w:rPr>
          <w:szCs w:val="28"/>
        </w:rPr>
      </w:pPr>
      <w:r w:rsidRPr="00475927">
        <w:rPr>
          <w:szCs w:val="28"/>
        </w:rPr>
        <w:t>У дослідженні визначали антропометричні показники ОТ</w:t>
      </w:r>
      <w:r w:rsidRPr="00475927">
        <w:rPr>
          <w:szCs w:val="28"/>
          <w:lang w:val="ru-RU"/>
        </w:rPr>
        <w:t>,</w:t>
      </w:r>
      <w:r w:rsidRPr="00475927">
        <w:rPr>
          <w:szCs w:val="28"/>
        </w:rPr>
        <w:t xml:space="preserve"> ОС, ІМТ (індекс Кетле) – маса, кг/зріст, м</w:t>
      </w:r>
      <w:r w:rsidRPr="00475927">
        <w:rPr>
          <w:szCs w:val="28"/>
          <w:vertAlign w:val="superscript"/>
        </w:rPr>
        <w:t>2</w:t>
      </w:r>
      <w:r w:rsidRPr="00475927">
        <w:rPr>
          <w:szCs w:val="28"/>
        </w:rPr>
        <w:t xml:space="preserve">. Для визначення наявності ожиріння й типу розподілу жирової тканини проводились наступні антропометричні вимірювання: рост, вага, ОТ, ОС. ОТ вимірювали як найменьший об’єм нижче грудної клітини над </w:t>
      </w:r>
      <w:r w:rsidRPr="00475927">
        <w:rPr>
          <w:szCs w:val="28"/>
        </w:rPr>
        <w:lastRenderedPageBreak/>
        <w:t>пупком; ОС – як найбільший об’єм на рівні стегна; ОШ – по лінії, яка проходить через середину шийного відділу хребта й ларингеального виступу. Значення ОТ &gt; 102 см для чоловіків, &gt; 89 см для жінок (за АТР III – 2001) й значення індексу ОТ/ОС &gt; 0,90 для чоловіків,&gt; 0,85 для жінок є ознакою абдомінального (АО); значення ОШ &gt; 36 см для жінок і &gt;39 см у чоловіків знаходяться у группі різику по ожирінню і ССЗ.</w:t>
      </w:r>
    </w:p>
    <w:p w:rsidR="00475927" w:rsidRPr="00475927" w:rsidRDefault="00475927" w:rsidP="00475927">
      <w:pPr>
        <w:spacing w:after="0" w:line="360" w:lineRule="auto"/>
        <w:ind w:firstLine="851"/>
        <w:jc w:val="both"/>
        <w:rPr>
          <w:i/>
          <w:szCs w:val="28"/>
        </w:rPr>
      </w:pPr>
      <w:r w:rsidRPr="00475927">
        <w:rPr>
          <w:szCs w:val="28"/>
        </w:rPr>
        <w:t xml:space="preserve">Індекс маси тіла розраховували за формулою: </w:t>
      </w:r>
      <w:r w:rsidRPr="00475927">
        <w:rPr>
          <w:i/>
          <w:szCs w:val="28"/>
        </w:rPr>
        <w:t>ІМТ = вага(кг)/ ріст (м</w:t>
      </w:r>
      <w:r w:rsidRPr="00475927">
        <w:rPr>
          <w:i/>
          <w:szCs w:val="28"/>
          <w:vertAlign w:val="superscript"/>
        </w:rPr>
        <w:t>2</w:t>
      </w:r>
      <w:r w:rsidRPr="00475927">
        <w:rPr>
          <w:i/>
          <w:szCs w:val="28"/>
        </w:rPr>
        <w:t>).</w:t>
      </w:r>
    </w:p>
    <w:p w:rsidR="00475927" w:rsidRPr="00475927" w:rsidRDefault="00475927" w:rsidP="00475927">
      <w:pPr>
        <w:spacing w:after="0" w:line="360" w:lineRule="auto"/>
        <w:ind w:firstLine="851"/>
        <w:jc w:val="both"/>
        <w:rPr>
          <w:szCs w:val="28"/>
        </w:rPr>
      </w:pPr>
      <w:r w:rsidRPr="00475927">
        <w:rPr>
          <w:szCs w:val="28"/>
        </w:rPr>
        <w:t>Критерієм наявності ожиріння вважали значення ІМТ, що перевищує 30 кг/м</w:t>
      </w:r>
      <w:r w:rsidRPr="00475927">
        <w:rPr>
          <w:szCs w:val="28"/>
          <w:vertAlign w:val="superscript"/>
        </w:rPr>
        <w:t>2</w:t>
      </w:r>
      <w:r w:rsidRPr="00475927">
        <w:rPr>
          <w:szCs w:val="28"/>
        </w:rPr>
        <w:t xml:space="preserve"> (табл. 2.</w:t>
      </w:r>
      <w:r w:rsidR="00587E8D">
        <w:rPr>
          <w:szCs w:val="28"/>
        </w:rPr>
        <w:t>3</w:t>
      </w:r>
      <w:r w:rsidRPr="00475927">
        <w:rPr>
          <w:szCs w:val="28"/>
        </w:rPr>
        <w:t xml:space="preserve">).   </w:t>
      </w:r>
    </w:p>
    <w:p w:rsidR="00475927" w:rsidRPr="00475927" w:rsidRDefault="00475927" w:rsidP="00864DAF">
      <w:pPr>
        <w:spacing w:after="0" w:line="360" w:lineRule="auto"/>
        <w:ind w:left="7200" w:firstLine="720"/>
        <w:jc w:val="both"/>
        <w:rPr>
          <w:i/>
          <w:szCs w:val="28"/>
        </w:rPr>
      </w:pPr>
      <w:r w:rsidRPr="00475927">
        <w:rPr>
          <w:i/>
          <w:szCs w:val="28"/>
        </w:rPr>
        <w:t>Таблиця 2.</w:t>
      </w:r>
      <w:r w:rsidR="00587E8D">
        <w:rPr>
          <w:i/>
          <w:szCs w:val="28"/>
        </w:rPr>
        <w:t>3</w:t>
      </w:r>
    </w:p>
    <w:p w:rsidR="00475927" w:rsidRPr="007571E1" w:rsidRDefault="00475927" w:rsidP="00587E8D">
      <w:pPr>
        <w:spacing w:after="0" w:line="360" w:lineRule="auto"/>
        <w:ind w:left="1440"/>
        <w:jc w:val="both"/>
        <w:rPr>
          <w:i/>
          <w:szCs w:val="28"/>
          <w:lang w:val="ru-RU"/>
        </w:rPr>
      </w:pPr>
      <w:r w:rsidRPr="007571E1">
        <w:rPr>
          <w:i/>
          <w:szCs w:val="28"/>
          <w:lang w:val="ru-RU"/>
        </w:rPr>
        <w:t xml:space="preserve">Класифікація ожиріння за </w:t>
      </w:r>
      <w:r w:rsidRPr="007571E1">
        <w:rPr>
          <w:i/>
          <w:szCs w:val="28"/>
        </w:rPr>
        <w:t>індексом маси тіла</w:t>
      </w:r>
      <w:r w:rsidRPr="007571E1">
        <w:rPr>
          <w:i/>
          <w:szCs w:val="28"/>
          <w:lang w:val="ru-RU"/>
        </w:rPr>
        <w:t xml:space="preserve"> (ВООЗ 1997 року)</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4946"/>
      </w:tblGrid>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Тип маси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vertAlign w:val="superscript"/>
                <w:lang w:val="ru-RU"/>
              </w:rPr>
            </w:pPr>
            <w:r w:rsidRPr="00475927">
              <w:rPr>
                <w:szCs w:val="28"/>
                <w:lang w:val="ru-RU"/>
              </w:rPr>
              <w:t>ІМТ кг/ м</w:t>
            </w:r>
            <w:r w:rsidRPr="00475927">
              <w:rPr>
                <w:szCs w:val="28"/>
                <w:vertAlign w:val="superscript"/>
                <w:lang w:val="ru-RU"/>
              </w:rPr>
              <w:t>2</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Дефіцит маси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менше 18</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Нормальна маса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18,5˗24,9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Підвищена маса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25˗29,9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rPr>
            </w:pPr>
            <w:r w:rsidRPr="00475927">
              <w:rPr>
                <w:szCs w:val="28"/>
                <w:lang w:val="ru-RU"/>
              </w:rPr>
              <w:t>Ожиріння 1 ступен</w:t>
            </w:r>
            <w:r w:rsidRPr="00475927">
              <w:rPr>
                <w:szCs w:val="28"/>
              </w:rPr>
              <w:t>я</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30˗34,9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rPr>
            </w:pPr>
            <w:r w:rsidRPr="00475927">
              <w:rPr>
                <w:szCs w:val="28"/>
                <w:lang w:val="ru-RU"/>
              </w:rPr>
              <w:t>Ожиріння 2 ступен</w:t>
            </w:r>
            <w:r w:rsidRPr="00475927">
              <w:rPr>
                <w:szCs w:val="28"/>
              </w:rPr>
              <w:t>я</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35˗39,9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rPr>
            </w:pPr>
            <w:r w:rsidRPr="00475927">
              <w:rPr>
                <w:szCs w:val="28"/>
                <w:lang w:val="ru-RU"/>
              </w:rPr>
              <w:t>Ожиріння 3 ступен</w:t>
            </w:r>
            <w:r w:rsidRPr="00475927">
              <w:rPr>
                <w:szCs w:val="28"/>
              </w:rPr>
              <w:t>я</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Більше 40</w:t>
            </w:r>
          </w:p>
        </w:tc>
      </w:tr>
    </w:tbl>
    <w:p w:rsidR="00475927" w:rsidRPr="00475927" w:rsidRDefault="00475927" w:rsidP="00475927">
      <w:pPr>
        <w:spacing w:after="0" w:line="360" w:lineRule="auto"/>
        <w:ind w:firstLine="851"/>
        <w:jc w:val="both"/>
        <w:rPr>
          <w:szCs w:val="28"/>
        </w:rPr>
      </w:pPr>
      <w:r w:rsidRPr="00475927">
        <w:rPr>
          <w:szCs w:val="28"/>
        </w:rPr>
        <w:t>Для визначення наявності абдомінального АО вимірювали ОТ, ОС й розраховували індекс ОТ/ОС.</w:t>
      </w:r>
    </w:p>
    <w:p w:rsidR="00475927" w:rsidRPr="00475927" w:rsidRDefault="00475927" w:rsidP="00475927">
      <w:pPr>
        <w:spacing w:after="0" w:line="360" w:lineRule="auto"/>
        <w:ind w:firstLine="851"/>
        <w:jc w:val="both"/>
        <w:rPr>
          <w:szCs w:val="28"/>
        </w:rPr>
      </w:pPr>
      <w:r w:rsidRPr="00475927">
        <w:rPr>
          <w:szCs w:val="28"/>
        </w:rPr>
        <w:t xml:space="preserve">Згідно з Наказом Міністерства охорони здоров’я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475927">
        <w:rPr>
          <w:szCs w:val="28"/>
          <w:lang w:val="ru-RU"/>
        </w:rPr>
        <w:t>ST</w:t>
      </w:r>
      <w:r w:rsidRPr="00475927">
        <w:rPr>
          <w:szCs w:val="28"/>
        </w:rPr>
        <w:t xml:space="preserve">», хворі на гострий інфаркт міокарда отримували відповідну терапію. Усі хворі залучені до дослідження отримували тромболітичну терапію (стрептокіназа 1,5 млн. ОД або тенектеплазе 10000 ОД) або КВГ з наступним стентування інфаркт-залежної артерії. Комплексне лікування включало стандартні засоби тривалої фармакотерапії ГІМ: за умов наявності больовому синдрому та клінічних проявів гострої серцевої недостатності (нітрогліцерин 1 % - 1,0 мл внутрішньовенно); наркотичні анальгетики (морфін 1 мл внутрішньовенно); антиагреганти - ацетилсаліцилова кислота (навантажувальна </w:t>
      </w:r>
      <w:r w:rsidRPr="00475927">
        <w:rPr>
          <w:szCs w:val="28"/>
        </w:rPr>
        <w:lastRenderedPageBreak/>
        <w:t>доза 250 мг, потім 125 мг перорально) і інгібітор Р2Y</w:t>
      </w:r>
      <w:r w:rsidRPr="00475927">
        <w:rPr>
          <w:szCs w:val="28"/>
          <w:vertAlign w:val="subscript"/>
        </w:rPr>
        <w:t>I2</w:t>
      </w:r>
      <w:r w:rsidRPr="00475927">
        <w:rPr>
          <w:szCs w:val="28"/>
        </w:rPr>
        <w:t xml:space="preserve"> рецепторів - клопідогрель (навантажувальна доза 300 мг, потім 75 перорально) або тикагрелор (навантажувальна доза 180 мг, потім 90 мг перорально); еноксапарин (0,5 мг/кг 2 рази на день підшкірно); бета-блокатори (метопролол до 25 мг перорально); статини (аторвастатин 80 мг перорально); діуретики (фуросемід 60-8- мг внутрішньовенно крапельно); блокатори протонної помпи (пантопразол 40 мг перорально), при фракції викиду ≤ 40% та при відсутності ниркової недостатності чи гіперкаліємії – конкурентний антагоніст альдостерону (спіронолактон 25 мг перорально). </w:t>
      </w:r>
    </w:p>
    <w:p w:rsidR="00475927" w:rsidRPr="00475927" w:rsidRDefault="00475927" w:rsidP="00475927">
      <w:pPr>
        <w:spacing w:after="0" w:line="360" w:lineRule="auto"/>
        <w:ind w:firstLine="851"/>
        <w:jc w:val="both"/>
        <w:rPr>
          <w:szCs w:val="28"/>
        </w:rPr>
      </w:pPr>
      <w:r w:rsidRPr="00475927">
        <w:rPr>
          <w:szCs w:val="28"/>
        </w:rPr>
        <w:tab/>
        <w:t>Для порівняльної оцінки терапевтичного ефекту були сформовані 2 групи пацієнтів: 1-а група хворих на ГІМ з ожирінням, яким до складу стандартної терапії було включено клопідогрель у дозі 75 мг на добу (</w:t>
      </w:r>
      <w:r w:rsidRPr="00475927">
        <w:rPr>
          <w:szCs w:val="28"/>
          <w:lang w:val="en-US"/>
        </w:rPr>
        <w:t>n</w:t>
      </w:r>
      <w:r w:rsidRPr="00475927">
        <w:rPr>
          <w:szCs w:val="28"/>
        </w:rPr>
        <w:t>=37); 2-а група хворих на ГІМ з супутнім ожирінням, які ускладі стандартної терапії отримували тикагрелор у дозі 90 мг двічі на добу(</w:t>
      </w:r>
      <w:r w:rsidRPr="00475927">
        <w:rPr>
          <w:szCs w:val="28"/>
          <w:lang w:val="en-US"/>
        </w:rPr>
        <w:t>n</w:t>
      </w:r>
      <w:r w:rsidRPr="00475927">
        <w:rPr>
          <w:szCs w:val="28"/>
        </w:rPr>
        <w:t>=38).</w:t>
      </w:r>
    </w:p>
    <w:p w:rsidR="00475927" w:rsidRPr="00475927" w:rsidRDefault="00475927" w:rsidP="00475927">
      <w:pPr>
        <w:spacing w:after="0" w:line="360" w:lineRule="auto"/>
        <w:ind w:firstLine="851"/>
        <w:jc w:val="both"/>
        <w:rPr>
          <w:szCs w:val="28"/>
          <w:lang w:val="ru-RU"/>
        </w:rPr>
      </w:pPr>
      <w:r w:rsidRPr="00475927">
        <w:rPr>
          <w:szCs w:val="28"/>
          <w:lang w:val="ru-RU"/>
        </w:rPr>
        <w:t>Математична комп’ютерна обробка результатів проведена за допомогою програмного пакету «Statisti</w:t>
      </w:r>
      <w:r w:rsidRPr="00475927">
        <w:rPr>
          <w:szCs w:val="28"/>
          <w:lang w:val="en-US"/>
        </w:rPr>
        <w:t>c</w:t>
      </w:r>
      <w:r w:rsidRPr="00475927">
        <w:rPr>
          <w:szCs w:val="28"/>
          <w:lang w:val="ru-RU"/>
        </w:rPr>
        <w:t xml:space="preserve">a 6,0» (StaSoft Inc, США). Розраховувалися: середнє значення (М), дисперсія, стандартне відхилення, медіана (m), вірогідність й рівень значущості (p). Для порівняльного аналізу вибірок з нормальним розподілом, достовірність різниць підтверджувались використанням критерію </w:t>
      </w:r>
      <w:r w:rsidRPr="00475927">
        <w:rPr>
          <w:szCs w:val="28"/>
        </w:rPr>
        <w:t>Фішера</w:t>
      </w:r>
      <w:r w:rsidRPr="00475927">
        <w:rPr>
          <w:szCs w:val="28"/>
          <w:lang w:val="ru-RU"/>
        </w:rPr>
        <w:t xml:space="preserve"> (</w:t>
      </w:r>
      <w:r w:rsidRPr="00475927">
        <w:rPr>
          <w:szCs w:val="28"/>
          <w:lang w:val="en-US"/>
        </w:rPr>
        <w:t>F</w:t>
      </w:r>
      <w:r w:rsidRPr="00475927">
        <w:rPr>
          <w:szCs w:val="28"/>
          <w:lang w:val="ru-RU"/>
        </w:rPr>
        <w:t xml:space="preserve">). Для оцінки ступеня взаємозв’язку між вибірками використовували коефіцієнт кореляції </w:t>
      </w:r>
      <w:r w:rsidRPr="00475927">
        <w:rPr>
          <w:szCs w:val="28"/>
        </w:rPr>
        <w:t xml:space="preserve"> Спірмена</w:t>
      </w:r>
      <w:r w:rsidRPr="00475927">
        <w:rPr>
          <w:szCs w:val="28"/>
          <w:lang w:val="ru-RU"/>
        </w:rPr>
        <w:t xml:space="preserve"> (r).</w:t>
      </w:r>
    </w:p>
    <w:p w:rsidR="00475927" w:rsidRPr="00475927" w:rsidRDefault="00475927" w:rsidP="00475927">
      <w:pPr>
        <w:spacing w:after="0" w:line="360" w:lineRule="auto"/>
        <w:ind w:firstLine="851"/>
        <w:jc w:val="both"/>
        <w:rPr>
          <w:szCs w:val="28"/>
          <w:lang w:val="ru-RU"/>
        </w:rPr>
      </w:pPr>
      <w:r w:rsidRPr="00475927">
        <w:rPr>
          <w:szCs w:val="28"/>
          <w:lang w:val="ru-RU"/>
        </w:rPr>
        <w:t>Таким чином, дисертаційна робота базується на дослідженні 1</w:t>
      </w:r>
      <w:r w:rsidRPr="00475927">
        <w:rPr>
          <w:szCs w:val="28"/>
        </w:rPr>
        <w:t>0</w:t>
      </w:r>
      <w:r w:rsidRPr="00475927">
        <w:rPr>
          <w:szCs w:val="28"/>
          <w:lang w:val="ru-RU"/>
        </w:rPr>
        <w:t>5</w:t>
      </w:r>
      <w:r w:rsidRPr="00475927">
        <w:rPr>
          <w:szCs w:val="28"/>
        </w:rPr>
        <w:t xml:space="preserve"> </w:t>
      </w:r>
      <w:r w:rsidRPr="00475927">
        <w:rPr>
          <w:szCs w:val="28"/>
          <w:lang w:val="ru-RU"/>
        </w:rPr>
        <w:t xml:space="preserve">хворих на </w:t>
      </w:r>
      <w:r w:rsidRPr="00475927">
        <w:rPr>
          <w:szCs w:val="28"/>
        </w:rPr>
        <w:t>ГІМ</w:t>
      </w:r>
      <w:r w:rsidRPr="00475927">
        <w:rPr>
          <w:szCs w:val="28"/>
          <w:lang w:val="ru-RU"/>
        </w:rPr>
        <w:t xml:space="preserve">, які були розподілені на групи в залежності від віку, статі, наявності супутнього </w:t>
      </w:r>
      <w:r w:rsidRPr="00475927">
        <w:rPr>
          <w:szCs w:val="28"/>
        </w:rPr>
        <w:t>ожиріння</w:t>
      </w:r>
      <w:r w:rsidRPr="00475927">
        <w:rPr>
          <w:szCs w:val="28"/>
          <w:lang w:val="ru-RU"/>
        </w:rPr>
        <w:t xml:space="preserve">. Така кількість пацієнтів та розподіл матеріалу дозволяє належним чином співставити групи обстежених з метою підвищення ефективності терапії хворих на </w:t>
      </w:r>
      <w:r w:rsidRPr="00475927">
        <w:rPr>
          <w:szCs w:val="28"/>
        </w:rPr>
        <w:t>ГІМ</w:t>
      </w:r>
      <w:r w:rsidRPr="00475927">
        <w:rPr>
          <w:szCs w:val="28"/>
          <w:lang w:val="ru-RU"/>
        </w:rPr>
        <w:t xml:space="preserve"> з супутнім </w:t>
      </w:r>
      <w:r w:rsidRPr="00475927">
        <w:rPr>
          <w:szCs w:val="28"/>
        </w:rPr>
        <w:t>ожирінням</w:t>
      </w:r>
      <w:r w:rsidRPr="00475927">
        <w:rPr>
          <w:szCs w:val="28"/>
          <w:lang w:val="ru-RU"/>
        </w:rPr>
        <w:t xml:space="preserve"> на підставі вивчення кардіальних маркерів та їх впливу на стан гемодинаміки та прогноз частоти розвитку не фатальних та фатальних кінцевих точок.</w:t>
      </w:r>
    </w:p>
    <w:p w:rsidR="00587E8D" w:rsidRPr="00F407BB" w:rsidRDefault="00587E8D">
      <w:pPr>
        <w:rPr>
          <w:szCs w:val="28"/>
          <w:lang w:val="ru-RU"/>
        </w:rPr>
      </w:pPr>
      <w:r w:rsidRPr="00F407BB">
        <w:rPr>
          <w:szCs w:val="28"/>
          <w:lang w:val="ru-RU"/>
        </w:rPr>
        <w:br w:type="page"/>
      </w:r>
    </w:p>
    <w:p w:rsidR="00587E8D" w:rsidRPr="00587E8D" w:rsidRDefault="00587E8D" w:rsidP="00587E8D">
      <w:pPr>
        <w:spacing w:after="0" w:line="360" w:lineRule="auto"/>
        <w:ind w:firstLine="851"/>
        <w:jc w:val="center"/>
        <w:rPr>
          <w:szCs w:val="28"/>
        </w:rPr>
      </w:pPr>
      <w:r w:rsidRPr="00587E8D">
        <w:rPr>
          <w:szCs w:val="28"/>
        </w:rPr>
        <w:lastRenderedPageBreak/>
        <w:t>РОЗДІЛ 3</w:t>
      </w:r>
    </w:p>
    <w:p w:rsidR="00587E8D" w:rsidRPr="00587E8D" w:rsidRDefault="00587E8D" w:rsidP="00587E8D">
      <w:pPr>
        <w:spacing w:after="0" w:line="360" w:lineRule="auto"/>
        <w:ind w:firstLine="851"/>
        <w:jc w:val="center"/>
        <w:rPr>
          <w:szCs w:val="28"/>
        </w:rPr>
      </w:pPr>
      <w:r w:rsidRPr="00587E8D">
        <w:rPr>
          <w:szCs w:val="28"/>
        </w:rPr>
        <w:t>ЗМІНИ ВІТРОНЕКТИНУ, ГАЛЕКТИНУ-3, ТРОПОНІНУ І, АНТРОПОМЕТРИЧНИХ ПАРАМЕТРІВ, ЛІПІДНОГО ПРОФІЛЮ</w:t>
      </w:r>
      <w:r w:rsidRPr="007571E1">
        <w:rPr>
          <w:szCs w:val="28"/>
        </w:rPr>
        <w:t>, ФУНКЦІОНАЛЬНОГО СТАНУ НИРОК</w:t>
      </w:r>
      <w:r w:rsidRPr="00587E8D">
        <w:rPr>
          <w:szCs w:val="28"/>
        </w:rPr>
        <w:t xml:space="preserve"> ТА ПОКАЗНИКІВ ЯКОСТІ ЖИТТЯ У ХВОРИХ З </w:t>
      </w:r>
      <w:r w:rsidR="007571E1">
        <w:rPr>
          <w:szCs w:val="28"/>
        </w:rPr>
        <w:t>ГОСТРИМ ІНФАРКТОМ МІОКАРДА</w:t>
      </w:r>
      <w:r w:rsidRPr="00587E8D">
        <w:rPr>
          <w:szCs w:val="28"/>
        </w:rPr>
        <w:t xml:space="preserve"> ТА СУПУТНІМ ОЖИРІННЯМ</w:t>
      </w:r>
    </w:p>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Під час дослідження виявлено, що у хворих на ГІМ та наявності ожиріння рівні вітронектину перевищували такі у пацієнтів без ожиріння на 25,9% (р&lt;0,05). Концентрація галектину-3 була вище на 32,4% у пацієнтів за наявності ГІМ на тлі супутнього ожиріння, ніж у пацієнтів з ізольованим ГІМ. Подібні результати отримано й у відношенні кількісного тропоніну </w:t>
      </w:r>
      <w:r w:rsidRPr="00587E8D">
        <w:rPr>
          <w:szCs w:val="28"/>
          <w:lang w:val="en-US"/>
        </w:rPr>
        <w:t>I</w:t>
      </w:r>
      <w:r w:rsidRPr="00587E8D">
        <w:rPr>
          <w:szCs w:val="28"/>
        </w:rPr>
        <w:t>, рівні якого були вищими на 56,6% у хворих на ГІМ з ІМТ&gt;30кг/м</w:t>
      </w:r>
      <w:r w:rsidRPr="00587E8D">
        <w:rPr>
          <w:szCs w:val="28"/>
          <w:vertAlign w:val="superscript"/>
        </w:rPr>
        <w:t>2</w:t>
      </w:r>
      <w:r w:rsidRPr="00587E8D">
        <w:rPr>
          <w:szCs w:val="28"/>
        </w:rPr>
        <w:t xml:space="preserve">, ніж у пацієнтів із нормальною масою тіла. Даний факт щодо зростання рівня тропоніну у групі хворих на ГІМ з ожирінням може бути обумовлено тим, що у цій когорті переважали хворі з </w:t>
      </w:r>
      <w:r w:rsidRPr="00587E8D">
        <w:rPr>
          <w:szCs w:val="28"/>
          <w:lang w:val="en-US"/>
        </w:rPr>
        <w:t>Q</w:t>
      </w:r>
      <w:r w:rsidRPr="00587E8D">
        <w:rPr>
          <w:szCs w:val="28"/>
        </w:rPr>
        <w:t>-позитивним ІМ, площа ураження при якому значно перевищує таку при ІМ без зубця Q і асоціюється з більш високою концентрацією маркеру некрозу міокарда тропоніну I.</w:t>
      </w:r>
    </w:p>
    <w:p w:rsidR="00587E8D" w:rsidRDefault="00587E8D" w:rsidP="00587E8D">
      <w:pPr>
        <w:spacing w:after="0" w:line="360" w:lineRule="auto"/>
        <w:ind w:firstLine="851"/>
        <w:jc w:val="both"/>
        <w:rPr>
          <w:szCs w:val="28"/>
        </w:rPr>
      </w:pPr>
      <w:r w:rsidRPr="00587E8D">
        <w:rPr>
          <w:szCs w:val="28"/>
        </w:rPr>
        <w:t>Співставлення рівнів вітронектину у хворих з ГІМ та ожирінням з контрольною групою встановило відмінності у вигляді достовірного зростання концентрації даного параметра за наявності ожиріння (р</w:t>
      </w:r>
      <w:r w:rsidRPr="00587E8D">
        <w:rPr>
          <w:szCs w:val="28"/>
          <w:lang w:val="ru-RU"/>
        </w:rPr>
        <w:t>&lt;0,01)</w:t>
      </w:r>
      <w:r w:rsidRPr="00587E8D">
        <w:rPr>
          <w:szCs w:val="28"/>
        </w:rPr>
        <w:t>. Рівень вітронектину у хворих на ГІМ без ожиріння також перевищував такий в осіб групи контролю (р</w:t>
      </w:r>
      <w:r w:rsidRPr="00587E8D">
        <w:rPr>
          <w:szCs w:val="28"/>
          <w:lang w:val="ru-RU"/>
        </w:rPr>
        <w:t>&lt;0,01</w:t>
      </w:r>
      <w:r w:rsidRPr="00587E8D">
        <w:rPr>
          <w:szCs w:val="28"/>
        </w:rPr>
        <w:t>). Що стосується активності галектину-3, рівень даного показника був вірогідно вище у хворих на ГІМ за наявності або відсутності ожиріння при зіставленні з контрольною групою (р</w:t>
      </w:r>
      <w:r w:rsidRPr="00587E8D">
        <w:rPr>
          <w:szCs w:val="28"/>
          <w:lang w:val="ru-RU"/>
        </w:rPr>
        <w:t>&lt;0,01</w:t>
      </w:r>
      <w:r w:rsidRPr="00587E8D">
        <w:rPr>
          <w:szCs w:val="28"/>
        </w:rPr>
        <w:t>). Подібні відмінності отримано за рівнем тропоніну І, який був достовірно вище у хворих на ГІМ та ожиріння порівняно з групою контролю (р</w:t>
      </w:r>
      <w:r w:rsidRPr="00587E8D">
        <w:rPr>
          <w:szCs w:val="28"/>
          <w:lang w:val="ru-RU"/>
        </w:rPr>
        <w:t>&lt;0,01</w:t>
      </w:r>
      <w:r w:rsidRPr="00587E8D">
        <w:rPr>
          <w:szCs w:val="28"/>
        </w:rPr>
        <w:t>).</w:t>
      </w:r>
    </w:p>
    <w:p w:rsidR="00587E8D" w:rsidRPr="00F407BB" w:rsidRDefault="00587E8D" w:rsidP="00587E8D">
      <w:pPr>
        <w:spacing w:after="0" w:line="360" w:lineRule="auto"/>
        <w:ind w:firstLine="851"/>
        <w:jc w:val="both"/>
        <w:rPr>
          <w:szCs w:val="28"/>
          <w:lang w:val="ru-RU"/>
        </w:rPr>
      </w:pPr>
      <w:r>
        <w:rPr>
          <w:szCs w:val="28"/>
        </w:rPr>
        <w:tab/>
      </w:r>
    </w:p>
    <w:p w:rsidR="00E03CCB" w:rsidRPr="00F407BB" w:rsidRDefault="00E03CCB" w:rsidP="00E03CCB">
      <w:pPr>
        <w:spacing w:after="0" w:line="360" w:lineRule="auto"/>
        <w:ind w:left="6946" w:firstLine="851"/>
        <w:rPr>
          <w:szCs w:val="28"/>
          <w:lang w:val="ru-RU"/>
        </w:rPr>
      </w:pPr>
    </w:p>
    <w:p w:rsidR="00E03CCB" w:rsidRPr="00F407BB" w:rsidRDefault="00E03CCB" w:rsidP="00E03CCB">
      <w:pPr>
        <w:spacing w:after="0" w:line="360" w:lineRule="auto"/>
        <w:ind w:left="6946" w:firstLine="851"/>
        <w:rPr>
          <w:szCs w:val="28"/>
          <w:lang w:val="ru-RU"/>
        </w:rPr>
      </w:pPr>
    </w:p>
    <w:p w:rsidR="00E03CCB" w:rsidRPr="00F407BB" w:rsidRDefault="00E03CCB" w:rsidP="00E03CCB">
      <w:pPr>
        <w:spacing w:after="0" w:line="360" w:lineRule="auto"/>
        <w:ind w:left="6946" w:firstLine="851"/>
        <w:rPr>
          <w:szCs w:val="28"/>
          <w:lang w:val="ru-RU"/>
        </w:rPr>
      </w:pPr>
    </w:p>
    <w:p w:rsidR="00587E8D" w:rsidRPr="00587E8D" w:rsidRDefault="00587E8D" w:rsidP="00E03CCB">
      <w:pPr>
        <w:spacing w:after="0" w:line="360" w:lineRule="auto"/>
        <w:ind w:left="6946" w:firstLine="851"/>
        <w:rPr>
          <w:i/>
          <w:szCs w:val="28"/>
        </w:rPr>
      </w:pPr>
      <w:r w:rsidRPr="00587E8D">
        <w:rPr>
          <w:i/>
          <w:szCs w:val="28"/>
        </w:rPr>
        <w:lastRenderedPageBreak/>
        <w:t>Таблиця 3.1</w:t>
      </w:r>
    </w:p>
    <w:p w:rsidR="00587E8D" w:rsidRPr="00587E8D" w:rsidRDefault="00587E8D" w:rsidP="00587E8D">
      <w:pPr>
        <w:spacing w:after="0" w:line="360" w:lineRule="auto"/>
        <w:ind w:firstLine="851"/>
        <w:jc w:val="center"/>
        <w:rPr>
          <w:szCs w:val="28"/>
        </w:rPr>
      </w:pPr>
      <w:r w:rsidRPr="00587E8D">
        <w:rPr>
          <w:szCs w:val="28"/>
        </w:rPr>
        <w:t>Концентрація вітронектину та аналіз антропометричних показників у хворих за наявності або відсутності супутнього ожиріння.</w:t>
      </w:r>
    </w:p>
    <w:tbl>
      <w:tblPr>
        <w:tblStyle w:val="ab"/>
        <w:tblW w:w="0" w:type="auto"/>
        <w:tblLook w:val="04A0" w:firstRow="1" w:lastRow="0" w:firstColumn="1" w:lastColumn="0" w:noHBand="0" w:noVBand="1"/>
      </w:tblPr>
      <w:tblGrid>
        <w:gridCol w:w="2355"/>
        <w:gridCol w:w="2637"/>
        <w:gridCol w:w="2353"/>
        <w:gridCol w:w="2770"/>
      </w:tblGrid>
      <w:tr w:rsidR="00587E8D" w:rsidRPr="00587E8D" w:rsidTr="00587E8D">
        <w:tc>
          <w:tcPr>
            <w:tcW w:w="2392" w:type="dxa"/>
            <w:vMerge w:val="restart"/>
          </w:tcPr>
          <w:p w:rsidR="00587E8D" w:rsidRPr="00587E8D" w:rsidRDefault="00587E8D" w:rsidP="00587E8D">
            <w:pPr>
              <w:ind w:firstLine="851"/>
              <w:jc w:val="both"/>
              <w:rPr>
                <w:szCs w:val="28"/>
              </w:rPr>
            </w:pPr>
          </w:p>
          <w:p w:rsidR="00587E8D" w:rsidRPr="00587E8D" w:rsidRDefault="00587E8D" w:rsidP="00587E8D">
            <w:pPr>
              <w:jc w:val="both"/>
              <w:rPr>
                <w:szCs w:val="28"/>
              </w:rPr>
            </w:pPr>
            <w:r w:rsidRPr="00587E8D">
              <w:rPr>
                <w:szCs w:val="28"/>
              </w:rPr>
              <w:t>Показник</w:t>
            </w:r>
          </w:p>
          <w:p w:rsidR="00587E8D" w:rsidRPr="00587E8D" w:rsidRDefault="00587E8D" w:rsidP="00587E8D">
            <w:pPr>
              <w:ind w:firstLine="851"/>
              <w:jc w:val="both"/>
              <w:rPr>
                <w:szCs w:val="28"/>
              </w:rPr>
            </w:pPr>
          </w:p>
        </w:tc>
        <w:tc>
          <w:tcPr>
            <w:tcW w:w="5087" w:type="dxa"/>
            <w:gridSpan w:val="2"/>
          </w:tcPr>
          <w:p w:rsidR="00587E8D" w:rsidRPr="00587E8D" w:rsidRDefault="00587E8D" w:rsidP="007571E1">
            <w:pPr>
              <w:jc w:val="center"/>
              <w:rPr>
                <w:szCs w:val="28"/>
              </w:rPr>
            </w:pPr>
            <w:r w:rsidRPr="00587E8D">
              <w:rPr>
                <w:szCs w:val="28"/>
              </w:rPr>
              <w:t>ГІМ</w:t>
            </w:r>
          </w:p>
        </w:tc>
        <w:tc>
          <w:tcPr>
            <w:tcW w:w="2835" w:type="dxa"/>
            <w:vMerge w:val="restart"/>
          </w:tcPr>
          <w:p w:rsidR="00587E8D" w:rsidRPr="00587E8D" w:rsidRDefault="00587E8D" w:rsidP="00587E8D">
            <w:pPr>
              <w:ind w:firstLine="851"/>
              <w:jc w:val="both"/>
              <w:rPr>
                <w:szCs w:val="28"/>
              </w:rPr>
            </w:pPr>
          </w:p>
          <w:p w:rsidR="00587E8D" w:rsidRPr="00587E8D" w:rsidRDefault="00587E8D" w:rsidP="00587E8D">
            <w:pPr>
              <w:jc w:val="both"/>
              <w:rPr>
                <w:szCs w:val="28"/>
              </w:rPr>
            </w:pPr>
            <w:r w:rsidRPr="00587E8D">
              <w:rPr>
                <w:szCs w:val="28"/>
              </w:rPr>
              <w:t>Контрольна група</w:t>
            </w:r>
          </w:p>
          <w:p w:rsidR="00587E8D" w:rsidRPr="00587E8D" w:rsidRDefault="00587E8D" w:rsidP="00587E8D">
            <w:pPr>
              <w:ind w:firstLine="851"/>
              <w:jc w:val="both"/>
              <w:rPr>
                <w:szCs w:val="28"/>
              </w:rPr>
            </w:pPr>
            <w:r w:rsidRPr="00587E8D">
              <w:rPr>
                <w:szCs w:val="28"/>
                <w:lang w:val="ru-RU"/>
              </w:rPr>
              <w:t>(n=</w:t>
            </w:r>
            <w:r w:rsidRPr="00587E8D">
              <w:rPr>
                <w:szCs w:val="28"/>
              </w:rPr>
              <w:t>15</w:t>
            </w:r>
            <w:r w:rsidRPr="00587E8D">
              <w:rPr>
                <w:szCs w:val="28"/>
                <w:lang w:val="ru-RU"/>
              </w:rPr>
              <w:t>)</w:t>
            </w:r>
          </w:p>
        </w:tc>
      </w:tr>
      <w:tr w:rsidR="00587E8D" w:rsidRPr="00587E8D" w:rsidTr="00587E8D">
        <w:tc>
          <w:tcPr>
            <w:tcW w:w="2392" w:type="dxa"/>
            <w:vMerge/>
          </w:tcPr>
          <w:p w:rsidR="00587E8D" w:rsidRPr="00587E8D" w:rsidRDefault="00587E8D" w:rsidP="00587E8D">
            <w:pPr>
              <w:ind w:firstLine="851"/>
              <w:jc w:val="both"/>
              <w:rPr>
                <w:szCs w:val="28"/>
              </w:rPr>
            </w:pPr>
          </w:p>
        </w:tc>
        <w:tc>
          <w:tcPr>
            <w:tcW w:w="2678" w:type="dxa"/>
          </w:tcPr>
          <w:p w:rsidR="00587E8D" w:rsidRPr="00587E8D" w:rsidRDefault="00587E8D" w:rsidP="00587E8D">
            <w:pPr>
              <w:jc w:val="both"/>
              <w:rPr>
                <w:szCs w:val="28"/>
                <w:lang w:val="ru-RU"/>
              </w:rPr>
            </w:pPr>
            <w:r w:rsidRPr="00587E8D">
              <w:rPr>
                <w:szCs w:val="28"/>
                <w:lang w:val="ru-RU"/>
              </w:rPr>
              <w:t>ГІМ+ожиріння (n=</w:t>
            </w:r>
            <w:r w:rsidRPr="00587E8D">
              <w:rPr>
                <w:szCs w:val="28"/>
              </w:rPr>
              <w:t>43</w:t>
            </w:r>
            <w:r w:rsidRPr="00587E8D">
              <w:rPr>
                <w:szCs w:val="28"/>
                <w:lang w:val="ru-RU"/>
              </w:rPr>
              <w:t>)</w:t>
            </w:r>
          </w:p>
        </w:tc>
        <w:tc>
          <w:tcPr>
            <w:tcW w:w="2409" w:type="dxa"/>
          </w:tcPr>
          <w:p w:rsidR="00587E8D" w:rsidRPr="00587E8D" w:rsidRDefault="00587E8D" w:rsidP="00587E8D">
            <w:pPr>
              <w:jc w:val="both"/>
              <w:rPr>
                <w:szCs w:val="28"/>
                <w:lang w:val="ru-RU"/>
              </w:rPr>
            </w:pPr>
            <w:r w:rsidRPr="00587E8D">
              <w:rPr>
                <w:szCs w:val="28"/>
                <w:lang w:val="ru-RU"/>
              </w:rPr>
              <w:t>ГІМ без ожиріння (n=2</w:t>
            </w:r>
            <w:r w:rsidRPr="00587E8D">
              <w:rPr>
                <w:szCs w:val="28"/>
              </w:rPr>
              <w:t>3</w:t>
            </w:r>
            <w:r w:rsidRPr="00587E8D">
              <w:rPr>
                <w:szCs w:val="28"/>
                <w:lang w:val="ru-RU"/>
              </w:rPr>
              <w:t>)</w:t>
            </w:r>
          </w:p>
        </w:tc>
        <w:tc>
          <w:tcPr>
            <w:tcW w:w="2835" w:type="dxa"/>
            <w:vMerge/>
          </w:tcPr>
          <w:p w:rsidR="00587E8D" w:rsidRPr="00587E8D" w:rsidRDefault="00587E8D" w:rsidP="00587E8D">
            <w:pPr>
              <w:ind w:firstLine="851"/>
              <w:jc w:val="both"/>
              <w:rPr>
                <w:szCs w:val="28"/>
              </w:rPr>
            </w:pPr>
          </w:p>
        </w:tc>
      </w:tr>
      <w:tr w:rsidR="00587E8D" w:rsidRPr="00587E8D" w:rsidTr="00587E8D">
        <w:tc>
          <w:tcPr>
            <w:tcW w:w="2392" w:type="dxa"/>
          </w:tcPr>
          <w:p w:rsidR="00587E8D" w:rsidRPr="00587E8D" w:rsidRDefault="00587E8D" w:rsidP="00587E8D">
            <w:pPr>
              <w:jc w:val="both"/>
              <w:rPr>
                <w:szCs w:val="28"/>
              </w:rPr>
            </w:pPr>
            <w:r w:rsidRPr="00587E8D">
              <w:rPr>
                <w:szCs w:val="28"/>
              </w:rPr>
              <w:t>Вітронектин, нг/мл</w:t>
            </w:r>
          </w:p>
        </w:tc>
        <w:tc>
          <w:tcPr>
            <w:tcW w:w="2678" w:type="dxa"/>
          </w:tcPr>
          <w:p w:rsidR="00587E8D" w:rsidRPr="00587E8D" w:rsidRDefault="00587E8D" w:rsidP="00587E8D">
            <w:pPr>
              <w:jc w:val="both"/>
              <w:rPr>
                <w:szCs w:val="28"/>
              </w:rPr>
            </w:pPr>
            <w:r w:rsidRPr="00587E8D">
              <w:rPr>
                <w:szCs w:val="28"/>
              </w:rPr>
              <w:t>460,29±40,07</w:t>
            </w:r>
          </w:p>
        </w:tc>
        <w:tc>
          <w:tcPr>
            <w:tcW w:w="2409" w:type="dxa"/>
          </w:tcPr>
          <w:p w:rsidR="00587E8D" w:rsidRPr="00587E8D" w:rsidRDefault="00587E8D" w:rsidP="00587E8D">
            <w:pPr>
              <w:jc w:val="both"/>
              <w:rPr>
                <w:szCs w:val="28"/>
              </w:rPr>
            </w:pPr>
            <w:r w:rsidRPr="00587E8D">
              <w:rPr>
                <w:szCs w:val="28"/>
              </w:rPr>
              <w:t>340, 99±20,33</w:t>
            </w:r>
          </w:p>
        </w:tc>
        <w:tc>
          <w:tcPr>
            <w:tcW w:w="2835" w:type="dxa"/>
          </w:tcPr>
          <w:p w:rsidR="00587E8D" w:rsidRPr="00587E8D" w:rsidRDefault="00587E8D" w:rsidP="00587E8D">
            <w:pPr>
              <w:ind w:firstLine="851"/>
              <w:jc w:val="both"/>
              <w:rPr>
                <w:szCs w:val="28"/>
              </w:rPr>
            </w:pPr>
            <w:r w:rsidRPr="00587E8D">
              <w:rPr>
                <w:szCs w:val="28"/>
              </w:rPr>
              <w:t>237,74±10,06</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1та3</w:t>
            </w:r>
            <w:r w:rsidRPr="00587E8D">
              <w:rPr>
                <w:szCs w:val="28"/>
              </w:rPr>
              <w:t xml:space="preserve"> </w:t>
            </w:r>
            <w:r w:rsidRPr="00587E8D">
              <w:rPr>
                <w:szCs w:val="28"/>
                <w:lang w:val="en-US"/>
              </w:rPr>
              <w:t>&lt;</w:t>
            </w:r>
            <w:r w:rsidRPr="00587E8D">
              <w:rPr>
                <w:szCs w:val="28"/>
              </w:rPr>
              <w:t>0,01</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rPr>
              <w:t xml:space="preserve"> </w:t>
            </w:r>
            <w:r w:rsidRPr="00587E8D">
              <w:rPr>
                <w:szCs w:val="28"/>
                <w:lang w:val="en-US"/>
              </w:rPr>
              <w:t>&lt;</w:t>
            </w:r>
            <w:r w:rsidRPr="00587E8D">
              <w:rPr>
                <w:szCs w:val="28"/>
              </w:rPr>
              <w:t>0,01</w:t>
            </w:r>
          </w:p>
        </w:tc>
      </w:tr>
      <w:tr w:rsidR="00587E8D" w:rsidRPr="00587E8D" w:rsidTr="00587E8D">
        <w:tc>
          <w:tcPr>
            <w:tcW w:w="2392" w:type="dxa"/>
          </w:tcPr>
          <w:p w:rsidR="00587E8D" w:rsidRPr="00587E8D" w:rsidRDefault="00587E8D" w:rsidP="00587E8D">
            <w:pPr>
              <w:jc w:val="both"/>
              <w:rPr>
                <w:szCs w:val="28"/>
              </w:rPr>
            </w:pPr>
            <w:r w:rsidRPr="00587E8D">
              <w:rPr>
                <w:szCs w:val="28"/>
              </w:rPr>
              <w:t>Галектин-3, нг/мл</w:t>
            </w:r>
          </w:p>
        </w:tc>
        <w:tc>
          <w:tcPr>
            <w:tcW w:w="2678" w:type="dxa"/>
          </w:tcPr>
          <w:p w:rsidR="00587E8D" w:rsidRPr="00587E8D" w:rsidRDefault="00587E8D" w:rsidP="00587E8D">
            <w:pPr>
              <w:jc w:val="both"/>
              <w:rPr>
                <w:szCs w:val="28"/>
              </w:rPr>
            </w:pPr>
            <w:r w:rsidRPr="00587E8D">
              <w:rPr>
                <w:szCs w:val="28"/>
              </w:rPr>
              <w:t>29,30±2,02</w:t>
            </w:r>
          </w:p>
        </w:tc>
        <w:tc>
          <w:tcPr>
            <w:tcW w:w="2409" w:type="dxa"/>
          </w:tcPr>
          <w:p w:rsidR="00587E8D" w:rsidRPr="00587E8D" w:rsidRDefault="00587E8D" w:rsidP="00587E8D">
            <w:pPr>
              <w:jc w:val="both"/>
              <w:rPr>
                <w:szCs w:val="28"/>
              </w:rPr>
            </w:pPr>
            <w:r w:rsidRPr="00587E8D">
              <w:rPr>
                <w:szCs w:val="28"/>
              </w:rPr>
              <w:t>19,8±0,67</w:t>
            </w:r>
          </w:p>
        </w:tc>
        <w:tc>
          <w:tcPr>
            <w:tcW w:w="2835" w:type="dxa"/>
          </w:tcPr>
          <w:p w:rsidR="00587E8D" w:rsidRPr="00587E8D" w:rsidRDefault="00587E8D" w:rsidP="00587E8D">
            <w:pPr>
              <w:ind w:firstLine="851"/>
              <w:jc w:val="both"/>
              <w:rPr>
                <w:szCs w:val="28"/>
              </w:rPr>
            </w:pPr>
            <w:r w:rsidRPr="00587E8D">
              <w:rPr>
                <w:szCs w:val="28"/>
              </w:rPr>
              <w:t>5,63±1,79</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1та3</w:t>
            </w:r>
            <w:r w:rsidRPr="00587E8D">
              <w:rPr>
                <w:szCs w:val="28"/>
              </w:rPr>
              <w:t xml:space="preserve"> </w:t>
            </w:r>
            <w:r w:rsidRPr="00587E8D">
              <w:rPr>
                <w:szCs w:val="28"/>
                <w:lang w:val="en-US"/>
              </w:rPr>
              <w:t>&lt;</w:t>
            </w:r>
            <w:r w:rsidRPr="00587E8D">
              <w:rPr>
                <w:szCs w:val="28"/>
              </w:rPr>
              <w:t>0,01</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rPr>
              <w:t xml:space="preserve"> </w:t>
            </w:r>
            <w:r w:rsidRPr="00587E8D">
              <w:rPr>
                <w:szCs w:val="28"/>
                <w:lang w:val="en-US"/>
              </w:rPr>
              <w:t>&lt;</w:t>
            </w:r>
            <w:r w:rsidRPr="00587E8D">
              <w:rPr>
                <w:szCs w:val="28"/>
              </w:rPr>
              <w:t>0,01</w:t>
            </w:r>
          </w:p>
        </w:tc>
      </w:tr>
      <w:tr w:rsidR="00587E8D" w:rsidRPr="00587E8D" w:rsidTr="00587E8D">
        <w:tc>
          <w:tcPr>
            <w:tcW w:w="2392" w:type="dxa"/>
          </w:tcPr>
          <w:p w:rsidR="00587E8D" w:rsidRPr="00587E8D" w:rsidRDefault="00587E8D" w:rsidP="00587E8D">
            <w:pPr>
              <w:jc w:val="both"/>
              <w:rPr>
                <w:szCs w:val="28"/>
                <w:lang w:val="ru-RU"/>
              </w:rPr>
            </w:pPr>
            <w:r w:rsidRPr="00587E8D">
              <w:rPr>
                <w:szCs w:val="28"/>
              </w:rPr>
              <w:t xml:space="preserve">Тропонін </w:t>
            </w:r>
            <w:r w:rsidRPr="00587E8D">
              <w:rPr>
                <w:szCs w:val="28"/>
                <w:lang w:val="en-US"/>
              </w:rPr>
              <w:t>I</w:t>
            </w:r>
            <w:r w:rsidRPr="00587E8D">
              <w:rPr>
                <w:szCs w:val="28"/>
                <w:lang w:val="ru-RU"/>
              </w:rPr>
              <w:t>, нг/мл</w:t>
            </w:r>
          </w:p>
        </w:tc>
        <w:tc>
          <w:tcPr>
            <w:tcW w:w="2678" w:type="dxa"/>
          </w:tcPr>
          <w:p w:rsidR="00587E8D" w:rsidRPr="00587E8D" w:rsidRDefault="00587E8D" w:rsidP="00587E8D">
            <w:pPr>
              <w:jc w:val="both"/>
              <w:rPr>
                <w:szCs w:val="28"/>
              </w:rPr>
            </w:pPr>
            <w:r w:rsidRPr="00587E8D">
              <w:rPr>
                <w:szCs w:val="28"/>
              </w:rPr>
              <w:t>3,46±0,54</w:t>
            </w:r>
          </w:p>
        </w:tc>
        <w:tc>
          <w:tcPr>
            <w:tcW w:w="2409" w:type="dxa"/>
          </w:tcPr>
          <w:p w:rsidR="00587E8D" w:rsidRPr="00587E8D" w:rsidRDefault="00587E8D" w:rsidP="00587E8D">
            <w:pPr>
              <w:jc w:val="both"/>
              <w:rPr>
                <w:szCs w:val="28"/>
              </w:rPr>
            </w:pPr>
            <w:r w:rsidRPr="00587E8D">
              <w:rPr>
                <w:szCs w:val="28"/>
              </w:rPr>
              <w:t>1,5±0,39</w:t>
            </w:r>
          </w:p>
        </w:tc>
        <w:tc>
          <w:tcPr>
            <w:tcW w:w="2835" w:type="dxa"/>
          </w:tcPr>
          <w:p w:rsidR="00587E8D" w:rsidRPr="00587E8D" w:rsidRDefault="00587E8D" w:rsidP="00587E8D">
            <w:pPr>
              <w:ind w:firstLine="851"/>
              <w:jc w:val="both"/>
              <w:rPr>
                <w:szCs w:val="28"/>
              </w:rPr>
            </w:pPr>
            <w:r w:rsidRPr="00587E8D">
              <w:rPr>
                <w:szCs w:val="28"/>
              </w:rPr>
              <w:t>0,31±0,11</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1та3</w:t>
            </w:r>
            <w:r w:rsidRPr="00587E8D">
              <w:rPr>
                <w:szCs w:val="28"/>
              </w:rPr>
              <w:t xml:space="preserve"> </w:t>
            </w:r>
            <w:r w:rsidRPr="00587E8D">
              <w:rPr>
                <w:szCs w:val="28"/>
                <w:lang w:val="en-US"/>
              </w:rPr>
              <w:t>&lt;</w:t>
            </w:r>
            <w:r w:rsidRPr="00587E8D">
              <w:rPr>
                <w:szCs w:val="28"/>
              </w:rPr>
              <w:t>0,01</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rPr>
              <w:t xml:space="preserve"> </w:t>
            </w:r>
            <w:r w:rsidRPr="00587E8D">
              <w:rPr>
                <w:szCs w:val="28"/>
                <w:lang w:val="en-US"/>
              </w:rPr>
              <w:t>&lt;</w:t>
            </w:r>
            <w:r w:rsidRPr="00587E8D">
              <w:rPr>
                <w:szCs w:val="28"/>
              </w:rPr>
              <w:t>0,01</w:t>
            </w:r>
          </w:p>
        </w:tc>
      </w:tr>
      <w:tr w:rsidR="00587E8D" w:rsidRPr="00587E8D" w:rsidTr="00587E8D">
        <w:tc>
          <w:tcPr>
            <w:tcW w:w="2392" w:type="dxa"/>
          </w:tcPr>
          <w:p w:rsidR="00587E8D" w:rsidRPr="00587E8D" w:rsidRDefault="00587E8D" w:rsidP="00587E8D">
            <w:pPr>
              <w:jc w:val="both"/>
              <w:rPr>
                <w:szCs w:val="28"/>
              </w:rPr>
            </w:pPr>
            <w:r w:rsidRPr="00587E8D">
              <w:rPr>
                <w:szCs w:val="28"/>
              </w:rPr>
              <w:t>Креатинін, мкмоль/л</w:t>
            </w:r>
          </w:p>
        </w:tc>
        <w:tc>
          <w:tcPr>
            <w:tcW w:w="2678" w:type="dxa"/>
          </w:tcPr>
          <w:p w:rsidR="00587E8D" w:rsidRPr="00587E8D" w:rsidRDefault="00587E8D" w:rsidP="00587E8D">
            <w:pPr>
              <w:jc w:val="both"/>
              <w:rPr>
                <w:szCs w:val="28"/>
              </w:rPr>
            </w:pPr>
            <w:r w:rsidRPr="00587E8D">
              <w:rPr>
                <w:szCs w:val="28"/>
              </w:rPr>
              <w:t>98,9±10,86</w:t>
            </w:r>
          </w:p>
        </w:tc>
        <w:tc>
          <w:tcPr>
            <w:tcW w:w="2409" w:type="dxa"/>
          </w:tcPr>
          <w:p w:rsidR="00587E8D" w:rsidRPr="00587E8D" w:rsidRDefault="00587E8D" w:rsidP="00587E8D">
            <w:pPr>
              <w:jc w:val="both"/>
              <w:rPr>
                <w:szCs w:val="28"/>
              </w:rPr>
            </w:pPr>
            <w:r w:rsidRPr="00587E8D">
              <w:rPr>
                <w:szCs w:val="28"/>
              </w:rPr>
              <w:t>90,6±5,06</w:t>
            </w:r>
          </w:p>
        </w:tc>
        <w:tc>
          <w:tcPr>
            <w:tcW w:w="2835" w:type="dxa"/>
          </w:tcPr>
          <w:p w:rsidR="00587E8D" w:rsidRPr="00587E8D" w:rsidRDefault="00587E8D" w:rsidP="00587E8D">
            <w:pPr>
              <w:ind w:firstLine="851"/>
              <w:jc w:val="both"/>
              <w:rPr>
                <w:szCs w:val="28"/>
              </w:rPr>
            </w:pPr>
            <w:r w:rsidRPr="00587E8D">
              <w:rPr>
                <w:szCs w:val="28"/>
              </w:rPr>
              <w:t>85,1±6,23</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&gt;</w:t>
            </w:r>
            <w:r w:rsidRPr="00587E8D">
              <w:rPr>
                <w:szCs w:val="28"/>
                <w:lang w:val="ru-RU"/>
              </w:rPr>
              <w:t>0,05</w:t>
            </w:r>
          </w:p>
          <w:p w:rsidR="00587E8D" w:rsidRPr="00587E8D" w:rsidRDefault="00587E8D" w:rsidP="00587E8D">
            <w:pPr>
              <w:ind w:firstLine="851"/>
              <w:jc w:val="both"/>
              <w:rPr>
                <w:szCs w:val="28"/>
                <w:vertAlign w:val="subscript"/>
              </w:rPr>
            </w:pPr>
            <w:r w:rsidRPr="00587E8D">
              <w:rPr>
                <w:szCs w:val="28"/>
              </w:rPr>
              <w:t>р</w:t>
            </w:r>
            <w:r w:rsidRPr="00587E8D">
              <w:rPr>
                <w:szCs w:val="28"/>
                <w:vertAlign w:val="subscript"/>
              </w:rPr>
              <w:t>1та3=</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r w:rsidR="00587E8D" w:rsidRPr="00587E8D" w:rsidTr="00587E8D">
        <w:tc>
          <w:tcPr>
            <w:tcW w:w="2392" w:type="dxa"/>
          </w:tcPr>
          <w:p w:rsidR="00587E8D" w:rsidRPr="00587E8D" w:rsidRDefault="00587E8D" w:rsidP="00587E8D">
            <w:pPr>
              <w:jc w:val="both"/>
              <w:rPr>
                <w:szCs w:val="28"/>
              </w:rPr>
            </w:pPr>
            <w:r w:rsidRPr="00587E8D">
              <w:rPr>
                <w:szCs w:val="28"/>
              </w:rPr>
              <w:t>Лейкоцити, Г/л</w:t>
            </w:r>
          </w:p>
        </w:tc>
        <w:tc>
          <w:tcPr>
            <w:tcW w:w="2678" w:type="dxa"/>
          </w:tcPr>
          <w:p w:rsidR="00587E8D" w:rsidRPr="00587E8D" w:rsidRDefault="00587E8D" w:rsidP="00587E8D">
            <w:pPr>
              <w:jc w:val="both"/>
              <w:rPr>
                <w:szCs w:val="28"/>
              </w:rPr>
            </w:pPr>
            <w:r w:rsidRPr="00587E8D">
              <w:rPr>
                <w:szCs w:val="28"/>
              </w:rPr>
              <w:t>12,36±2,14</w:t>
            </w:r>
          </w:p>
        </w:tc>
        <w:tc>
          <w:tcPr>
            <w:tcW w:w="2409" w:type="dxa"/>
          </w:tcPr>
          <w:p w:rsidR="00587E8D" w:rsidRPr="00587E8D" w:rsidRDefault="00587E8D" w:rsidP="00587E8D">
            <w:pPr>
              <w:jc w:val="both"/>
              <w:rPr>
                <w:szCs w:val="28"/>
              </w:rPr>
            </w:pPr>
            <w:r w:rsidRPr="00587E8D">
              <w:rPr>
                <w:szCs w:val="28"/>
              </w:rPr>
              <w:t>12,13±2,45</w:t>
            </w:r>
          </w:p>
        </w:tc>
        <w:tc>
          <w:tcPr>
            <w:tcW w:w="2835" w:type="dxa"/>
          </w:tcPr>
          <w:p w:rsidR="00587E8D" w:rsidRPr="00587E8D" w:rsidRDefault="00587E8D" w:rsidP="00587E8D">
            <w:pPr>
              <w:ind w:firstLine="851"/>
              <w:jc w:val="both"/>
              <w:rPr>
                <w:szCs w:val="28"/>
              </w:rPr>
            </w:pPr>
            <w:r w:rsidRPr="00587E8D">
              <w:rPr>
                <w:szCs w:val="28"/>
              </w:rPr>
              <w:t>6,72±1,58</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&gt;</w:t>
            </w:r>
            <w:r w:rsidRPr="00587E8D">
              <w:rPr>
                <w:szCs w:val="28"/>
                <w:lang w:val="ru-RU"/>
              </w:rPr>
              <w:t>0,05</w:t>
            </w:r>
          </w:p>
          <w:p w:rsidR="00587E8D" w:rsidRPr="00587E8D" w:rsidRDefault="00587E8D" w:rsidP="00587E8D">
            <w:pPr>
              <w:ind w:firstLine="851"/>
              <w:jc w:val="both"/>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lang w:val="en-US"/>
              </w:rPr>
              <w:t>&lt;</w:t>
            </w:r>
            <w:r w:rsidRPr="00587E8D">
              <w:rPr>
                <w:szCs w:val="28"/>
                <w:lang w:val="ru-RU"/>
              </w:rPr>
              <w:t>0,05</w:t>
            </w:r>
          </w:p>
        </w:tc>
      </w:tr>
      <w:tr w:rsidR="00587E8D" w:rsidRPr="00587E8D" w:rsidTr="00587E8D">
        <w:tc>
          <w:tcPr>
            <w:tcW w:w="2392" w:type="dxa"/>
          </w:tcPr>
          <w:p w:rsidR="00587E8D" w:rsidRPr="00587E8D" w:rsidRDefault="00587E8D" w:rsidP="00587E8D">
            <w:pPr>
              <w:jc w:val="both"/>
              <w:rPr>
                <w:szCs w:val="28"/>
              </w:rPr>
            </w:pPr>
            <w:r w:rsidRPr="00587E8D">
              <w:rPr>
                <w:szCs w:val="28"/>
              </w:rPr>
              <w:t>ШОЕ, мм/год</w:t>
            </w:r>
          </w:p>
        </w:tc>
        <w:tc>
          <w:tcPr>
            <w:tcW w:w="2678" w:type="dxa"/>
          </w:tcPr>
          <w:p w:rsidR="00587E8D" w:rsidRPr="00587E8D" w:rsidRDefault="00587E8D" w:rsidP="00587E8D">
            <w:pPr>
              <w:jc w:val="both"/>
              <w:rPr>
                <w:szCs w:val="28"/>
              </w:rPr>
            </w:pPr>
            <w:r w:rsidRPr="00587E8D">
              <w:rPr>
                <w:szCs w:val="28"/>
              </w:rPr>
              <w:t>12,1±2,84</w:t>
            </w:r>
          </w:p>
        </w:tc>
        <w:tc>
          <w:tcPr>
            <w:tcW w:w="2409" w:type="dxa"/>
          </w:tcPr>
          <w:p w:rsidR="00587E8D" w:rsidRPr="00587E8D" w:rsidRDefault="00587E8D" w:rsidP="00587E8D">
            <w:pPr>
              <w:jc w:val="both"/>
              <w:rPr>
                <w:szCs w:val="28"/>
              </w:rPr>
            </w:pPr>
            <w:r w:rsidRPr="00587E8D">
              <w:rPr>
                <w:szCs w:val="28"/>
              </w:rPr>
              <w:t>11,53±1,97</w:t>
            </w:r>
          </w:p>
        </w:tc>
        <w:tc>
          <w:tcPr>
            <w:tcW w:w="2835" w:type="dxa"/>
          </w:tcPr>
          <w:p w:rsidR="00587E8D" w:rsidRPr="00587E8D" w:rsidRDefault="00587E8D" w:rsidP="00587E8D">
            <w:pPr>
              <w:ind w:firstLine="851"/>
              <w:jc w:val="both"/>
              <w:rPr>
                <w:szCs w:val="28"/>
              </w:rPr>
            </w:pPr>
            <w:r w:rsidRPr="00587E8D">
              <w:rPr>
                <w:szCs w:val="28"/>
              </w:rPr>
              <w:t>6,21±2,23</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&gt;</w:t>
            </w:r>
            <w:r w:rsidRPr="00587E8D">
              <w:rPr>
                <w:szCs w:val="28"/>
                <w:lang w:val="ru-RU"/>
              </w:rPr>
              <w:t>0,05</w:t>
            </w:r>
          </w:p>
          <w:p w:rsidR="00587E8D" w:rsidRPr="00587E8D" w:rsidRDefault="00587E8D" w:rsidP="00587E8D">
            <w:pPr>
              <w:ind w:firstLine="851"/>
              <w:jc w:val="both"/>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lang w:val="en-US"/>
              </w:rPr>
              <w:t>&lt;</w:t>
            </w:r>
            <w:r w:rsidRPr="00587E8D">
              <w:rPr>
                <w:szCs w:val="28"/>
                <w:lang w:val="ru-RU"/>
              </w:rPr>
              <w: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Рівні лейкоцитів сироватки крові та ШОЕ вірогідно відрізнялися у групах хворих на ГІМ. Вираженість лейкоцитозу була на 45,64% та 44,61% вища у групі пацієнтів з ожирінням та без нього відповідно, порівняно з контрольною групою. Також було визначено достовірне підвищення ШОЕ у хворих, що мали ГІМ на тлі ІМТ ≥30 кг/м</w:t>
      </w:r>
      <w:r w:rsidRPr="00587E8D">
        <w:rPr>
          <w:szCs w:val="28"/>
          <w:vertAlign w:val="superscript"/>
        </w:rPr>
        <w:t>2</w:t>
      </w:r>
      <w:r w:rsidRPr="00587E8D">
        <w:rPr>
          <w:szCs w:val="28"/>
        </w:rPr>
        <w:t xml:space="preserve"> на 48,8% та у хворих на ГІМ без супутнього ожиріння на 46,2% у порівнянні з контрольною групою. Рівень креатиніну сироватки крові вірогідно не відрізнявся у хворих на ГІМ з ожирінням та без ожиріння. Порівняння рівня </w:t>
      </w:r>
      <w:r w:rsidRPr="00587E8D">
        <w:rPr>
          <w:szCs w:val="28"/>
        </w:rPr>
        <w:lastRenderedPageBreak/>
        <w:t>лейкоцитів та ШОЕ у хворих на ГІМ з супутнім ожирінням не виявило достовірних різниць з рівнем даних параметрів у хворих без ожиріння. Співставлення концентрації креатиніну у хворих на ГІМ з ожирінням та групою контролю визначило тенденцію до зростання, що не досягала рівня вірогідності. Змін за рівнем креатиніну при порівняні хворих на ГІМ без ожиріння та контрольної групи знайдено не було. Отримані дані представлені у  таблиці 3.1.</w:t>
      </w:r>
    </w:p>
    <w:p w:rsidR="00587E8D" w:rsidRPr="00587E8D" w:rsidRDefault="00587E8D" w:rsidP="00587E8D">
      <w:pPr>
        <w:spacing w:after="0" w:line="360" w:lineRule="auto"/>
        <w:ind w:firstLine="851"/>
        <w:jc w:val="both"/>
        <w:rPr>
          <w:szCs w:val="28"/>
        </w:rPr>
      </w:pPr>
      <w:r w:rsidRPr="00587E8D">
        <w:rPr>
          <w:szCs w:val="28"/>
        </w:rPr>
        <w:t xml:space="preserve">Наявність ГІМ супроводжується зростанням концентрації вітронектину, що може бути обумовлено його властивостями як маркеру гострої фази запалення. Отримані результати не суперечать даним світової медичної літератури. Так згідно </w:t>
      </w:r>
      <w:r w:rsidRPr="00587E8D">
        <w:rPr>
          <w:szCs w:val="28"/>
          <w:lang w:val="ru-RU"/>
        </w:rPr>
        <w:t>De</w:t>
      </w:r>
      <w:r w:rsidRPr="00587E8D">
        <w:rPr>
          <w:szCs w:val="28"/>
        </w:rPr>
        <w:t xml:space="preserve"> </w:t>
      </w:r>
      <w:r w:rsidRPr="00587E8D">
        <w:rPr>
          <w:szCs w:val="28"/>
          <w:lang w:val="ru-RU"/>
        </w:rPr>
        <w:t>Lorenzi</w:t>
      </w:r>
      <w:r w:rsidRPr="00587E8D">
        <w:rPr>
          <w:szCs w:val="28"/>
        </w:rPr>
        <w:t xml:space="preserve"> та співав., вітронектин володіє здатністю впливати на агрегацію та адгезію тромбоцитів [121]. Також він виявляє протективні властивості щодо тромбіна та фактора Х шляхом нейтралізації активності антитромбіну </w:t>
      </w:r>
      <w:r w:rsidRPr="00587E8D">
        <w:rPr>
          <w:szCs w:val="28"/>
          <w:lang w:val="en-US"/>
        </w:rPr>
        <w:t>III</w:t>
      </w:r>
      <w:r w:rsidRPr="00587E8D">
        <w:rPr>
          <w:szCs w:val="28"/>
        </w:rPr>
        <w:t xml:space="preserve"> [122] Крім того, вітронектин здатен інгібувати індуковану фібриногеном активацію плазміногену внаслідок зростання ефектів </w:t>
      </w:r>
      <w:r w:rsidRPr="00587E8D">
        <w:rPr>
          <w:szCs w:val="28"/>
          <w:lang w:val="en-US"/>
        </w:rPr>
        <w:t>PAI</w:t>
      </w:r>
      <w:r w:rsidRPr="00587E8D">
        <w:rPr>
          <w:szCs w:val="28"/>
        </w:rPr>
        <w:t>-1 [123].</w:t>
      </w:r>
    </w:p>
    <w:p w:rsidR="00587E8D" w:rsidRPr="00587E8D" w:rsidRDefault="00587E8D" w:rsidP="00587E8D">
      <w:pPr>
        <w:spacing w:after="0" w:line="360" w:lineRule="auto"/>
        <w:ind w:firstLine="851"/>
        <w:jc w:val="both"/>
        <w:rPr>
          <w:szCs w:val="28"/>
        </w:rPr>
      </w:pPr>
      <w:r w:rsidRPr="00587E8D">
        <w:rPr>
          <w:szCs w:val="28"/>
        </w:rPr>
        <w:t>Таким чином, г</w:t>
      </w:r>
      <w:r w:rsidRPr="00587E8D">
        <w:rPr>
          <w:szCs w:val="28"/>
          <w:lang w:val="ru-RU"/>
        </w:rPr>
        <w:t xml:space="preserve">острий </w:t>
      </w:r>
      <w:r w:rsidRPr="00587E8D">
        <w:rPr>
          <w:szCs w:val="28"/>
        </w:rPr>
        <w:t>інфаркт міокарда</w:t>
      </w:r>
      <w:r w:rsidRPr="00587E8D">
        <w:rPr>
          <w:szCs w:val="28"/>
          <w:lang w:val="ru-RU"/>
        </w:rPr>
        <w:t xml:space="preserve"> за наявност</w:t>
      </w:r>
      <w:r w:rsidRPr="00587E8D">
        <w:rPr>
          <w:szCs w:val="28"/>
        </w:rPr>
        <w:t>і</w:t>
      </w:r>
      <w:r w:rsidRPr="00587E8D">
        <w:rPr>
          <w:szCs w:val="28"/>
          <w:lang w:val="ru-RU"/>
        </w:rPr>
        <w:t xml:space="preserve"> </w:t>
      </w:r>
      <w:r w:rsidRPr="00587E8D">
        <w:rPr>
          <w:szCs w:val="28"/>
        </w:rPr>
        <w:t xml:space="preserve">або відсутності ожиріння характеризується гіпервітронектинемією у порівнянні з контрольною групою, представленою практично здоровими особами. Присутність коморбідного ожиріння при гострому інфаркті міокарда супроводжується значним зростанням активності вітронектину плазми крові, порівняно з хворими без ожиріння, що свідчить про залучення жирової тканини до регуляції адгезивних властивостей формених елементів крові. </w:t>
      </w:r>
    </w:p>
    <w:p w:rsidR="00587E8D" w:rsidRPr="00587E8D" w:rsidRDefault="00587E8D" w:rsidP="00587E8D">
      <w:pPr>
        <w:spacing w:after="0" w:line="360" w:lineRule="auto"/>
        <w:ind w:firstLine="851"/>
        <w:jc w:val="both"/>
        <w:rPr>
          <w:szCs w:val="28"/>
        </w:rPr>
      </w:pPr>
      <w:r w:rsidRPr="00587E8D">
        <w:rPr>
          <w:szCs w:val="28"/>
        </w:rPr>
        <w:t>Рівень ІМТ, ОТ та ОТ/ОС були вірогідно вище у хворих з коморбідним перебігом ГІМ та ожиріння при порівнянні як з групою контролю, так і з хворими на ізольований ГІМ. Зіставлення рівнів антропометричних параметрів у хворих на ізольований ГІМ та групою контролю відмінностей не виявив (р&gt;0,05). Дані наведено у таблиці 3.2.</w:t>
      </w:r>
    </w:p>
    <w:p w:rsidR="00E03CCB" w:rsidRPr="00F407BB" w:rsidRDefault="00587E8D" w:rsidP="00E03CCB">
      <w:pPr>
        <w:spacing w:after="0" w:line="360" w:lineRule="auto"/>
        <w:ind w:left="7655"/>
        <w:jc w:val="both"/>
        <w:rPr>
          <w:szCs w:val="28"/>
          <w:lang w:val="ru-RU"/>
        </w:rPr>
      </w:pPr>
      <w:r w:rsidRPr="00587E8D">
        <w:rPr>
          <w:szCs w:val="28"/>
        </w:rPr>
        <w:t xml:space="preserve"> </w:t>
      </w:r>
    </w:p>
    <w:p w:rsidR="00E03CCB" w:rsidRPr="00F407BB" w:rsidRDefault="00E03CCB" w:rsidP="00E03CCB">
      <w:pPr>
        <w:spacing w:after="0" w:line="360" w:lineRule="auto"/>
        <w:ind w:left="7655"/>
        <w:jc w:val="both"/>
        <w:rPr>
          <w:szCs w:val="28"/>
          <w:lang w:val="ru-RU"/>
        </w:rPr>
      </w:pPr>
    </w:p>
    <w:p w:rsidR="00E03CCB" w:rsidRPr="00F407BB" w:rsidRDefault="00E03CCB" w:rsidP="00E03CCB">
      <w:pPr>
        <w:spacing w:after="0" w:line="360" w:lineRule="auto"/>
        <w:ind w:left="7655"/>
        <w:jc w:val="both"/>
        <w:rPr>
          <w:szCs w:val="28"/>
          <w:lang w:val="ru-RU"/>
        </w:rPr>
      </w:pPr>
    </w:p>
    <w:p w:rsidR="00587E8D" w:rsidRPr="00587E8D" w:rsidRDefault="00587E8D" w:rsidP="00E03CCB">
      <w:pPr>
        <w:spacing w:after="0" w:line="360" w:lineRule="auto"/>
        <w:ind w:left="7655"/>
        <w:jc w:val="both"/>
        <w:rPr>
          <w:i/>
          <w:szCs w:val="28"/>
        </w:rPr>
      </w:pPr>
      <w:r w:rsidRPr="00587E8D">
        <w:rPr>
          <w:i/>
          <w:szCs w:val="28"/>
        </w:rPr>
        <w:lastRenderedPageBreak/>
        <w:t>Таблиця 3.2</w:t>
      </w:r>
    </w:p>
    <w:p w:rsidR="00587E8D" w:rsidRPr="00587E8D" w:rsidRDefault="00587E8D" w:rsidP="000931A5">
      <w:pPr>
        <w:spacing w:after="0" w:line="360" w:lineRule="auto"/>
        <w:ind w:firstLine="851"/>
        <w:jc w:val="center"/>
        <w:rPr>
          <w:szCs w:val="28"/>
        </w:rPr>
      </w:pPr>
      <w:r w:rsidRPr="00587E8D">
        <w:rPr>
          <w:szCs w:val="28"/>
        </w:rPr>
        <w:t>Аналіз антропометричних показників у хворих за наявності або відсутності супутнього ожиріння.</w:t>
      </w:r>
    </w:p>
    <w:tbl>
      <w:tblPr>
        <w:tblStyle w:val="ab"/>
        <w:tblW w:w="0" w:type="auto"/>
        <w:tblLook w:val="04A0" w:firstRow="1" w:lastRow="0" w:firstColumn="1" w:lastColumn="0" w:noHBand="0" w:noVBand="1"/>
      </w:tblPr>
      <w:tblGrid>
        <w:gridCol w:w="2338"/>
        <w:gridCol w:w="2373"/>
        <w:gridCol w:w="2346"/>
        <w:gridCol w:w="3058"/>
      </w:tblGrid>
      <w:tr w:rsidR="00587E8D" w:rsidRPr="00587E8D" w:rsidTr="000931A5">
        <w:tc>
          <w:tcPr>
            <w:tcW w:w="2392" w:type="dxa"/>
            <w:vMerge w:val="restart"/>
          </w:tcPr>
          <w:p w:rsidR="00587E8D" w:rsidRPr="00587E8D" w:rsidRDefault="00587E8D" w:rsidP="00E03CCB">
            <w:pPr>
              <w:spacing w:line="276" w:lineRule="auto"/>
              <w:ind w:firstLine="851"/>
              <w:jc w:val="center"/>
              <w:rPr>
                <w:szCs w:val="28"/>
              </w:rPr>
            </w:pPr>
          </w:p>
          <w:p w:rsidR="00587E8D" w:rsidRPr="00587E8D" w:rsidRDefault="00587E8D" w:rsidP="00E03CCB">
            <w:pPr>
              <w:spacing w:line="276" w:lineRule="auto"/>
              <w:jc w:val="center"/>
              <w:rPr>
                <w:szCs w:val="28"/>
              </w:rPr>
            </w:pPr>
            <w:r w:rsidRPr="00587E8D">
              <w:rPr>
                <w:szCs w:val="28"/>
              </w:rPr>
              <w:t>Показник</w:t>
            </w:r>
          </w:p>
          <w:p w:rsidR="00587E8D" w:rsidRPr="00587E8D" w:rsidRDefault="00587E8D" w:rsidP="00E03CCB">
            <w:pPr>
              <w:spacing w:line="276" w:lineRule="auto"/>
              <w:ind w:firstLine="851"/>
              <w:jc w:val="center"/>
              <w:rPr>
                <w:szCs w:val="28"/>
              </w:rPr>
            </w:pPr>
          </w:p>
        </w:tc>
        <w:tc>
          <w:tcPr>
            <w:tcW w:w="4786" w:type="dxa"/>
            <w:gridSpan w:val="2"/>
          </w:tcPr>
          <w:p w:rsidR="00587E8D" w:rsidRPr="00587E8D" w:rsidRDefault="00587E8D" w:rsidP="00E03CCB">
            <w:pPr>
              <w:spacing w:line="276" w:lineRule="auto"/>
              <w:jc w:val="center"/>
              <w:rPr>
                <w:szCs w:val="28"/>
              </w:rPr>
            </w:pPr>
            <w:r w:rsidRPr="00587E8D">
              <w:rPr>
                <w:szCs w:val="28"/>
              </w:rPr>
              <w:t>ГІМ</w:t>
            </w:r>
          </w:p>
        </w:tc>
        <w:tc>
          <w:tcPr>
            <w:tcW w:w="3136" w:type="dxa"/>
            <w:vMerge w:val="restart"/>
          </w:tcPr>
          <w:p w:rsidR="00587E8D" w:rsidRPr="00587E8D" w:rsidRDefault="00587E8D" w:rsidP="00E03CCB">
            <w:pPr>
              <w:spacing w:line="276" w:lineRule="auto"/>
              <w:ind w:firstLine="851"/>
              <w:jc w:val="center"/>
              <w:rPr>
                <w:szCs w:val="28"/>
              </w:rPr>
            </w:pPr>
          </w:p>
          <w:p w:rsidR="00587E8D" w:rsidRPr="00587E8D" w:rsidRDefault="00587E8D" w:rsidP="00E03CCB">
            <w:pPr>
              <w:spacing w:line="276" w:lineRule="auto"/>
              <w:jc w:val="center"/>
              <w:rPr>
                <w:szCs w:val="28"/>
              </w:rPr>
            </w:pPr>
            <w:r w:rsidRPr="00587E8D">
              <w:rPr>
                <w:szCs w:val="28"/>
              </w:rPr>
              <w:t>Контрольна група</w:t>
            </w:r>
          </w:p>
          <w:p w:rsidR="00587E8D" w:rsidRPr="00587E8D" w:rsidRDefault="00587E8D" w:rsidP="00E03CCB">
            <w:pPr>
              <w:spacing w:line="276" w:lineRule="auto"/>
              <w:ind w:firstLine="851"/>
              <w:jc w:val="center"/>
              <w:rPr>
                <w:szCs w:val="28"/>
              </w:rPr>
            </w:pPr>
            <w:r w:rsidRPr="00587E8D">
              <w:rPr>
                <w:szCs w:val="28"/>
                <w:lang w:val="ru-RU"/>
              </w:rPr>
              <w:t>(n=</w:t>
            </w:r>
            <w:r w:rsidRPr="00587E8D">
              <w:rPr>
                <w:szCs w:val="28"/>
              </w:rPr>
              <w:t>15</w:t>
            </w:r>
            <w:r w:rsidRPr="00587E8D">
              <w:rPr>
                <w:szCs w:val="28"/>
                <w:lang w:val="ru-RU"/>
              </w:rPr>
              <w:t>)</w:t>
            </w:r>
          </w:p>
        </w:tc>
      </w:tr>
      <w:tr w:rsidR="00587E8D" w:rsidRPr="00587E8D" w:rsidTr="000931A5">
        <w:tc>
          <w:tcPr>
            <w:tcW w:w="2392" w:type="dxa"/>
            <w:vMerge/>
          </w:tcPr>
          <w:p w:rsidR="00587E8D" w:rsidRPr="00587E8D" w:rsidRDefault="00587E8D" w:rsidP="00E03CCB">
            <w:pPr>
              <w:spacing w:line="276" w:lineRule="auto"/>
              <w:ind w:firstLine="851"/>
              <w:jc w:val="center"/>
              <w:rPr>
                <w:szCs w:val="28"/>
              </w:rPr>
            </w:pPr>
          </w:p>
        </w:tc>
        <w:tc>
          <w:tcPr>
            <w:tcW w:w="2393" w:type="dxa"/>
          </w:tcPr>
          <w:p w:rsidR="00587E8D" w:rsidRPr="00587E8D" w:rsidRDefault="00587E8D" w:rsidP="00E03CCB">
            <w:pPr>
              <w:spacing w:line="276" w:lineRule="auto"/>
              <w:jc w:val="center"/>
              <w:rPr>
                <w:szCs w:val="28"/>
                <w:lang w:val="ru-RU"/>
              </w:rPr>
            </w:pPr>
            <w:r w:rsidRPr="00587E8D">
              <w:rPr>
                <w:szCs w:val="28"/>
                <w:lang w:val="ru-RU"/>
              </w:rPr>
              <w:t>ГІМ+ожиріння (n=</w:t>
            </w:r>
            <w:r w:rsidRPr="00587E8D">
              <w:rPr>
                <w:szCs w:val="28"/>
              </w:rPr>
              <w:t>43</w:t>
            </w:r>
            <w:r w:rsidRPr="00587E8D">
              <w:rPr>
                <w:szCs w:val="28"/>
                <w:lang w:val="ru-RU"/>
              </w:rPr>
              <w:t>)</w:t>
            </w:r>
          </w:p>
        </w:tc>
        <w:tc>
          <w:tcPr>
            <w:tcW w:w="2393" w:type="dxa"/>
          </w:tcPr>
          <w:p w:rsidR="00587E8D" w:rsidRPr="00587E8D" w:rsidRDefault="00587E8D" w:rsidP="00E03CCB">
            <w:pPr>
              <w:spacing w:line="276" w:lineRule="auto"/>
              <w:jc w:val="center"/>
              <w:rPr>
                <w:szCs w:val="28"/>
                <w:lang w:val="ru-RU"/>
              </w:rPr>
            </w:pPr>
            <w:r w:rsidRPr="00587E8D">
              <w:rPr>
                <w:szCs w:val="28"/>
                <w:lang w:val="ru-RU"/>
              </w:rPr>
              <w:t>ГІМ без ожиріння (n=2</w:t>
            </w:r>
            <w:r w:rsidRPr="00587E8D">
              <w:rPr>
                <w:szCs w:val="28"/>
              </w:rPr>
              <w:t>3</w:t>
            </w:r>
            <w:r w:rsidRPr="00587E8D">
              <w:rPr>
                <w:szCs w:val="28"/>
                <w:lang w:val="ru-RU"/>
              </w:rPr>
              <w:t>)</w:t>
            </w:r>
          </w:p>
        </w:tc>
        <w:tc>
          <w:tcPr>
            <w:tcW w:w="3136" w:type="dxa"/>
            <w:vMerge/>
          </w:tcPr>
          <w:p w:rsidR="00587E8D" w:rsidRPr="00587E8D" w:rsidRDefault="00587E8D" w:rsidP="00E03CCB">
            <w:pPr>
              <w:spacing w:line="276" w:lineRule="auto"/>
              <w:ind w:firstLine="851"/>
              <w:jc w:val="center"/>
              <w:rPr>
                <w:szCs w:val="28"/>
              </w:rPr>
            </w:pPr>
          </w:p>
        </w:tc>
      </w:tr>
      <w:tr w:rsidR="00587E8D" w:rsidRPr="00587E8D" w:rsidTr="000931A5">
        <w:tc>
          <w:tcPr>
            <w:tcW w:w="2392" w:type="dxa"/>
          </w:tcPr>
          <w:p w:rsidR="00587E8D" w:rsidRPr="00587E8D" w:rsidRDefault="00587E8D" w:rsidP="00E03CCB">
            <w:pPr>
              <w:spacing w:line="276" w:lineRule="auto"/>
              <w:jc w:val="center"/>
              <w:rPr>
                <w:szCs w:val="28"/>
              </w:rPr>
            </w:pPr>
            <w:r w:rsidRPr="00587E8D">
              <w:rPr>
                <w:szCs w:val="28"/>
              </w:rPr>
              <w:t>ІМТ, кг/м</w:t>
            </w:r>
            <w:r w:rsidRPr="00587E8D">
              <w:rPr>
                <w:szCs w:val="28"/>
                <w:vertAlign w:val="superscript"/>
              </w:rPr>
              <w:t>2</w:t>
            </w:r>
          </w:p>
        </w:tc>
        <w:tc>
          <w:tcPr>
            <w:tcW w:w="2393" w:type="dxa"/>
          </w:tcPr>
          <w:p w:rsidR="00587E8D" w:rsidRPr="00587E8D" w:rsidRDefault="00587E8D" w:rsidP="00E03CCB">
            <w:pPr>
              <w:spacing w:line="276" w:lineRule="auto"/>
              <w:jc w:val="center"/>
              <w:rPr>
                <w:szCs w:val="28"/>
              </w:rPr>
            </w:pPr>
            <w:r w:rsidRPr="00587E8D">
              <w:rPr>
                <w:szCs w:val="28"/>
              </w:rPr>
              <w:t>35,47 ±0,62</w:t>
            </w:r>
          </w:p>
        </w:tc>
        <w:tc>
          <w:tcPr>
            <w:tcW w:w="2393" w:type="dxa"/>
          </w:tcPr>
          <w:p w:rsidR="00587E8D" w:rsidRPr="00587E8D" w:rsidRDefault="00587E8D" w:rsidP="00E03CCB">
            <w:pPr>
              <w:spacing w:line="276" w:lineRule="auto"/>
              <w:jc w:val="center"/>
              <w:rPr>
                <w:szCs w:val="28"/>
              </w:rPr>
            </w:pPr>
            <w:r w:rsidRPr="00587E8D">
              <w:rPr>
                <w:szCs w:val="28"/>
              </w:rPr>
              <w:t>22,86±0,41</w:t>
            </w:r>
          </w:p>
        </w:tc>
        <w:tc>
          <w:tcPr>
            <w:tcW w:w="3136" w:type="dxa"/>
          </w:tcPr>
          <w:p w:rsidR="00587E8D" w:rsidRPr="00587E8D" w:rsidRDefault="00587E8D" w:rsidP="00E03CCB">
            <w:pPr>
              <w:spacing w:line="276" w:lineRule="auto"/>
              <w:jc w:val="center"/>
              <w:rPr>
                <w:szCs w:val="28"/>
              </w:rPr>
            </w:pPr>
            <w:r w:rsidRPr="00587E8D">
              <w:rPr>
                <w:szCs w:val="28"/>
              </w:rPr>
              <w:t>22,61±0,56</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r w:rsidR="00587E8D" w:rsidRPr="00587E8D" w:rsidTr="000931A5">
        <w:tc>
          <w:tcPr>
            <w:tcW w:w="2392" w:type="dxa"/>
          </w:tcPr>
          <w:p w:rsidR="00587E8D" w:rsidRPr="00587E8D" w:rsidRDefault="00587E8D" w:rsidP="00E03CCB">
            <w:pPr>
              <w:spacing w:line="276" w:lineRule="auto"/>
              <w:jc w:val="center"/>
              <w:rPr>
                <w:szCs w:val="28"/>
              </w:rPr>
            </w:pPr>
            <w:r w:rsidRPr="00587E8D">
              <w:rPr>
                <w:szCs w:val="28"/>
              </w:rPr>
              <w:t>ОТ, см</w:t>
            </w:r>
          </w:p>
        </w:tc>
        <w:tc>
          <w:tcPr>
            <w:tcW w:w="2393" w:type="dxa"/>
          </w:tcPr>
          <w:p w:rsidR="00587E8D" w:rsidRPr="00587E8D" w:rsidRDefault="00587E8D" w:rsidP="00E03CCB">
            <w:pPr>
              <w:spacing w:line="276" w:lineRule="auto"/>
              <w:jc w:val="center"/>
              <w:rPr>
                <w:szCs w:val="28"/>
              </w:rPr>
            </w:pPr>
            <w:r w:rsidRPr="00587E8D">
              <w:rPr>
                <w:szCs w:val="28"/>
                <w:lang w:val="ru-RU"/>
              </w:rPr>
              <w:t>1</w:t>
            </w:r>
            <w:r w:rsidRPr="00587E8D">
              <w:rPr>
                <w:szCs w:val="28"/>
              </w:rPr>
              <w:t>12,3</w:t>
            </w:r>
            <w:r w:rsidRPr="00587E8D">
              <w:rPr>
                <w:szCs w:val="28"/>
                <w:lang w:val="ru-RU"/>
              </w:rPr>
              <w:t xml:space="preserve"> ± 1,45</w:t>
            </w:r>
          </w:p>
        </w:tc>
        <w:tc>
          <w:tcPr>
            <w:tcW w:w="2393" w:type="dxa"/>
          </w:tcPr>
          <w:p w:rsidR="00587E8D" w:rsidRPr="00587E8D" w:rsidRDefault="00587E8D" w:rsidP="00E03CCB">
            <w:pPr>
              <w:spacing w:line="276" w:lineRule="auto"/>
              <w:jc w:val="center"/>
              <w:rPr>
                <w:szCs w:val="28"/>
              </w:rPr>
            </w:pPr>
            <w:r w:rsidRPr="00587E8D">
              <w:rPr>
                <w:szCs w:val="28"/>
              </w:rPr>
              <w:t xml:space="preserve">88,6 </w:t>
            </w:r>
            <w:r w:rsidRPr="00587E8D">
              <w:rPr>
                <w:szCs w:val="28"/>
                <w:lang w:val="ru-RU"/>
              </w:rPr>
              <w:t>±</w:t>
            </w:r>
            <w:r w:rsidRPr="00587E8D">
              <w:rPr>
                <w:szCs w:val="28"/>
              </w:rPr>
              <w:t xml:space="preserve"> </w:t>
            </w:r>
            <w:r w:rsidRPr="00587E8D">
              <w:rPr>
                <w:szCs w:val="28"/>
                <w:lang w:val="ru-RU"/>
              </w:rPr>
              <w:t>1,37</w:t>
            </w:r>
          </w:p>
        </w:tc>
        <w:tc>
          <w:tcPr>
            <w:tcW w:w="3136" w:type="dxa"/>
          </w:tcPr>
          <w:p w:rsidR="00587E8D" w:rsidRPr="00587E8D" w:rsidRDefault="00587E8D" w:rsidP="00E03CCB">
            <w:pPr>
              <w:spacing w:line="276" w:lineRule="auto"/>
              <w:jc w:val="center"/>
              <w:rPr>
                <w:szCs w:val="28"/>
              </w:rPr>
            </w:pPr>
            <w:r w:rsidRPr="00587E8D">
              <w:rPr>
                <w:szCs w:val="28"/>
              </w:rPr>
              <w:t xml:space="preserve">87,7 </w:t>
            </w:r>
            <w:r w:rsidRPr="00587E8D">
              <w:rPr>
                <w:szCs w:val="28"/>
                <w:lang w:val="ru-RU"/>
              </w:rPr>
              <w:t>±</w:t>
            </w:r>
            <w:r w:rsidRPr="00587E8D">
              <w:rPr>
                <w:szCs w:val="28"/>
              </w:rPr>
              <w:t xml:space="preserve"> </w:t>
            </w:r>
            <w:r w:rsidRPr="00587E8D">
              <w:rPr>
                <w:szCs w:val="28"/>
                <w:lang w:val="ru-RU"/>
              </w:rPr>
              <w:t>1,</w:t>
            </w:r>
            <w:r w:rsidRPr="00587E8D">
              <w:rPr>
                <w:szCs w:val="28"/>
              </w:rPr>
              <w:t>51</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r w:rsidR="00587E8D" w:rsidRPr="00587E8D" w:rsidTr="000931A5">
        <w:tc>
          <w:tcPr>
            <w:tcW w:w="2392" w:type="dxa"/>
          </w:tcPr>
          <w:p w:rsidR="00587E8D" w:rsidRPr="00587E8D" w:rsidRDefault="00587E8D" w:rsidP="00E03CCB">
            <w:pPr>
              <w:spacing w:line="276" w:lineRule="auto"/>
              <w:jc w:val="center"/>
              <w:rPr>
                <w:szCs w:val="28"/>
              </w:rPr>
            </w:pPr>
            <w:r w:rsidRPr="00587E8D">
              <w:rPr>
                <w:szCs w:val="28"/>
                <w:lang w:val="ru-RU"/>
              </w:rPr>
              <w:t>ОТ/ОС</w:t>
            </w:r>
            <w:r w:rsidRPr="00587E8D">
              <w:rPr>
                <w:szCs w:val="28"/>
              </w:rPr>
              <w:t>, см</w:t>
            </w:r>
          </w:p>
        </w:tc>
        <w:tc>
          <w:tcPr>
            <w:tcW w:w="2393" w:type="dxa"/>
          </w:tcPr>
          <w:p w:rsidR="00587E8D" w:rsidRPr="00587E8D" w:rsidRDefault="00587E8D" w:rsidP="00E03CCB">
            <w:pPr>
              <w:spacing w:line="276" w:lineRule="auto"/>
              <w:jc w:val="center"/>
              <w:rPr>
                <w:szCs w:val="28"/>
              </w:rPr>
            </w:pPr>
            <w:r w:rsidRPr="00587E8D">
              <w:rPr>
                <w:szCs w:val="28"/>
                <w:lang w:val="ru-RU"/>
              </w:rPr>
              <w:t>0,96 ± 0,08</w:t>
            </w:r>
          </w:p>
        </w:tc>
        <w:tc>
          <w:tcPr>
            <w:tcW w:w="2393" w:type="dxa"/>
          </w:tcPr>
          <w:p w:rsidR="00587E8D" w:rsidRPr="00587E8D" w:rsidRDefault="00587E8D" w:rsidP="00E03CCB">
            <w:pPr>
              <w:spacing w:line="276" w:lineRule="auto"/>
              <w:jc w:val="center"/>
              <w:rPr>
                <w:szCs w:val="28"/>
              </w:rPr>
            </w:pPr>
            <w:r w:rsidRPr="00587E8D">
              <w:rPr>
                <w:szCs w:val="28"/>
                <w:lang w:val="ru-RU"/>
              </w:rPr>
              <w:t>0,84 ± 0,03</w:t>
            </w:r>
          </w:p>
        </w:tc>
        <w:tc>
          <w:tcPr>
            <w:tcW w:w="3136" w:type="dxa"/>
          </w:tcPr>
          <w:p w:rsidR="00587E8D" w:rsidRPr="00587E8D" w:rsidRDefault="00587E8D" w:rsidP="00E03CCB">
            <w:pPr>
              <w:spacing w:line="276" w:lineRule="auto"/>
              <w:jc w:val="center"/>
              <w:rPr>
                <w:szCs w:val="28"/>
              </w:rPr>
            </w:pPr>
            <w:r w:rsidRPr="00587E8D">
              <w:rPr>
                <w:szCs w:val="28"/>
              </w:rPr>
              <w:t>0,83</w:t>
            </w:r>
            <w:r w:rsidRPr="00587E8D">
              <w:rPr>
                <w:szCs w:val="28"/>
                <w:lang w:val="ru-RU"/>
              </w:rPr>
              <w:t>±</w:t>
            </w:r>
            <w:r w:rsidRPr="00587E8D">
              <w:rPr>
                <w:szCs w:val="28"/>
              </w:rPr>
              <w:t>0,04</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bl>
    <w:p w:rsidR="00587E8D" w:rsidRPr="00587E8D" w:rsidRDefault="00587E8D" w:rsidP="00587E8D">
      <w:pPr>
        <w:spacing w:after="0" w:line="360" w:lineRule="auto"/>
        <w:ind w:firstLine="851"/>
        <w:jc w:val="both"/>
        <w:rPr>
          <w:szCs w:val="28"/>
        </w:rPr>
      </w:pPr>
    </w:p>
    <w:p w:rsidR="00587E8D" w:rsidRDefault="00587E8D" w:rsidP="00587E8D">
      <w:pPr>
        <w:spacing w:after="0" w:line="360" w:lineRule="auto"/>
        <w:ind w:firstLine="851"/>
        <w:jc w:val="both"/>
        <w:rPr>
          <w:szCs w:val="28"/>
        </w:rPr>
      </w:pPr>
      <w:r w:rsidRPr="00587E8D">
        <w:rPr>
          <w:szCs w:val="28"/>
        </w:rPr>
        <w:t xml:space="preserve">Дослідження параметрів ліпідного профілю у хворих на ГІМ та ожиріння та хворих на ГІМ без ожиріння показано у таблиці 3.3. Аналіз показників ліпідного профілю характеризувався підвищенням рівня ЗХС (6,03±0,05 ммоль/л у порівнянні з 5,35±0,04 ммоль/л), ТГ (1,46±0,06 ммоль/л у порівнянні з 0,59±0,02 ммоль/л), ЛПНЩ (4,15±0,05 ммоль/л у порівнянні з 3,02±0,05 ммоль/л), ЛПДНЩ (0,66±0,03 ммоль/л у порівнянні з 0,44±0,01 ммоль/л) та КА (4,15±0,07 у порівнянні з 3,33±0,03) у хворих на ГІМ із супутнім ожирінням у порівнянні з хворими на ГІМ без ожиріння (р&lt;0,05). Щодо ЛПВЩ відзначалася зворотна динаміка: цей показник знижувався у пацієнтів з надлишковою вагою тіла у порівнянні з групою зіставлення (1,21±0,02 ммоль/л та 1,24±0,01 ммоль/л відповідно, р&lt;0,05). </w:t>
      </w:r>
    </w:p>
    <w:p w:rsidR="00E03CCB" w:rsidRPr="00F407BB" w:rsidRDefault="00E03CCB" w:rsidP="00E03CCB">
      <w:pPr>
        <w:spacing w:after="0" w:line="360" w:lineRule="auto"/>
        <w:ind w:left="7789"/>
        <w:jc w:val="both"/>
        <w:rPr>
          <w:i/>
          <w:szCs w:val="28"/>
        </w:rPr>
      </w:pPr>
    </w:p>
    <w:p w:rsidR="00E03CCB" w:rsidRPr="00F407BB" w:rsidRDefault="00E03CCB" w:rsidP="00E03CCB">
      <w:pPr>
        <w:spacing w:after="0" w:line="360" w:lineRule="auto"/>
        <w:ind w:left="7789"/>
        <w:jc w:val="both"/>
        <w:rPr>
          <w:i/>
          <w:szCs w:val="28"/>
        </w:rPr>
      </w:pPr>
    </w:p>
    <w:p w:rsidR="00E03CCB" w:rsidRPr="00F407BB" w:rsidRDefault="00E03CCB" w:rsidP="00E03CCB">
      <w:pPr>
        <w:spacing w:after="0" w:line="360" w:lineRule="auto"/>
        <w:ind w:left="7789"/>
        <w:jc w:val="both"/>
        <w:rPr>
          <w:i/>
          <w:szCs w:val="28"/>
        </w:rPr>
      </w:pPr>
    </w:p>
    <w:p w:rsidR="00587E8D" w:rsidRPr="00587E8D" w:rsidRDefault="00587E8D" w:rsidP="00E03CCB">
      <w:pPr>
        <w:spacing w:after="0" w:line="360" w:lineRule="auto"/>
        <w:ind w:left="7789"/>
        <w:jc w:val="both"/>
        <w:rPr>
          <w:i/>
          <w:szCs w:val="28"/>
        </w:rPr>
      </w:pPr>
      <w:r w:rsidRPr="00587E8D">
        <w:rPr>
          <w:i/>
          <w:szCs w:val="28"/>
        </w:rPr>
        <w:lastRenderedPageBreak/>
        <w:t>Таблиця 3.3</w:t>
      </w:r>
    </w:p>
    <w:p w:rsidR="00587E8D" w:rsidRPr="00587E8D" w:rsidRDefault="00587E8D" w:rsidP="000931A5">
      <w:pPr>
        <w:spacing w:after="0" w:line="360" w:lineRule="auto"/>
        <w:ind w:firstLine="851"/>
        <w:jc w:val="center"/>
        <w:rPr>
          <w:szCs w:val="28"/>
        </w:rPr>
      </w:pPr>
      <w:r w:rsidRPr="00587E8D">
        <w:rPr>
          <w:szCs w:val="28"/>
        </w:rPr>
        <w:t>Параметри ліпідного профілю у хворих на гострий інфаркт міокарда за наявності або відсутності ожиріння</w:t>
      </w:r>
    </w:p>
    <w:tbl>
      <w:tblPr>
        <w:tblStyle w:val="ab"/>
        <w:tblW w:w="0" w:type="auto"/>
        <w:tblLook w:val="04A0" w:firstRow="1" w:lastRow="0" w:firstColumn="1" w:lastColumn="0" w:noHBand="0" w:noVBand="1"/>
      </w:tblPr>
      <w:tblGrid>
        <w:gridCol w:w="2355"/>
        <w:gridCol w:w="2627"/>
        <w:gridCol w:w="2505"/>
        <w:gridCol w:w="2628"/>
      </w:tblGrid>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Показник, од.виміру</w:t>
            </w:r>
          </w:p>
        </w:tc>
        <w:tc>
          <w:tcPr>
            <w:tcW w:w="2678" w:type="dxa"/>
          </w:tcPr>
          <w:p w:rsidR="00587E8D" w:rsidRPr="00587E8D" w:rsidRDefault="00587E8D" w:rsidP="000931A5">
            <w:pPr>
              <w:spacing w:line="360" w:lineRule="auto"/>
              <w:jc w:val="both"/>
              <w:rPr>
                <w:szCs w:val="28"/>
              </w:rPr>
            </w:pPr>
            <w:r w:rsidRPr="00587E8D">
              <w:rPr>
                <w:szCs w:val="28"/>
              </w:rPr>
              <w:t>Хворі на ГІМ та ожиріння (</w:t>
            </w:r>
            <w:r w:rsidRPr="00587E8D">
              <w:rPr>
                <w:szCs w:val="28"/>
                <w:lang w:val="en-US"/>
              </w:rPr>
              <w:t>n</w:t>
            </w:r>
            <w:r w:rsidRPr="00587E8D">
              <w:rPr>
                <w:szCs w:val="28"/>
                <w:lang w:val="ru-RU"/>
              </w:rPr>
              <w:t>=75</w:t>
            </w:r>
            <w:r w:rsidRPr="00587E8D">
              <w:rPr>
                <w:szCs w:val="28"/>
              </w:rPr>
              <w:t>)</w:t>
            </w:r>
          </w:p>
        </w:tc>
        <w:tc>
          <w:tcPr>
            <w:tcW w:w="2551" w:type="dxa"/>
          </w:tcPr>
          <w:p w:rsidR="00587E8D" w:rsidRPr="00587E8D" w:rsidRDefault="00587E8D" w:rsidP="000931A5">
            <w:pPr>
              <w:spacing w:line="360" w:lineRule="auto"/>
              <w:ind w:firstLine="35"/>
              <w:jc w:val="both"/>
              <w:rPr>
                <w:szCs w:val="28"/>
                <w:lang w:val="ru-RU"/>
              </w:rPr>
            </w:pPr>
            <w:r w:rsidRPr="00587E8D">
              <w:rPr>
                <w:szCs w:val="28"/>
              </w:rPr>
              <w:t>Хворі на ГІМ без ожиріння</w:t>
            </w:r>
            <w:r w:rsidRPr="00587E8D">
              <w:rPr>
                <w:szCs w:val="28"/>
                <w:lang w:val="ru-RU"/>
              </w:rPr>
              <w:t xml:space="preserve"> (</w:t>
            </w:r>
            <w:r w:rsidRPr="00587E8D">
              <w:rPr>
                <w:szCs w:val="28"/>
                <w:lang w:val="en-US"/>
              </w:rPr>
              <w:t>n</w:t>
            </w:r>
            <w:r w:rsidRPr="00587E8D">
              <w:rPr>
                <w:szCs w:val="28"/>
                <w:lang w:val="ru-RU"/>
              </w:rPr>
              <w:t>=30)</w:t>
            </w:r>
          </w:p>
        </w:tc>
        <w:tc>
          <w:tcPr>
            <w:tcW w:w="2693" w:type="dxa"/>
          </w:tcPr>
          <w:p w:rsidR="00587E8D" w:rsidRPr="00587E8D" w:rsidRDefault="00587E8D" w:rsidP="000931A5">
            <w:pPr>
              <w:spacing w:line="360" w:lineRule="auto"/>
              <w:jc w:val="center"/>
              <w:rPr>
                <w:szCs w:val="28"/>
              </w:rPr>
            </w:pPr>
            <w:r w:rsidRPr="00587E8D">
              <w:rPr>
                <w:szCs w:val="28"/>
              </w:rPr>
              <w:t>р</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ЗХС, ммоль/л</w:t>
            </w:r>
          </w:p>
        </w:tc>
        <w:tc>
          <w:tcPr>
            <w:tcW w:w="2678" w:type="dxa"/>
          </w:tcPr>
          <w:p w:rsidR="00587E8D" w:rsidRPr="00587E8D" w:rsidRDefault="00587E8D" w:rsidP="000931A5">
            <w:pPr>
              <w:spacing w:line="360" w:lineRule="auto"/>
              <w:jc w:val="both"/>
              <w:rPr>
                <w:szCs w:val="28"/>
              </w:rPr>
            </w:pPr>
            <w:r w:rsidRPr="00587E8D">
              <w:rPr>
                <w:szCs w:val="28"/>
              </w:rPr>
              <w:t>6,03±0,05</w:t>
            </w:r>
          </w:p>
        </w:tc>
        <w:tc>
          <w:tcPr>
            <w:tcW w:w="2551" w:type="dxa"/>
          </w:tcPr>
          <w:p w:rsidR="00587E8D" w:rsidRPr="00587E8D" w:rsidRDefault="00587E8D" w:rsidP="000931A5">
            <w:pPr>
              <w:spacing w:line="360" w:lineRule="auto"/>
              <w:ind w:firstLine="35"/>
              <w:jc w:val="both"/>
              <w:rPr>
                <w:szCs w:val="28"/>
              </w:rPr>
            </w:pPr>
            <w:r w:rsidRPr="00587E8D">
              <w:rPr>
                <w:szCs w:val="28"/>
              </w:rPr>
              <w:t>5,35±0,04</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ТГ, ммоль/л</w:t>
            </w:r>
          </w:p>
        </w:tc>
        <w:tc>
          <w:tcPr>
            <w:tcW w:w="2678" w:type="dxa"/>
          </w:tcPr>
          <w:p w:rsidR="00587E8D" w:rsidRPr="00587E8D" w:rsidRDefault="00587E8D" w:rsidP="000931A5">
            <w:pPr>
              <w:spacing w:line="360" w:lineRule="auto"/>
              <w:jc w:val="both"/>
              <w:rPr>
                <w:szCs w:val="28"/>
              </w:rPr>
            </w:pPr>
            <w:r w:rsidRPr="00587E8D">
              <w:rPr>
                <w:szCs w:val="28"/>
              </w:rPr>
              <w:t>1,46±0,06</w:t>
            </w:r>
          </w:p>
        </w:tc>
        <w:tc>
          <w:tcPr>
            <w:tcW w:w="2551" w:type="dxa"/>
          </w:tcPr>
          <w:p w:rsidR="00587E8D" w:rsidRPr="00587E8D" w:rsidRDefault="00587E8D" w:rsidP="000931A5">
            <w:pPr>
              <w:spacing w:line="360" w:lineRule="auto"/>
              <w:ind w:firstLine="35"/>
              <w:jc w:val="both"/>
              <w:rPr>
                <w:szCs w:val="28"/>
              </w:rPr>
            </w:pPr>
            <w:r w:rsidRPr="00587E8D">
              <w:rPr>
                <w:szCs w:val="28"/>
              </w:rPr>
              <w:t>0,59±0,02</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ЛПНЩ, ммоль/л</w:t>
            </w:r>
          </w:p>
        </w:tc>
        <w:tc>
          <w:tcPr>
            <w:tcW w:w="2678" w:type="dxa"/>
          </w:tcPr>
          <w:p w:rsidR="00587E8D" w:rsidRPr="00587E8D" w:rsidRDefault="00587E8D" w:rsidP="000931A5">
            <w:pPr>
              <w:spacing w:line="360" w:lineRule="auto"/>
              <w:jc w:val="both"/>
              <w:rPr>
                <w:szCs w:val="28"/>
              </w:rPr>
            </w:pPr>
            <w:r w:rsidRPr="00587E8D">
              <w:rPr>
                <w:szCs w:val="28"/>
              </w:rPr>
              <w:t>4,15±0,05</w:t>
            </w:r>
          </w:p>
        </w:tc>
        <w:tc>
          <w:tcPr>
            <w:tcW w:w="2551" w:type="dxa"/>
          </w:tcPr>
          <w:p w:rsidR="00587E8D" w:rsidRPr="00587E8D" w:rsidRDefault="00587E8D" w:rsidP="000931A5">
            <w:pPr>
              <w:spacing w:line="360" w:lineRule="auto"/>
              <w:ind w:firstLine="35"/>
              <w:jc w:val="both"/>
              <w:rPr>
                <w:szCs w:val="28"/>
              </w:rPr>
            </w:pPr>
            <w:r w:rsidRPr="00587E8D">
              <w:rPr>
                <w:szCs w:val="28"/>
              </w:rPr>
              <w:t>3,02±0,05</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ЛПДНЩ, ммоль/л</w:t>
            </w:r>
          </w:p>
        </w:tc>
        <w:tc>
          <w:tcPr>
            <w:tcW w:w="2678" w:type="dxa"/>
          </w:tcPr>
          <w:p w:rsidR="00587E8D" w:rsidRPr="00587E8D" w:rsidRDefault="00587E8D" w:rsidP="000931A5">
            <w:pPr>
              <w:spacing w:line="360" w:lineRule="auto"/>
              <w:jc w:val="both"/>
              <w:rPr>
                <w:szCs w:val="28"/>
              </w:rPr>
            </w:pPr>
            <w:r w:rsidRPr="00587E8D">
              <w:rPr>
                <w:szCs w:val="28"/>
              </w:rPr>
              <w:t>0,66±0,03</w:t>
            </w:r>
          </w:p>
        </w:tc>
        <w:tc>
          <w:tcPr>
            <w:tcW w:w="2551" w:type="dxa"/>
          </w:tcPr>
          <w:p w:rsidR="00587E8D" w:rsidRPr="00587E8D" w:rsidRDefault="00587E8D" w:rsidP="000931A5">
            <w:pPr>
              <w:spacing w:line="360" w:lineRule="auto"/>
              <w:ind w:firstLine="35"/>
              <w:jc w:val="both"/>
              <w:rPr>
                <w:szCs w:val="28"/>
              </w:rPr>
            </w:pPr>
            <w:r w:rsidRPr="00587E8D">
              <w:rPr>
                <w:szCs w:val="28"/>
              </w:rPr>
              <w:t>0,44±0,01</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КА</w:t>
            </w:r>
          </w:p>
        </w:tc>
        <w:tc>
          <w:tcPr>
            <w:tcW w:w="2678" w:type="dxa"/>
          </w:tcPr>
          <w:p w:rsidR="00587E8D" w:rsidRPr="00587E8D" w:rsidRDefault="00587E8D" w:rsidP="000931A5">
            <w:pPr>
              <w:spacing w:line="360" w:lineRule="auto"/>
              <w:jc w:val="both"/>
              <w:rPr>
                <w:szCs w:val="28"/>
              </w:rPr>
            </w:pPr>
            <w:r w:rsidRPr="00587E8D">
              <w:rPr>
                <w:szCs w:val="28"/>
              </w:rPr>
              <w:t>4,15±0,07</w:t>
            </w:r>
          </w:p>
        </w:tc>
        <w:tc>
          <w:tcPr>
            <w:tcW w:w="2551" w:type="dxa"/>
          </w:tcPr>
          <w:p w:rsidR="00587E8D" w:rsidRPr="00587E8D" w:rsidRDefault="00587E8D" w:rsidP="000931A5">
            <w:pPr>
              <w:spacing w:line="360" w:lineRule="auto"/>
              <w:ind w:firstLine="35"/>
              <w:jc w:val="both"/>
              <w:rPr>
                <w:szCs w:val="28"/>
              </w:rPr>
            </w:pPr>
            <w:r w:rsidRPr="00587E8D">
              <w:rPr>
                <w:szCs w:val="28"/>
              </w:rPr>
              <w:t>3,33±0,03</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ЛПВЩ, ммоль/л</w:t>
            </w:r>
          </w:p>
        </w:tc>
        <w:tc>
          <w:tcPr>
            <w:tcW w:w="2678" w:type="dxa"/>
          </w:tcPr>
          <w:p w:rsidR="00587E8D" w:rsidRPr="00587E8D" w:rsidRDefault="00587E8D" w:rsidP="000931A5">
            <w:pPr>
              <w:spacing w:line="360" w:lineRule="auto"/>
              <w:jc w:val="both"/>
              <w:rPr>
                <w:szCs w:val="28"/>
              </w:rPr>
            </w:pPr>
            <w:r w:rsidRPr="00587E8D">
              <w:rPr>
                <w:szCs w:val="28"/>
              </w:rPr>
              <w:t>1,21±0,02</w:t>
            </w:r>
          </w:p>
        </w:tc>
        <w:tc>
          <w:tcPr>
            <w:tcW w:w="2551" w:type="dxa"/>
          </w:tcPr>
          <w:p w:rsidR="00587E8D" w:rsidRPr="00587E8D" w:rsidRDefault="00587E8D" w:rsidP="000931A5">
            <w:pPr>
              <w:spacing w:line="360" w:lineRule="auto"/>
              <w:ind w:firstLine="35"/>
              <w:jc w:val="both"/>
              <w:rPr>
                <w:szCs w:val="28"/>
              </w:rPr>
            </w:pPr>
            <w:r w:rsidRPr="00587E8D">
              <w:rPr>
                <w:szCs w:val="28"/>
              </w:rPr>
              <w:t>1,24±0,01</w:t>
            </w:r>
          </w:p>
        </w:tc>
        <w:tc>
          <w:tcPr>
            <w:tcW w:w="2693" w:type="dxa"/>
          </w:tcPr>
          <w:p w:rsidR="00587E8D" w:rsidRPr="00587E8D" w:rsidRDefault="00587E8D" w:rsidP="000931A5">
            <w:pPr>
              <w:spacing w:line="360" w:lineRule="auto"/>
              <w:jc w:val="both"/>
              <w:rPr>
                <w:szCs w:val="28"/>
              </w:rPr>
            </w:pPr>
            <w:r w:rsidRPr="00587E8D">
              <w:rPr>
                <w:szCs w:val="28"/>
              </w:rPr>
              <w:t>р&lt;0,05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Отримані дані свідчать про зміни ліпідограми у вигляді підвищення атерогенності у хворих ГІМ та ожирінням, що може асоціюватись з більш масивним мультиураженням коронарних артерій чи зростання відсотку стенозу. Дані, що було отримано у дослідженні, не суперечать світовій медичній літературі. Так у роботі </w:t>
      </w:r>
      <w:r w:rsidR="000931A5">
        <w:rPr>
          <w:szCs w:val="28"/>
          <w:lang w:val="en-US"/>
        </w:rPr>
        <w:t>Jun</w:t>
      </w:r>
      <w:r w:rsidR="000931A5" w:rsidRPr="00F407BB">
        <w:rPr>
          <w:szCs w:val="28"/>
          <w:lang w:val="ru-RU"/>
        </w:rPr>
        <w:t xml:space="preserve"> </w:t>
      </w:r>
      <w:r w:rsidR="000931A5">
        <w:rPr>
          <w:szCs w:val="28"/>
          <w:lang w:val="en-US"/>
        </w:rPr>
        <w:t>Zhu</w:t>
      </w:r>
      <w:r w:rsidR="000931A5" w:rsidRPr="00F407BB">
        <w:rPr>
          <w:szCs w:val="28"/>
          <w:lang w:val="ru-RU"/>
        </w:rPr>
        <w:t xml:space="preserve"> </w:t>
      </w:r>
      <w:r w:rsidRPr="00587E8D">
        <w:rPr>
          <w:szCs w:val="28"/>
        </w:rPr>
        <w:t>та співав. [124] визначаються основні  питання щодо порушення ліпідного обміну за наявності ожиріння.</w:t>
      </w:r>
    </w:p>
    <w:p w:rsidR="00587E8D" w:rsidRPr="00587E8D" w:rsidRDefault="00587E8D" w:rsidP="00587E8D">
      <w:pPr>
        <w:spacing w:after="0" w:line="360" w:lineRule="auto"/>
        <w:ind w:firstLine="851"/>
        <w:jc w:val="both"/>
        <w:rPr>
          <w:szCs w:val="28"/>
        </w:rPr>
      </w:pPr>
      <w:r w:rsidRPr="00587E8D">
        <w:rPr>
          <w:szCs w:val="28"/>
        </w:rPr>
        <w:t xml:space="preserve">Наступним етапом у дизайні нашого дослідження було порівняння показників, що вивчаються згідно ступеня тяжкості ожиріння у хворих на ГІМ. При порівнянні хворих з ожирінням </w:t>
      </w:r>
      <w:r w:rsidRPr="00587E8D">
        <w:rPr>
          <w:szCs w:val="28"/>
          <w:lang w:val="en-US"/>
        </w:rPr>
        <w:t>I</w:t>
      </w:r>
      <w:r w:rsidRPr="00587E8D">
        <w:rPr>
          <w:szCs w:val="28"/>
        </w:rPr>
        <w:t xml:space="preserve">, II-III ступеня при ГІМ і пацієнтів без ожиріння виявлено достовірні відмінності у вигляді збільшення рівня галектина-3. Так у хворих з ожирінням </w:t>
      </w:r>
      <w:r w:rsidRPr="00587E8D">
        <w:rPr>
          <w:szCs w:val="28"/>
          <w:lang w:val="en-US"/>
        </w:rPr>
        <w:t>I</w:t>
      </w:r>
      <w:r w:rsidRPr="00587E8D">
        <w:rPr>
          <w:szCs w:val="28"/>
        </w:rPr>
        <w:t xml:space="preserve"> ступеня концентрація даного показника була вище на 36,7%, з ожирінням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 на 47,6% при зіставленні з пацієнтами без ознак ожиріння. Дані представлені в таблиці 3.4.</w:t>
      </w:r>
    </w:p>
    <w:p w:rsidR="00587E8D" w:rsidRPr="00587E8D" w:rsidRDefault="00587E8D" w:rsidP="00587E8D">
      <w:pPr>
        <w:spacing w:after="0" w:line="360" w:lineRule="auto"/>
        <w:ind w:firstLine="851"/>
        <w:jc w:val="both"/>
        <w:rPr>
          <w:szCs w:val="28"/>
        </w:rPr>
      </w:pPr>
      <w:r w:rsidRPr="00587E8D">
        <w:rPr>
          <w:szCs w:val="28"/>
        </w:rPr>
        <w:br w:type="page"/>
      </w:r>
    </w:p>
    <w:p w:rsidR="00587E8D" w:rsidRPr="00587E8D" w:rsidRDefault="00587E8D" w:rsidP="00E03CCB">
      <w:pPr>
        <w:spacing w:after="0" w:line="360" w:lineRule="auto"/>
        <w:ind w:left="7789"/>
        <w:jc w:val="both"/>
        <w:rPr>
          <w:i/>
          <w:szCs w:val="28"/>
        </w:rPr>
      </w:pPr>
      <w:r w:rsidRPr="00587E8D">
        <w:rPr>
          <w:i/>
          <w:szCs w:val="28"/>
        </w:rPr>
        <w:lastRenderedPageBreak/>
        <w:t xml:space="preserve">Таблиця 3.4 </w:t>
      </w:r>
    </w:p>
    <w:p w:rsidR="00587E8D" w:rsidRPr="00587E8D" w:rsidRDefault="00587E8D" w:rsidP="00D240B0">
      <w:pPr>
        <w:spacing w:after="0" w:line="360" w:lineRule="auto"/>
        <w:ind w:firstLine="851"/>
        <w:jc w:val="center"/>
        <w:rPr>
          <w:szCs w:val="28"/>
        </w:rPr>
      </w:pPr>
      <w:r w:rsidRPr="00587E8D">
        <w:rPr>
          <w:szCs w:val="28"/>
        </w:rPr>
        <w:t xml:space="preserve">Рівень галектина-3, вітронектина та тропоніна </w:t>
      </w:r>
      <w:r w:rsidRPr="00587E8D">
        <w:rPr>
          <w:szCs w:val="28"/>
          <w:lang w:val="en-US"/>
        </w:rPr>
        <w:t>I</w:t>
      </w:r>
      <w:r w:rsidRPr="00587E8D">
        <w:rPr>
          <w:szCs w:val="28"/>
        </w:rPr>
        <w:t xml:space="preserve"> у пацієнтів з гострим інфарктом міокарда та ожирінням різного ступеня тяжкості і нормальною масою тіла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730"/>
        <w:gridCol w:w="2835"/>
        <w:gridCol w:w="2552"/>
      </w:tblGrid>
      <w:tr w:rsidR="00587E8D" w:rsidRPr="00587E8D" w:rsidTr="00E03CCB">
        <w:tc>
          <w:tcPr>
            <w:tcW w:w="1914" w:type="dxa"/>
            <w:vMerge w:val="restart"/>
          </w:tcPr>
          <w:p w:rsidR="00587E8D" w:rsidRPr="00587E8D" w:rsidRDefault="00587E8D" w:rsidP="00D240B0">
            <w:pPr>
              <w:spacing w:after="0" w:line="240" w:lineRule="auto"/>
              <w:jc w:val="both"/>
              <w:rPr>
                <w:szCs w:val="28"/>
              </w:rPr>
            </w:pPr>
            <w:r w:rsidRPr="00587E8D">
              <w:rPr>
                <w:szCs w:val="28"/>
              </w:rPr>
              <w:t>Показник, од.виміру</w:t>
            </w:r>
          </w:p>
        </w:tc>
        <w:tc>
          <w:tcPr>
            <w:tcW w:w="8117" w:type="dxa"/>
            <w:gridSpan w:val="3"/>
          </w:tcPr>
          <w:p w:rsidR="00587E8D" w:rsidRPr="00587E8D" w:rsidRDefault="00587E8D" w:rsidP="00D240B0">
            <w:pPr>
              <w:spacing w:after="0" w:line="240" w:lineRule="auto"/>
              <w:jc w:val="center"/>
              <w:rPr>
                <w:szCs w:val="28"/>
              </w:rPr>
            </w:pPr>
            <w:r w:rsidRPr="00587E8D">
              <w:rPr>
                <w:szCs w:val="28"/>
              </w:rPr>
              <w:t>Хворі на ГІМ</w:t>
            </w:r>
          </w:p>
        </w:tc>
      </w:tr>
      <w:tr w:rsidR="00587E8D" w:rsidRPr="00587E8D" w:rsidTr="00E03CCB">
        <w:tc>
          <w:tcPr>
            <w:tcW w:w="1914" w:type="dxa"/>
            <w:vMerge/>
          </w:tcPr>
          <w:p w:rsidR="00587E8D" w:rsidRPr="00587E8D" w:rsidRDefault="00587E8D" w:rsidP="00D240B0">
            <w:pPr>
              <w:spacing w:after="0" w:line="240" w:lineRule="auto"/>
              <w:jc w:val="both"/>
              <w:rPr>
                <w:szCs w:val="28"/>
              </w:rPr>
            </w:pPr>
          </w:p>
        </w:tc>
        <w:tc>
          <w:tcPr>
            <w:tcW w:w="2730" w:type="dxa"/>
          </w:tcPr>
          <w:p w:rsidR="00587E8D" w:rsidRPr="00587E8D" w:rsidRDefault="00587E8D" w:rsidP="00D240B0">
            <w:pPr>
              <w:spacing w:after="0" w:line="240" w:lineRule="auto"/>
              <w:jc w:val="both"/>
              <w:rPr>
                <w:szCs w:val="28"/>
                <w:lang w:val="ru-RU"/>
              </w:rPr>
            </w:pPr>
            <w:r w:rsidRPr="00587E8D">
              <w:rPr>
                <w:szCs w:val="28"/>
              </w:rPr>
              <w:t xml:space="preserve">Ожиріння </w:t>
            </w:r>
            <w:r w:rsidRPr="00587E8D">
              <w:rPr>
                <w:szCs w:val="28"/>
                <w:lang w:val="en-US"/>
              </w:rPr>
              <w:t>I</w:t>
            </w:r>
            <w:r w:rsidRPr="00587E8D">
              <w:rPr>
                <w:szCs w:val="28"/>
              </w:rPr>
              <w:t xml:space="preserve"> ступеня</w:t>
            </w:r>
          </w:p>
          <w:p w:rsidR="00587E8D" w:rsidRPr="00587E8D" w:rsidRDefault="00587E8D" w:rsidP="00D240B0">
            <w:pPr>
              <w:spacing w:after="0" w:line="240" w:lineRule="auto"/>
              <w:jc w:val="both"/>
              <w:rPr>
                <w:szCs w:val="28"/>
              </w:rPr>
            </w:pPr>
            <w:r w:rsidRPr="00587E8D">
              <w:rPr>
                <w:szCs w:val="28"/>
                <w:lang w:val="ru-RU"/>
              </w:rPr>
              <w:t>(</w:t>
            </w:r>
            <w:r w:rsidRPr="00587E8D">
              <w:rPr>
                <w:szCs w:val="28"/>
                <w:lang w:val="en-US"/>
              </w:rPr>
              <w:t>n=</w:t>
            </w:r>
            <w:r w:rsidRPr="00587E8D">
              <w:rPr>
                <w:szCs w:val="28"/>
              </w:rPr>
              <w:t>39</w:t>
            </w:r>
            <w:r w:rsidRPr="00587E8D">
              <w:rPr>
                <w:szCs w:val="28"/>
                <w:lang w:val="ru-RU"/>
              </w:rPr>
              <w:t>)</w:t>
            </w:r>
          </w:p>
        </w:tc>
        <w:tc>
          <w:tcPr>
            <w:tcW w:w="2835" w:type="dxa"/>
          </w:tcPr>
          <w:p w:rsidR="00587E8D" w:rsidRPr="00587E8D" w:rsidRDefault="00587E8D" w:rsidP="007571E1">
            <w:pPr>
              <w:spacing w:after="0" w:line="240" w:lineRule="auto"/>
              <w:ind w:firstLine="34"/>
              <w:jc w:val="both"/>
              <w:rPr>
                <w:szCs w:val="28"/>
              </w:rPr>
            </w:pPr>
            <w:r w:rsidRPr="00587E8D">
              <w:rPr>
                <w:szCs w:val="28"/>
              </w:rPr>
              <w:t xml:space="preserve">Ожиріння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w:t>
            </w:r>
            <w:r w:rsidR="007571E1">
              <w:rPr>
                <w:szCs w:val="28"/>
              </w:rPr>
              <w:t xml:space="preserve">  </w:t>
            </w:r>
            <w:r w:rsidRPr="00587E8D">
              <w:rPr>
                <w:szCs w:val="28"/>
              </w:rPr>
              <w:t>(</w:t>
            </w:r>
            <w:r w:rsidRPr="00587E8D">
              <w:rPr>
                <w:szCs w:val="28"/>
                <w:lang w:val="en-US"/>
              </w:rPr>
              <w:t>n</w:t>
            </w:r>
            <w:r w:rsidRPr="00587E8D">
              <w:rPr>
                <w:szCs w:val="28"/>
                <w:lang w:val="ru-RU"/>
              </w:rPr>
              <w:t>=</w:t>
            </w:r>
            <w:r w:rsidRPr="00587E8D">
              <w:rPr>
                <w:szCs w:val="28"/>
              </w:rPr>
              <w:t>36</w:t>
            </w:r>
            <w:r w:rsidRPr="00587E8D">
              <w:rPr>
                <w:szCs w:val="28"/>
                <w:lang w:val="ru-RU"/>
              </w:rPr>
              <w:t>)</w:t>
            </w:r>
          </w:p>
        </w:tc>
        <w:tc>
          <w:tcPr>
            <w:tcW w:w="2552" w:type="dxa"/>
          </w:tcPr>
          <w:p w:rsidR="00587E8D" w:rsidRPr="00587E8D" w:rsidRDefault="00587E8D" w:rsidP="007571E1">
            <w:pPr>
              <w:spacing w:after="0" w:line="240" w:lineRule="auto"/>
              <w:jc w:val="both"/>
              <w:rPr>
                <w:szCs w:val="28"/>
              </w:rPr>
            </w:pPr>
            <w:r w:rsidRPr="00587E8D">
              <w:rPr>
                <w:szCs w:val="28"/>
              </w:rPr>
              <w:t>Нормальна маса тіла</w:t>
            </w:r>
            <w:r w:rsidR="007571E1">
              <w:rPr>
                <w:szCs w:val="28"/>
              </w:rPr>
              <w:t xml:space="preserve"> </w:t>
            </w:r>
            <w:r w:rsidRPr="00587E8D">
              <w:rPr>
                <w:szCs w:val="28"/>
              </w:rPr>
              <w:t>(</w:t>
            </w:r>
            <w:r w:rsidRPr="00587E8D">
              <w:rPr>
                <w:szCs w:val="28"/>
                <w:lang w:val="en-US"/>
              </w:rPr>
              <w:t>n=</w:t>
            </w:r>
            <w:r w:rsidRPr="00587E8D">
              <w:rPr>
                <w:szCs w:val="28"/>
              </w:rPr>
              <w:t>30</w:t>
            </w:r>
            <w:r w:rsidRPr="00587E8D">
              <w:rPr>
                <w:szCs w:val="28"/>
                <w:lang w:val="ru-RU"/>
              </w:rPr>
              <w:t>)</w:t>
            </w:r>
          </w:p>
        </w:tc>
      </w:tr>
      <w:tr w:rsidR="00587E8D" w:rsidRPr="00587E8D" w:rsidTr="00E03CCB">
        <w:tc>
          <w:tcPr>
            <w:tcW w:w="1914" w:type="dxa"/>
            <w:vMerge/>
          </w:tcPr>
          <w:p w:rsidR="00587E8D" w:rsidRPr="00587E8D" w:rsidRDefault="00587E8D" w:rsidP="00D240B0">
            <w:pPr>
              <w:spacing w:after="0" w:line="240" w:lineRule="auto"/>
              <w:jc w:val="both"/>
              <w:rPr>
                <w:szCs w:val="28"/>
              </w:rPr>
            </w:pPr>
          </w:p>
        </w:tc>
        <w:tc>
          <w:tcPr>
            <w:tcW w:w="2730" w:type="dxa"/>
          </w:tcPr>
          <w:p w:rsidR="00587E8D" w:rsidRPr="00587E8D" w:rsidRDefault="00587E8D" w:rsidP="000E7D12">
            <w:pPr>
              <w:spacing w:after="0" w:line="240" w:lineRule="auto"/>
              <w:jc w:val="center"/>
              <w:rPr>
                <w:szCs w:val="28"/>
              </w:rPr>
            </w:pPr>
            <w:r w:rsidRPr="00587E8D">
              <w:rPr>
                <w:szCs w:val="28"/>
              </w:rPr>
              <w:t>1</w:t>
            </w:r>
          </w:p>
        </w:tc>
        <w:tc>
          <w:tcPr>
            <w:tcW w:w="2835" w:type="dxa"/>
          </w:tcPr>
          <w:p w:rsidR="00587E8D" w:rsidRPr="00587E8D" w:rsidRDefault="00587E8D" w:rsidP="000E7D12">
            <w:pPr>
              <w:spacing w:after="0" w:line="240" w:lineRule="auto"/>
              <w:ind w:firstLine="34"/>
              <w:jc w:val="center"/>
              <w:rPr>
                <w:szCs w:val="28"/>
              </w:rPr>
            </w:pPr>
            <w:r w:rsidRPr="00587E8D">
              <w:rPr>
                <w:szCs w:val="28"/>
              </w:rPr>
              <w:t>2</w:t>
            </w:r>
          </w:p>
        </w:tc>
        <w:tc>
          <w:tcPr>
            <w:tcW w:w="2552" w:type="dxa"/>
          </w:tcPr>
          <w:p w:rsidR="00587E8D" w:rsidRPr="00587E8D" w:rsidRDefault="00587E8D" w:rsidP="000E7D12">
            <w:pPr>
              <w:spacing w:after="0" w:line="240" w:lineRule="auto"/>
              <w:jc w:val="center"/>
              <w:rPr>
                <w:szCs w:val="28"/>
              </w:rPr>
            </w:pPr>
            <w:r w:rsidRPr="00587E8D">
              <w:rPr>
                <w:szCs w:val="28"/>
              </w:rPr>
              <w:t>3</w:t>
            </w:r>
          </w:p>
        </w:tc>
      </w:tr>
      <w:tr w:rsidR="00587E8D" w:rsidRPr="00587E8D" w:rsidTr="00E03CCB">
        <w:tc>
          <w:tcPr>
            <w:tcW w:w="1914" w:type="dxa"/>
          </w:tcPr>
          <w:p w:rsidR="00587E8D" w:rsidRPr="00587E8D" w:rsidRDefault="00587E8D" w:rsidP="00D240B0">
            <w:pPr>
              <w:spacing w:after="0" w:line="240" w:lineRule="auto"/>
              <w:jc w:val="both"/>
              <w:rPr>
                <w:szCs w:val="28"/>
              </w:rPr>
            </w:pPr>
            <w:r w:rsidRPr="00587E8D">
              <w:rPr>
                <w:szCs w:val="28"/>
              </w:rPr>
              <w:t>Галектин-3, нг/мл</w:t>
            </w:r>
          </w:p>
        </w:tc>
        <w:tc>
          <w:tcPr>
            <w:tcW w:w="2730" w:type="dxa"/>
          </w:tcPr>
          <w:p w:rsidR="00587E8D" w:rsidRPr="00587E8D" w:rsidRDefault="00587E8D" w:rsidP="00D240B0">
            <w:pPr>
              <w:spacing w:after="0" w:line="240" w:lineRule="auto"/>
              <w:jc w:val="both"/>
              <w:rPr>
                <w:szCs w:val="28"/>
              </w:rPr>
            </w:pPr>
            <w:r w:rsidRPr="00587E8D">
              <w:rPr>
                <w:szCs w:val="28"/>
              </w:rPr>
              <w:t>31,3±0,76</w:t>
            </w:r>
          </w:p>
        </w:tc>
        <w:tc>
          <w:tcPr>
            <w:tcW w:w="2835" w:type="dxa"/>
          </w:tcPr>
          <w:p w:rsidR="00587E8D" w:rsidRPr="00587E8D" w:rsidRDefault="00587E8D" w:rsidP="00D240B0">
            <w:pPr>
              <w:spacing w:after="0" w:line="240" w:lineRule="auto"/>
              <w:ind w:firstLine="34"/>
              <w:jc w:val="both"/>
              <w:rPr>
                <w:szCs w:val="28"/>
              </w:rPr>
            </w:pPr>
            <w:r w:rsidRPr="00587E8D">
              <w:rPr>
                <w:szCs w:val="28"/>
              </w:rPr>
              <w:t>37,8±0,53</w:t>
            </w:r>
          </w:p>
        </w:tc>
        <w:tc>
          <w:tcPr>
            <w:tcW w:w="2552" w:type="dxa"/>
          </w:tcPr>
          <w:p w:rsidR="00587E8D" w:rsidRPr="00587E8D" w:rsidRDefault="00587E8D" w:rsidP="00D240B0">
            <w:pPr>
              <w:spacing w:after="0" w:line="240" w:lineRule="auto"/>
              <w:jc w:val="both"/>
              <w:rPr>
                <w:szCs w:val="28"/>
              </w:rPr>
            </w:pPr>
            <w:r w:rsidRPr="00587E8D">
              <w:rPr>
                <w:szCs w:val="28"/>
              </w:rPr>
              <w:t>19,8±0,67</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2 и 3</w:t>
            </w:r>
            <w:r w:rsidRPr="00587E8D">
              <w:rPr>
                <w:szCs w:val="28"/>
              </w:rPr>
              <w:t>&lt;0,05</w:t>
            </w:r>
          </w:p>
        </w:tc>
      </w:tr>
      <w:tr w:rsidR="00587E8D" w:rsidRPr="00587E8D" w:rsidTr="00E03CCB">
        <w:tc>
          <w:tcPr>
            <w:tcW w:w="1914" w:type="dxa"/>
          </w:tcPr>
          <w:p w:rsidR="00587E8D" w:rsidRPr="00587E8D" w:rsidRDefault="00587E8D" w:rsidP="00D240B0">
            <w:pPr>
              <w:spacing w:after="0" w:line="240" w:lineRule="auto"/>
              <w:jc w:val="both"/>
              <w:rPr>
                <w:szCs w:val="28"/>
                <w:lang w:val="ru-RU"/>
              </w:rPr>
            </w:pPr>
            <w:r w:rsidRPr="00587E8D">
              <w:rPr>
                <w:szCs w:val="28"/>
              </w:rPr>
              <w:t>Тропонін І</w:t>
            </w:r>
            <w:r w:rsidRPr="00587E8D">
              <w:rPr>
                <w:szCs w:val="28"/>
                <w:lang w:val="ru-RU"/>
              </w:rPr>
              <w:t>, нг/мл</w:t>
            </w:r>
          </w:p>
        </w:tc>
        <w:tc>
          <w:tcPr>
            <w:tcW w:w="2730" w:type="dxa"/>
          </w:tcPr>
          <w:p w:rsidR="00587E8D" w:rsidRPr="00587E8D" w:rsidRDefault="00587E8D" w:rsidP="00D240B0">
            <w:pPr>
              <w:spacing w:after="0" w:line="240" w:lineRule="auto"/>
              <w:jc w:val="both"/>
              <w:rPr>
                <w:szCs w:val="28"/>
              </w:rPr>
            </w:pPr>
            <w:r w:rsidRPr="00587E8D">
              <w:rPr>
                <w:szCs w:val="28"/>
              </w:rPr>
              <w:t>6,41±1,54</w:t>
            </w:r>
          </w:p>
        </w:tc>
        <w:tc>
          <w:tcPr>
            <w:tcW w:w="2835" w:type="dxa"/>
          </w:tcPr>
          <w:p w:rsidR="00587E8D" w:rsidRPr="00587E8D" w:rsidRDefault="00587E8D" w:rsidP="00D240B0">
            <w:pPr>
              <w:spacing w:after="0" w:line="240" w:lineRule="auto"/>
              <w:ind w:firstLine="34"/>
              <w:jc w:val="both"/>
              <w:rPr>
                <w:szCs w:val="28"/>
              </w:rPr>
            </w:pPr>
            <w:r w:rsidRPr="00587E8D">
              <w:rPr>
                <w:szCs w:val="28"/>
              </w:rPr>
              <w:t>7,51±1,82</w:t>
            </w:r>
          </w:p>
        </w:tc>
        <w:tc>
          <w:tcPr>
            <w:tcW w:w="2552" w:type="dxa"/>
          </w:tcPr>
          <w:p w:rsidR="00587E8D" w:rsidRPr="00587E8D" w:rsidRDefault="00587E8D" w:rsidP="00D240B0">
            <w:pPr>
              <w:spacing w:after="0" w:line="240" w:lineRule="auto"/>
              <w:jc w:val="both"/>
              <w:rPr>
                <w:szCs w:val="28"/>
              </w:rPr>
            </w:pPr>
            <w:r w:rsidRPr="00587E8D">
              <w:rPr>
                <w:szCs w:val="28"/>
              </w:rPr>
              <w:t>5,11±1,79</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1 и 3</w:t>
            </w:r>
            <w:r w:rsidRPr="00587E8D">
              <w:rPr>
                <w:szCs w:val="28"/>
              </w:rPr>
              <w:t>&gt;0,05</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2 и 3</w:t>
            </w:r>
            <w:r w:rsidRPr="00587E8D">
              <w:rPr>
                <w:szCs w:val="28"/>
              </w:rPr>
              <w:t>=0,07</w:t>
            </w:r>
          </w:p>
        </w:tc>
      </w:tr>
      <w:tr w:rsidR="00587E8D" w:rsidRPr="00587E8D" w:rsidTr="00E03CCB">
        <w:tc>
          <w:tcPr>
            <w:tcW w:w="1914" w:type="dxa"/>
          </w:tcPr>
          <w:p w:rsidR="00587E8D" w:rsidRPr="00587E8D" w:rsidRDefault="00587E8D" w:rsidP="00D240B0">
            <w:pPr>
              <w:spacing w:after="0" w:line="240" w:lineRule="auto"/>
              <w:jc w:val="both"/>
              <w:rPr>
                <w:szCs w:val="28"/>
              </w:rPr>
            </w:pPr>
            <w:r w:rsidRPr="00587E8D">
              <w:rPr>
                <w:szCs w:val="28"/>
              </w:rPr>
              <w:t>Вітронектин, нг/мл</w:t>
            </w:r>
          </w:p>
        </w:tc>
        <w:tc>
          <w:tcPr>
            <w:tcW w:w="2730" w:type="dxa"/>
          </w:tcPr>
          <w:p w:rsidR="00587E8D" w:rsidRPr="00587E8D" w:rsidRDefault="00587E8D" w:rsidP="00D240B0">
            <w:pPr>
              <w:spacing w:after="0" w:line="240" w:lineRule="auto"/>
              <w:jc w:val="both"/>
              <w:rPr>
                <w:szCs w:val="28"/>
              </w:rPr>
            </w:pPr>
            <w:r w:rsidRPr="00587E8D">
              <w:rPr>
                <w:szCs w:val="28"/>
              </w:rPr>
              <w:t>396,76±19,6</w:t>
            </w:r>
          </w:p>
        </w:tc>
        <w:tc>
          <w:tcPr>
            <w:tcW w:w="2835" w:type="dxa"/>
          </w:tcPr>
          <w:p w:rsidR="00587E8D" w:rsidRPr="00587E8D" w:rsidRDefault="00587E8D" w:rsidP="00D240B0">
            <w:pPr>
              <w:spacing w:after="0" w:line="240" w:lineRule="auto"/>
              <w:ind w:firstLine="34"/>
              <w:jc w:val="both"/>
              <w:rPr>
                <w:szCs w:val="28"/>
              </w:rPr>
            </w:pPr>
            <w:r w:rsidRPr="00587E8D">
              <w:rPr>
                <w:szCs w:val="28"/>
              </w:rPr>
              <w:t>479,63±25,43</w:t>
            </w:r>
          </w:p>
        </w:tc>
        <w:tc>
          <w:tcPr>
            <w:tcW w:w="2552" w:type="dxa"/>
          </w:tcPr>
          <w:p w:rsidR="00587E8D" w:rsidRPr="00587E8D" w:rsidRDefault="00587E8D" w:rsidP="00D240B0">
            <w:pPr>
              <w:spacing w:after="0" w:line="240" w:lineRule="auto"/>
              <w:jc w:val="both"/>
              <w:rPr>
                <w:szCs w:val="28"/>
              </w:rPr>
            </w:pPr>
            <w:r w:rsidRPr="00587E8D">
              <w:rPr>
                <w:szCs w:val="28"/>
              </w:rPr>
              <w:t>340, 99±20,33</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2 и 3</w:t>
            </w:r>
            <w:r w:rsidRPr="00587E8D">
              <w:rPr>
                <w:szCs w:val="28"/>
              </w:rPr>
              <w:t>&lt;0,05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Що стосується вітронектину, концентрація даного параметра у хворих на ГІМ та ожиріння </w:t>
      </w:r>
      <w:r w:rsidRPr="00587E8D">
        <w:rPr>
          <w:szCs w:val="28"/>
          <w:lang w:val="en-US"/>
        </w:rPr>
        <w:t>I</w:t>
      </w:r>
      <w:r w:rsidRPr="00587E8D">
        <w:rPr>
          <w:szCs w:val="28"/>
        </w:rPr>
        <w:t xml:space="preserve"> ступеня достовірно перевищувала таку у хворих на ГІМ без ожиріння. Подібні відмінності отримано у підгрупі хворих на ГІМ, що мали ожиріння </w:t>
      </w:r>
      <w:r w:rsidRPr="00587E8D">
        <w:rPr>
          <w:szCs w:val="28"/>
          <w:lang w:val="en-US"/>
        </w:rPr>
        <w:t>II</w:t>
      </w:r>
      <w:r w:rsidRPr="00587E8D">
        <w:rPr>
          <w:szCs w:val="28"/>
        </w:rPr>
        <w:t xml:space="preserve"> ступеня, концентрація вітронектина у яких була вище порівняно з хворими на ГІМ з нормальною масою тіла. Рівень тропоніну I у пацієнтів з ГІМ та ожирінням </w:t>
      </w:r>
      <w:r w:rsidRPr="00587E8D">
        <w:rPr>
          <w:szCs w:val="28"/>
          <w:lang w:val="en-US"/>
        </w:rPr>
        <w:t>I</w:t>
      </w:r>
      <w:r w:rsidRPr="00587E8D">
        <w:rPr>
          <w:szCs w:val="28"/>
        </w:rPr>
        <w:t xml:space="preserve"> ступеня не відрізнявся від концентрації даного параметра у хворих без ожиріння. При порівнянні концентрації тропоніну I у пацієнтів з ожирінням </w:t>
      </w:r>
      <w:r w:rsidRPr="00587E8D">
        <w:rPr>
          <w:szCs w:val="28"/>
          <w:lang w:val="en-US"/>
        </w:rPr>
        <w:t>II</w:t>
      </w:r>
      <w:r w:rsidRPr="00587E8D">
        <w:rPr>
          <w:szCs w:val="28"/>
        </w:rPr>
        <w:t>-</w:t>
      </w:r>
      <w:r w:rsidRPr="00587E8D">
        <w:rPr>
          <w:szCs w:val="28"/>
          <w:lang w:val="en-US"/>
        </w:rPr>
        <w:t>III</w:t>
      </w:r>
      <w:r w:rsidRPr="00587E8D">
        <w:rPr>
          <w:szCs w:val="28"/>
        </w:rPr>
        <w:t xml:space="preserve"> ступеня та нормальною масою тіла визначається тенденція до зростання, що не досягає рівня достовірності (р = 0,07), що може бути пов'язано з переважанням осіб з ІМ з зубцем Q. </w:t>
      </w:r>
    </w:p>
    <w:p w:rsidR="00587E8D" w:rsidRPr="00587E8D" w:rsidRDefault="00587E8D" w:rsidP="00587E8D">
      <w:pPr>
        <w:spacing w:after="0" w:line="360" w:lineRule="auto"/>
        <w:ind w:firstLine="851"/>
        <w:jc w:val="both"/>
        <w:rPr>
          <w:szCs w:val="28"/>
        </w:rPr>
      </w:pPr>
      <w:r w:rsidRPr="00587E8D">
        <w:rPr>
          <w:szCs w:val="28"/>
        </w:rPr>
        <w:t>Наступним етапом у дизайні нашого дослідження було порівняння показників, що вивчаються згідно ступеня тяжкості ожиріння у хворих на ГІМ. Дані представлені в таблиці 3.5.</w:t>
      </w:r>
      <w:r w:rsidRPr="00587E8D">
        <w:rPr>
          <w:szCs w:val="28"/>
        </w:rPr>
        <w:br w:type="page"/>
      </w:r>
    </w:p>
    <w:p w:rsidR="00587E8D" w:rsidRPr="00587E8D" w:rsidRDefault="00587E8D" w:rsidP="00E03CCB">
      <w:pPr>
        <w:spacing w:after="0" w:line="360" w:lineRule="auto"/>
        <w:ind w:left="7789"/>
        <w:jc w:val="both"/>
        <w:rPr>
          <w:i/>
          <w:szCs w:val="28"/>
        </w:rPr>
      </w:pPr>
      <w:r w:rsidRPr="00587E8D">
        <w:rPr>
          <w:i/>
          <w:szCs w:val="28"/>
        </w:rPr>
        <w:lastRenderedPageBreak/>
        <w:t>Таблиця 3.5</w:t>
      </w:r>
    </w:p>
    <w:p w:rsidR="00587E8D" w:rsidRPr="00587E8D" w:rsidRDefault="00587E8D" w:rsidP="007453A7">
      <w:pPr>
        <w:spacing w:after="0" w:line="360" w:lineRule="auto"/>
        <w:ind w:firstLine="851"/>
        <w:jc w:val="center"/>
        <w:rPr>
          <w:szCs w:val="28"/>
        </w:rPr>
      </w:pPr>
      <w:r w:rsidRPr="00587E8D">
        <w:rPr>
          <w:szCs w:val="28"/>
        </w:rPr>
        <w:t>Антропометричні параметри у пацієнтів з гострим інфарктом міокарда та ожирінням різного ступеня тяжкості і нормальною масою тіла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539"/>
        <w:gridCol w:w="2232"/>
        <w:gridCol w:w="3452"/>
      </w:tblGrid>
      <w:tr w:rsidR="00587E8D" w:rsidRPr="00587E8D" w:rsidTr="000D73DB">
        <w:tc>
          <w:tcPr>
            <w:tcW w:w="1914" w:type="dxa"/>
            <w:vMerge w:val="restart"/>
          </w:tcPr>
          <w:p w:rsidR="00587E8D" w:rsidRPr="00587E8D" w:rsidRDefault="00587E8D" w:rsidP="007453A7">
            <w:pPr>
              <w:spacing w:after="0" w:line="240" w:lineRule="auto"/>
              <w:jc w:val="center"/>
              <w:rPr>
                <w:szCs w:val="28"/>
              </w:rPr>
            </w:pPr>
            <w:r w:rsidRPr="00587E8D">
              <w:rPr>
                <w:szCs w:val="28"/>
              </w:rPr>
              <w:t>Показник, од.виміру</w:t>
            </w:r>
          </w:p>
        </w:tc>
        <w:tc>
          <w:tcPr>
            <w:tcW w:w="8400" w:type="dxa"/>
            <w:gridSpan w:val="3"/>
          </w:tcPr>
          <w:p w:rsidR="00587E8D" w:rsidRPr="00587E8D" w:rsidRDefault="00587E8D" w:rsidP="007453A7">
            <w:pPr>
              <w:spacing w:after="0" w:line="240" w:lineRule="auto"/>
              <w:ind w:firstLine="851"/>
              <w:jc w:val="center"/>
              <w:rPr>
                <w:szCs w:val="28"/>
              </w:rPr>
            </w:pPr>
            <w:r w:rsidRPr="00587E8D">
              <w:rPr>
                <w:szCs w:val="28"/>
              </w:rPr>
              <w:t>Хворі на ГІМ</w:t>
            </w:r>
          </w:p>
        </w:tc>
      </w:tr>
      <w:tr w:rsidR="00587E8D" w:rsidRPr="00587E8D" w:rsidTr="000D73DB">
        <w:tc>
          <w:tcPr>
            <w:tcW w:w="1914" w:type="dxa"/>
            <w:vMerge/>
          </w:tcPr>
          <w:p w:rsidR="00587E8D" w:rsidRPr="00587E8D" w:rsidRDefault="00587E8D" w:rsidP="007453A7">
            <w:pPr>
              <w:spacing w:after="0" w:line="240" w:lineRule="auto"/>
              <w:jc w:val="center"/>
              <w:rPr>
                <w:szCs w:val="28"/>
              </w:rPr>
            </w:pPr>
          </w:p>
        </w:tc>
        <w:tc>
          <w:tcPr>
            <w:tcW w:w="2589" w:type="dxa"/>
          </w:tcPr>
          <w:p w:rsidR="00587E8D" w:rsidRPr="00587E8D" w:rsidRDefault="00587E8D" w:rsidP="007453A7">
            <w:pPr>
              <w:spacing w:after="0" w:line="240" w:lineRule="auto"/>
              <w:jc w:val="center"/>
              <w:rPr>
                <w:szCs w:val="28"/>
                <w:lang w:val="ru-RU"/>
              </w:rPr>
            </w:pPr>
            <w:r w:rsidRPr="00587E8D">
              <w:rPr>
                <w:szCs w:val="28"/>
              </w:rPr>
              <w:t xml:space="preserve">Ожиріння </w:t>
            </w:r>
            <w:r w:rsidRPr="00587E8D">
              <w:rPr>
                <w:szCs w:val="28"/>
                <w:lang w:val="en-US"/>
              </w:rPr>
              <w:t>I</w:t>
            </w:r>
            <w:r w:rsidRPr="00587E8D">
              <w:rPr>
                <w:szCs w:val="28"/>
              </w:rPr>
              <w:t xml:space="preserve"> ступеня</w:t>
            </w:r>
          </w:p>
          <w:p w:rsidR="00587E8D" w:rsidRPr="00587E8D" w:rsidRDefault="00587E8D" w:rsidP="007453A7">
            <w:pPr>
              <w:spacing w:after="0" w:line="240" w:lineRule="auto"/>
              <w:jc w:val="center"/>
              <w:rPr>
                <w:szCs w:val="28"/>
              </w:rPr>
            </w:pPr>
            <w:r w:rsidRPr="00587E8D">
              <w:rPr>
                <w:szCs w:val="28"/>
                <w:lang w:val="ru-RU"/>
              </w:rPr>
              <w:t>(</w:t>
            </w:r>
            <w:r w:rsidRPr="00587E8D">
              <w:rPr>
                <w:szCs w:val="28"/>
                <w:lang w:val="en-US"/>
              </w:rPr>
              <w:t>n=</w:t>
            </w:r>
            <w:r w:rsidRPr="00587E8D">
              <w:rPr>
                <w:szCs w:val="28"/>
              </w:rPr>
              <w:t>39</w:t>
            </w:r>
            <w:r w:rsidRPr="00587E8D">
              <w:rPr>
                <w:szCs w:val="28"/>
                <w:lang w:val="ru-RU"/>
              </w:rPr>
              <w:t>)</w:t>
            </w:r>
          </w:p>
        </w:tc>
        <w:tc>
          <w:tcPr>
            <w:tcW w:w="2268" w:type="dxa"/>
          </w:tcPr>
          <w:p w:rsidR="00587E8D" w:rsidRPr="00587E8D" w:rsidRDefault="00587E8D" w:rsidP="007453A7">
            <w:pPr>
              <w:spacing w:after="0" w:line="240" w:lineRule="auto"/>
              <w:jc w:val="center"/>
              <w:rPr>
                <w:szCs w:val="28"/>
              </w:rPr>
            </w:pPr>
            <w:r w:rsidRPr="00587E8D">
              <w:rPr>
                <w:szCs w:val="28"/>
              </w:rPr>
              <w:t xml:space="preserve">Ожиріння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w:t>
            </w:r>
          </w:p>
          <w:p w:rsidR="00587E8D" w:rsidRPr="00587E8D" w:rsidRDefault="00587E8D" w:rsidP="007453A7">
            <w:pPr>
              <w:spacing w:after="0" w:line="240" w:lineRule="auto"/>
              <w:jc w:val="center"/>
              <w:rPr>
                <w:szCs w:val="28"/>
              </w:rPr>
            </w:pPr>
            <w:r w:rsidRPr="00587E8D">
              <w:rPr>
                <w:szCs w:val="28"/>
              </w:rPr>
              <w:t>(</w:t>
            </w:r>
            <w:r w:rsidRPr="00587E8D">
              <w:rPr>
                <w:szCs w:val="28"/>
                <w:lang w:val="en-US"/>
              </w:rPr>
              <w:t>n</w:t>
            </w:r>
            <w:r w:rsidRPr="00587E8D">
              <w:rPr>
                <w:szCs w:val="28"/>
                <w:lang w:val="ru-RU"/>
              </w:rPr>
              <w:t>=</w:t>
            </w:r>
            <w:r w:rsidRPr="00587E8D">
              <w:rPr>
                <w:szCs w:val="28"/>
              </w:rPr>
              <w:t>36</w:t>
            </w:r>
            <w:r w:rsidRPr="00587E8D">
              <w:rPr>
                <w:szCs w:val="28"/>
                <w:lang w:val="ru-RU"/>
              </w:rPr>
              <w:t>)</w:t>
            </w:r>
          </w:p>
        </w:tc>
        <w:tc>
          <w:tcPr>
            <w:tcW w:w="3543" w:type="dxa"/>
          </w:tcPr>
          <w:p w:rsidR="00587E8D" w:rsidRPr="00587E8D" w:rsidRDefault="00587E8D" w:rsidP="007453A7">
            <w:pPr>
              <w:spacing w:after="0" w:line="240" w:lineRule="auto"/>
              <w:jc w:val="center"/>
              <w:rPr>
                <w:szCs w:val="28"/>
              </w:rPr>
            </w:pPr>
            <w:r w:rsidRPr="00587E8D">
              <w:rPr>
                <w:szCs w:val="28"/>
              </w:rPr>
              <w:t>Нормальна маса тіла (</w:t>
            </w:r>
            <w:r w:rsidRPr="00587E8D">
              <w:rPr>
                <w:szCs w:val="28"/>
                <w:lang w:val="en-US"/>
              </w:rPr>
              <w:t>n=</w:t>
            </w:r>
            <w:r w:rsidRPr="00587E8D">
              <w:rPr>
                <w:szCs w:val="28"/>
              </w:rPr>
              <w:t>30</w:t>
            </w:r>
            <w:r w:rsidRPr="00587E8D">
              <w:rPr>
                <w:szCs w:val="28"/>
                <w:lang w:val="ru-RU"/>
              </w:rPr>
              <w:t>)</w:t>
            </w:r>
          </w:p>
        </w:tc>
      </w:tr>
      <w:tr w:rsidR="00587E8D" w:rsidRPr="00587E8D" w:rsidTr="000D73DB">
        <w:tc>
          <w:tcPr>
            <w:tcW w:w="1914" w:type="dxa"/>
            <w:vMerge/>
          </w:tcPr>
          <w:p w:rsidR="00587E8D" w:rsidRPr="00587E8D" w:rsidRDefault="00587E8D" w:rsidP="007453A7">
            <w:pPr>
              <w:spacing w:after="0" w:line="240" w:lineRule="auto"/>
              <w:jc w:val="center"/>
              <w:rPr>
                <w:szCs w:val="28"/>
              </w:rPr>
            </w:pPr>
          </w:p>
        </w:tc>
        <w:tc>
          <w:tcPr>
            <w:tcW w:w="2589" w:type="dxa"/>
          </w:tcPr>
          <w:p w:rsidR="00587E8D" w:rsidRPr="00587E8D" w:rsidRDefault="00587E8D" w:rsidP="007453A7">
            <w:pPr>
              <w:spacing w:after="0" w:line="240" w:lineRule="auto"/>
              <w:jc w:val="center"/>
              <w:rPr>
                <w:szCs w:val="28"/>
              </w:rPr>
            </w:pPr>
            <w:r w:rsidRPr="00587E8D">
              <w:rPr>
                <w:szCs w:val="28"/>
              </w:rPr>
              <w:t>1</w:t>
            </w:r>
          </w:p>
        </w:tc>
        <w:tc>
          <w:tcPr>
            <w:tcW w:w="2268" w:type="dxa"/>
          </w:tcPr>
          <w:p w:rsidR="00587E8D" w:rsidRPr="00587E8D" w:rsidRDefault="00587E8D" w:rsidP="007453A7">
            <w:pPr>
              <w:spacing w:after="0" w:line="240" w:lineRule="auto"/>
              <w:jc w:val="center"/>
              <w:rPr>
                <w:szCs w:val="28"/>
              </w:rPr>
            </w:pPr>
            <w:r w:rsidRPr="00587E8D">
              <w:rPr>
                <w:szCs w:val="28"/>
              </w:rPr>
              <w:t>2</w:t>
            </w:r>
          </w:p>
        </w:tc>
        <w:tc>
          <w:tcPr>
            <w:tcW w:w="3543" w:type="dxa"/>
          </w:tcPr>
          <w:p w:rsidR="00587E8D" w:rsidRPr="00587E8D" w:rsidRDefault="00587E8D" w:rsidP="007453A7">
            <w:pPr>
              <w:spacing w:after="0" w:line="240" w:lineRule="auto"/>
              <w:jc w:val="center"/>
              <w:rPr>
                <w:szCs w:val="28"/>
              </w:rPr>
            </w:pPr>
            <w:r w:rsidRPr="00587E8D">
              <w:rPr>
                <w:szCs w:val="28"/>
              </w:rPr>
              <w:t>3</w:t>
            </w:r>
          </w:p>
        </w:tc>
      </w:tr>
      <w:tr w:rsidR="00587E8D" w:rsidRPr="00587E8D" w:rsidTr="000D73DB">
        <w:tc>
          <w:tcPr>
            <w:tcW w:w="1914" w:type="dxa"/>
          </w:tcPr>
          <w:p w:rsidR="00587E8D" w:rsidRPr="00587E8D" w:rsidRDefault="00587E8D" w:rsidP="007453A7">
            <w:pPr>
              <w:spacing w:after="0" w:line="240" w:lineRule="auto"/>
              <w:jc w:val="center"/>
              <w:rPr>
                <w:szCs w:val="28"/>
              </w:rPr>
            </w:pPr>
            <w:r w:rsidRPr="00587E8D">
              <w:rPr>
                <w:szCs w:val="28"/>
              </w:rPr>
              <w:t>ІМТ, кг/м</w:t>
            </w:r>
            <w:r w:rsidRPr="00587E8D">
              <w:rPr>
                <w:szCs w:val="28"/>
                <w:vertAlign w:val="superscript"/>
              </w:rPr>
              <w:t>2</w:t>
            </w:r>
          </w:p>
        </w:tc>
        <w:tc>
          <w:tcPr>
            <w:tcW w:w="2589" w:type="dxa"/>
          </w:tcPr>
          <w:p w:rsidR="00587E8D" w:rsidRPr="00587E8D" w:rsidRDefault="00587E8D" w:rsidP="007453A7">
            <w:pPr>
              <w:spacing w:after="0" w:line="240" w:lineRule="auto"/>
              <w:jc w:val="center"/>
              <w:rPr>
                <w:szCs w:val="28"/>
              </w:rPr>
            </w:pPr>
            <w:r w:rsidRPr="00587E8D">
              <w:rPr>
                <w:szCs w:val="28"/>
              </w:rPr>
              <w:t>34,96±0,57</w:t>
            </w:r>
          </w:p>
        </w:tc>
        <w:tc>
          <w:tcPr>
            <w:tcW w:w="2268" w:type="dxa"/>
          </w:tcPr>
          <w:p w:rsidR="00587E8D" w:rsidRPr="00587E8D" w:rsidRDefault="00587E8D" w:rsidP="007453A7">
            <w:pPr>
              <w:spacing w:after="0" w:line="240" w:lineRule="auto"/>
              <w:jc w:val="center"/>
              <w:rPr>
                <w:szCs w:val="28"/>
              </w:rPr>
            </w:pPr>
            <w:r w:rsidRPr="00587E8D">
              <w:rPr>
                <w:szCs w:val="28"/>
              </w:rPr>
              <w:t>36,12±0,38</w:t>
            </w:r>
          </w:p>
        </w:tc>
        <w:tc>
          <w:tcPr>
            <w:tcW w:w="3543" w:type="dxa"/>
          </w:tcPr>
          <w:p w:rsidR="00587E8D" w:rsidRPr="00587E8D" w:rsidRDefault="00587E8D" w:rsidP="007453A7">
            <w:pPr>
              <w:spacing w:after="0" w:line="240" w:lineRule="auto"/>
              <w:jc w:val="center"/>
              <w:rPr>
                <w:szCs w:val="28"/>
              </w:rPr>
            </w:pPr>
            <w:r w:rsidRPr="00587E8D">
              <w:rPr>
                <w:szCs w:val="28"/>
              </w:rPr>
              <w:t>22,78±1,41</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2 и 3</w:t>
            </w:r>
            <w:r w:rsidRPr="00587E8D">
              <w:rPr>
                <w:szCs w:val="28"/>
              </w:rPr>
              <w:t>&lt;0,05</w:t>
            </w:r>
          </w:p>
        </w:tc>
      </w:tr>
      <w:tr w:rsidR="00587E8D" w:rsidRPr="00587E8D" w:rsidTr="000D73DB">
        <w:tc>
          <w:tcPr>
            <w:tcW w:w="1914" w:type="dxa"/>
          </w:tcPr>
          <w:p w:rsidR="00587E8D" w:rsidRPr="00587E8D" w:rsidRDefault="00587E8D" w:rsidP="007453A7">
            <w:pPr>
              <w:spacing w:after="0" w:line="240" w:lineRule="auto"/>
              <w:jc w:val="center"/>
              <w:rPr>
                <w:szCs w:val="28"/>
              </w:rPr>
            </w:pPr>
            <w:r w:rsidRPr="00587E8D">
              <w:rPr>
                <w:szCs w:val="28"/>
              </w:rPr>
              <w:t>ОТ, см</w:t>
            </w:r>
          </w:p>
        </w:tc>
        <w:tc>
          <w:tcPr>
            <w:tcW w:w="2589" w:type="dxa"/>
          </w:tcPr>
          <w:p w:rsidR="00587E8D" w:rsidRPr="00587E8D" w:rsidRDefault="00587E8D" w:rsidP="007453A7">
            <w:pPr>
              <w:spacing w:after="0" w:line="240" w:lineRule="auto"/>
              <w:jc w:val="center"/>
              <w:rPr>
                <w:szCs w:val="28"/>
              </w:rPr>
            </w:pPr>
            <w:r w:rsidRPr="00587E8D">
              <w:rPr>
                <w:szCs w:val="28"/>
              </w:rPr>
              <w:t>107,6±4,92</w:t>
            </w:r>
          </w:p>
        </w:tc>
        <w:tc>
          <w:tcPr>
            <w:tcW w:w="2268" w:type="dxa"/>
          </w:tcPr>
          <w:p w:rsidR="00587E8D" w:rsidRPr="00587E8D" w:rsidRDefault="00587E8D" w:rsidP="007453A7">
            <w:pPr>
              <w:spacing w:after="0" w:line="240" w:lineRule="auto"/>
              <w:jc w:val="center"/>
              <w:rPr>
                <w:szCs w:val="28"/>
              </w:rPr>
            </w:pPr>
            <w:r w:rsidRPr="00587E8D">
              <w:rPr>
                <w:szCs w:val="28"/>
              </w:rPr>
              <w:t>112,8±5,74</w:t>
            </w:r>
          </w:p>
        </w:tc>
        <w:tc>
          <w:tcPr>
            <w:tcW w:w="3543" w:type="dxa"/>
          </w:tcPr>
          <w:p w:rsidR="00587E8D" w:rsidRPr="00587E8D" w:rsidRDefault="00587E8D" w:rsidP="007453A7">
            <w:pPr>
              <w:spacing w:after="0" w:line="240" w:lineRule="auto"/>
              <w:jc w:val="center"/>
              <w:rPr>
                <w:szCs w:val="28"/>
              </w:rPr>
            </w:pPr>
            <w:r w:rsidRPr="00587E8D">
              <w:rPr>
                <w:szCs w:val="28"/>
              </w:rPr>
              <w:t>88,6±1,37</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2 и 3</w:t>
            </w:r>
            <w:r w:rsidRPr="00587E8D">
              <w:rPr>
                <w:szCs w:val="28"/>
              </w:rPr>
              <w:t>&lt;0,05</w:t>
            </w:r>
          </w:p>
        </w:tc>
      </w:tr>
      <w:tr w:rsidR="00587E8D" w:rsidRPr="00587E8D" w:rsidTr="000D73DB">
        <w:tc>
          <w:tcPr>
            <w:tcW w:w="1914" w:type="dxa"/>
          </w:tcPr>
          <w:p w:rsidR="00587E8D" w:rsidRPr="00587E8D" w:rsidRDefault="00587E8D" w:rsidP="007453A7">
            <w:pPr>
              <w:spacing w:after="0" w:line="240" w:lineRule="auto"/>
              <w:jc w:val="center"/>
              <w:rPr>
                <w:szCs w:val="28"/>
              </w:rPr>
            </w:pPr>
            <w:r w:rsidRPr="00587E8D">
              <w:rPr>
                <w:szCs w:val="28"/>
              </w:rPr>
              <w:t>ОТ/ОС</w:t>
            </w:r>
          </w:p>
        </w:tc>
        <w:tc>
          <w:tcPr>
            <w:tcW w:w="2589" w:type="dxa"/>
          </w:tcPr>
          <w:p w:rsidR="00587E8D" w:rsidRPr="00587E8D" w:rsidRDefault="00587E8D" w:rsidP="007453A7">
            <w:pPr>
              <w:spacing w:after="0" w:line="240" w:lineRule="auto"/>
              <w:jc w:val="center"/>
              <w:rPr>
                <w:szCs w:val="28"/>
              </w:rPr>
            </w:pPr>
            <w:r w:rsidRPr="00587E8D">
              <w:rPr>
                <w:szCs w:val="28"/>
              </w:rPr>
              <w:t>0,93±0,04</w:t>
            </w:r>
          </w:p>
        </w:tc>
        <w:tc>
          <w:tcPr>
            <w:tcW w:w="2268" w:type="dxa"/>
          </w:tcPr>
          <w:p w:rsidR="00587E8D" w:rsidRPr="00587E8D" w:rsidRDefault="00587E8D" w:rsidP="007453A7">
            <w:pPr>
              <w:spacing w:after="0" w:line="240" w:lineRule="auto"/>
              <w:jc w:val="center"/>
              <w:rPr>
                <w:szCs w:val="28"/>
              </w:rPr>
            </w:pPr>
            <w:r w:rsidRPr="00587E8D">
              <w:rPr>
                <w:szCs w:val="28"/>
              </w:rPr>
              <w:t>0,96±0,02</w:t>
            </w:r>
          </w:p>
        </w:tc>
        <w:tc>
          <w:tcPr>
            <w:tcW w:w="3543" w:type="dxa"/>
          </w:tcPr>
          <w:p w:rsidR="00587E8D" w:rsidRPr="00587E8D" w:rsidRDefault="00587E8D" w:rsidP="007453A7">
            <w:pPr>
              <w:spacing w:after="0" w:line="240" w:lineRule="auto"/>
              <w:jc w:val="center"/>
              <w:rPr>
                <w:szCs w:val="28"/>
              </w:rPr>
            </w:pPr>
            <w:r w:rsidRPr="00587E8D">
              <w:rPr>
                <w:szCs w:val="28"/>
              </w:rPr>
              <w:t>0,84±0,03</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2 и 3</w:t>
            </w:r>
            <w:r w:rsidRPr="00587E8D">
              <w:rPr>
                <w:szCs w:val="28"/>
              </w:rPr>
              <w:t>&lt;0,05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lang w:val="ru-RU"/>
        </w:rPr>
        <w:t xml:space="preserve">ІМТ був достовірно вище як у осіб з ожирінням </w:t>
      </w:r>
      <w:r w:rsidRPr="00587E8D">
        <w:rPr>
          <w:szCs w:val="28"/>
          <w:lang w:val="en-US"/>
        </w:rPr>
        <w:t>I</w:t>
      </w:r>
      <w:r w:rsidRPr="00587E8D">
        <w:rPr>
          <w:szCs w:val="28"/>
          <w:lang w:val="ru-RU"/>
        </w:rPr>
        <w:t xml:space="preserve">, так і II-III ступеня при порівнянні з пацієнтами без ожиріння. Подібні результати отримані щодо показників </w:t>
      </w:r>
      <w:r w:rsidRPr="00587E8D">
        <w:rPr>
          <w:szCs w:val="28"/>
        </w:rPr>
        <w:t>ОТ</w:t>
      </w:r>
      <w:r w:rsidRPr="00587E8D">
        <w:rPr>
          <w:szCs w:val="28"/>
          <w:lang w:val="ru-RU"/>
        </w:rPr>
        <w:t xml:space="preserve"> </w:t>
      </w:r>
      <w:r w:rsidRPr="00587E8D">
        <w:rPr>
          <w:szCs w:val="28"/>
        </w:rPr>
        <w:t>та</w:t>
      </w:r>
      <w:r w:rsidRPr="00587E8D">
        <w:rPr>
          <w:szCs w:val="28"/>
          <w:lang w:val="ru-RU"/>
        </w:rPr>
        <w:t xml:space="preserve"> ОТ/ОС, рівні яких достовірно прев</w:t>
      </w:r>
      <w:r w:rsidRPr="00587E8D">
        <w:rPr>
          <w:szCs w:val="28"/>
        </w:rPr>
        <w:t>ищували</w:t>
      </w:r>
      <w:r w:rsidRPr="00587E8D">
        <w:rPr>
          <w:szCs w:val="28"/>
          <w:lang w:val="ru-RU"/>
        </w:rPr>
        <w:t xml:space="preserve"> такі </w:t>
      </w:r>
      <w:r w:rsidRPr="00587E8D">
        <w:rPr>
          <w:szCs w:val="28"/>
        </w:rPr>
        <w:t>в</w:t>
      </w:r>
      <w:r w:rsidRPr="00587E8D">
        <w:rPr>
          <w:szCs w:val="28"/>
          <w:lang w:val="ru-RU"/>
        </w:rPr>
        <w:t xml:space="preserve"> осіб з нормальною масою тіла при ГІМ.</w:t>
      </w:r>
    </w:p>
    <w:p w:rsidR="00587E8D" w:rsidRPr="00587E8D" w:rsidRDefault="00587E8D" w:rsidP="00587E8D">
      <w:pPr>
        <w:spacing w:after="0" w:line="360" w:lineRule="auto"/>
        <w:ind w:firstLine="851"/>
        <w:jc w:val="both"/>
        <w:rPr>
          <w:szCs w:val="28"/>
        </w:rPr>
      </w:pPr>
      <w:r w:rsidRPr="00587E8D">
        <w:rPr>
          <w:szCs w:val="28"/>
        </w:rPr>
        <w:t xml:space="preserve">У хворих на ГІМ та ожиріння </w:t>
      </w:r>
      <w:r w:rsidRPr="00587E8D">
        <w:rPr>
          <w:szCs w:val="28"/>
          <w:lang w:val="en-US"/>
        </w:rPr>
        <w:t>I</w:t>
      </w:r>
      <w:r w:rsidRPr="00587E8D">
        <w:rPr>
          <w:szCs w:val="28"/>
        </w:rPr>
        <w:t xml:space="preserve"> ступеня порівняно з хворими на ГІМ без ожиріння за рівнем ЗХС відмінностей виявлено не було (</w:t>
      </w:r>
      <w:r w:rsidRPr="00587E8D">
        <w:rPr>
          <w:szCs w:val="28"/>
          <w:lang w:val="en-US"/>
        </w:rPr>
        <w:t>p</w:t>
      </w:r>
      <w:r w:rsidRPr="00587E8D">
        <w:rPr>
          <w:szCs w:val="28"/>
          <w:lang w:val="ru-RU"/>
        </w:rPr>
        <w:t>&gt;0,05</w:t>
      </w:r>
      <w:r w:rsidRPr="00587E8D">
        <w:rPr>
          <w:szCs w:val="28"/>
        </w:rPr>
        <w:t xml:space="preserve">) (табл. 3.6). Інші результати отримано при співставленні ЗХС у хворих з ГІМ та ожирінням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у яких рівень даного показника був вище, ніж у групі зіставлення, представленої хворими на ГІМ та нормальною масою тіла. За показником ТГ у хворих як за наявності ожиріння </w:t>
      </w:r>
      <w:r w:rsidRPr="00587E8D">
        <w:rPr>
          <w:szCs w:val="28"/>
          <w:lang w:val="en-US"/>
        </w:rPr>
        <w:t>I</w:t>
      </w:r>
      <w:r w:rsidRPr="00587E8D">
        <w:rPr>
          <w:szCs w:val="28"/>
        </w:rPr>
        <w:t xml:space="preserve">, так і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визначаються вищі рівні при зіставленні з хворими, що мали нормальну масу тіла. Подібні відмінності було отримано за параметром ЛПНЩ.</w:t>
      </w:r>
    </w:p>
    <w:p w:rsidR="00587E8D" w:rsidRPr="00587E8D" w:rsidRDefault="00587E8D" w:rsidP="00587E8D">
      <w:pPr>
        <w:spacing w:after="0" w:line="360" w:lineRule="auto"/>
        <w:ind w:firstLine="851"/>
        <w:jc w:val="both"/>
        <w:rPr>
          <w:szCs w:val="28"/>
        </w:rPr>
      </w:pPr>
      <w:r w:rsidRPr="00587E8D">
        <w:rPr>
          <w:szCs w:val="28"/>
        </w:rPr>
        <w:br w:type="page"/>
      </w:r>
    </w:p>
    <w:p w:rsidR="00587E8D" w:rsidRPr="00587E8D" w:rsidRDefault="00587E8D" w:rsidP="00E65049">
      <w:pPr>
        <w:spacing w:after="0" w:line="360" w:lineRule="auto"/>
        <w:ind w:left="7789"/>
        <w:jc w:val="both"/>
        <w:rPr>
          <w:i/>
          <w:szCs w:val="28"/>
        </w:rPr>
      </w:pPr>
      <w:r w:rsidRPr="00587E8D">
        <w:rPr>
          <w:i/>
          <w:szCs w:val="28"/>
        </w:rPr>
        <w:lastRenderedPageBreak/>
        <w:t>Таблиця 3.6</w:t>
      </w:r>
    </w:p>
    <w:p w:rsidR="00587E8D" w:rsidRPr="00587E8D" w:rsidRDefault="00587E8D" w:rsidP="007453A7">
      <w:pPr>
        <w:spacing w:after="0" w:line="360" w:lineRule="auto"/>
        <w:ind w:firstLine="851"/>
        <w:jc w:val="center"/>
        <w:rPr>
          <w:szCs w:val="28"/>
        </w:rPr>
      </w:pPr>
      <w:r w:rsidRPr="00587E8D">
        <w:rPr>
          <w:szCs w:val="28"/>
        </w:rPr>
        <w:t>Показники ліпідного профілю у пацієнтів з гострим інфарктом міокарда та ожирінням різного ступеня тяжкості і нормальною масою тіла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943"/>
        <w:gridCol w:w="2501"/>
        <w:gridCol w:w="2778"/>
      </w:tblGrid>
      <w:tr w:rsidR="00587E8D" w:rsidRPr="00587E8D" w:rsidTr="007453A7">
        <w:tc>
          <w:tcPr>
            <w:tcW w:w="1914" w:type="dxa"/>
            <w:vMerge w:val="restart"/>
          </w:tcPr>
          <w:p w:rsidR="00587E8D" w:rsidRPr="00587E8D" w:rsidRDefault="00587E8D" w:rsidP="007453A7">
            <w:pPr>
              <w:spacing w:after="0" w:line="240" w:lineRule="auto"/>
              <w:jc w:val="center"/>
              <w:rPr>
                <w:szCs w:val="28"/>
              </w:rPr>
            </w:pPr>
            <w:r w:rsidRPr="00587E8D">
              <w:rPr>
                <w:szCs w:val="28"/>
              </w:rPr>
              <w:t>Показник, од.виміру</w:t>
            </w:r>
          </w:p>
        </w:tc>
        <w:tc>
          <w:tcPr>
            <w:tcW w:w="8400" w:type="dxa"/>
            <w:gridSpan w:val="3"/>
          </w:tcPr>
          <w:p w:rsidR="00587E8D" w:rsidRPr="00587E8D" w:rsidRDefault="00587E8D" w:rsidP="007453A7">
            <w:pPr>
              <w:spacing w:after="0" w:line="240" w:lineRule="auto"/>
              <w:jc w:val="center"/>
              <w:rPr>
                <w:szCs w:val="28"/>
              </w:rPr>
            </w:pPr>
            <w:r w:rsidRPr="00587E8D">
              <w:rPr>
                <w:szCs w:val="28"/>
              </w:rPr>
              <w:t>Хворі на ГІМ</w:t>
            </w:r>
          </w:p>
        </w:tc>
      </w:tr>
      <w:tr w:rsidR="00587E8D" w:rsidRPr="00587E8D" w:rsidTr="007453A7">
        <w:tc>
          <w:tcPr>
            <w:tcW w:w="1914" w:type="dxa"/>
            <w:vMerge/>
          </w:tcPr>
          <w:p w:rsidR="00587E8D" w:rsidRPr="00587E8D" w:rsidRDefault="00587E8D" w:rsidP="007453A7">
            <w:pPr>
              <w:spacing w:after="0" w:line="240" w:lineRule="auto"/>
              <w:jc w:val="center"/>
              <w:rPr>
                <w:szCs w:val="28"/>
              </w:rPr>
            </w:pPr>
          </w:p>
        </w:tc>
        <w:tc>
          <w:tcPr>
            <w:tcW w:w="3014" w:type="dxa"/>
          </w:tcPr>
          <w:p w:rsidR="00587E8D" w:rsidRPr="00587E8D" w:rsidRDefault="00587E8D" w:rsidP="007453A7">
            <w:pPr>
              <w:spacing w:after="0" w:line="240" w:lineRule="auto"/>
              <w:jc w:val="center"/>
              <w:rPr>
                <w:szCs w:val="28"/>
                <w:lang w:val="ru-RU"/>
              </w:rPr>
            </w:pPr>
            <w:r w:rsidRPr="00587E8D">
              <w:rPr>
                <w:szCs w:val="28"/>
              </w:rPr>
              <w:t xml:space="preserve">Ожиріння </w:t>
            </w:r>
            <w:r w:rsidRPr="00587E8D">
              <w:rPr>
                <w:szCs w:val="28"/>
                <w:lang w:val="en-US"/>
              </w:rPr>
              <w:t>I</w:t>
            </w:r>
            <w:r w:rsidRPr="00587E8D">
              <w:rPr>
                <w:szCs w:val="28"/>
              </w:rPr>
              <w:t xml:space="preserve"> ступеня</w:t>
            </w:r>
          </w:p>
          <w:p w:rsidR="00587E8D" w:rsidRPr="00587E8D" w:rsidRDefault="00587E8D" w:rsidP="007453A7">
            <w:pPr>
              <w:spacing w:after="0" w:line="240" w:lineRule="auto"/>
              <w:jc w:val="center"/>
              <w:rPr>
                <w:szCs w:val="28"/>
              </w:rPr>
            </w:pPr>
            <w:r w:rsidRPr="00587E8D">
              <w:rPr>
                <w:szCs w:val="28"/>
                <w:lang w:val="ru-RU"/>
              </w:rPr>
              <w:t>(</w:t>
            </w:r>
            <w:r w:rsidRPr="00587E8D">
              <w:rPr>
                <w:szCs w:val="28"/>
                <w:lang w:val="en-US"/>
              </w:rPr>
              <w:t>n=</w:t>
            </w:r>
            <w:r w:rsidRPr="00587E8D">
              <w:rPr>
                <w:szCs w:val="28"/>
              </w:rPr>
              <w:t>39</w:t>
            </w:r>
            <w:r w:rsidRPr="00587E8D">
              <w:rPr>
                <w:szCs w:val="28"/>
                <w:lang w:val="ru-RU"/>
              </w:rPr>
              <w:t>)</w:t>
            </w:r>
          </w:p>
        </w:tc>
        <w:tc>
          <w:tcPr>
            <w:tcW w:w="2551" w:type="dxa"/>
          </w:tcPr>
          <w:p w:rsidR="00587E8D" w:rsidRPr="00587E8D" w:rsidRDefault="00587E8D" w:rsidP="007453A7">
            <w:pPr>
              <w:spacing w:after="0" w:line="240" w:lineRule="auto"/>
              <w:ind w:firstLine="34"/>
              <w:jc w:val="center"/>
              <w:rPr>
                <w:szCs w:val="28"/>
              </w:rPr>
            </w:pPr>
            <w:r w:rsidRPr="00587E8D">
              <w:rPr>
                <w:szCs w:val="28"/>
              </w:rPr>
              <w:t xml:space="preserve">Ожиріння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w:t>
            </w:r>
          </w:p>
          <w:p w:rsidR="00587E8D" w:rsidRPr="00587E8D" w:rsidRDefault="00587E8D" w:rsidP="007453A7">
            <w:pPr>
              <w:spacing w:after="0" w:line="240" w:lineRule="auto"/>
              <w:ind w:firstLine="34"/>
              <w:jc w:val="center"/>
              <w:rPr>
                <w:szCs w:val="28"/>
              </w:rPr>
            </w:pPr>
            <w:r w:rsidRPr="00587E8D">
              <w:rPr>
                <w:szCs w:val="28"/>
              </w:rPr>
              <w:t>(</w:t>
            </w:r>
            <w:r w:rsidRPr="00587E8D">
              <w:rPr>
                <w:szCs w:val="28"/>
                <w:lang w:val="en-US"/>
              </w:rPr>
              <w:t>n</w:t>
            </w:r>
            <w:r w:rsidRPr="00587E8D">
              <w:rPr>
                <w:szCs w:val="28"/>
              </w:rPr>
              <w:t>=36</w:t>
            </w:r>
            <w:r w:rsidRPr="00587E8D">
              <w:rPr>
                <w:szCs w:val="28"/>
                <w:lang w:val="ru-RU"/>
              </w:rPr>
              <w:t>)</w:t>
            </w:r>
          </w:p>
        </w:tc>
        <w:tc>
          <w:tcPr>
            <w:tcW w:w="2835" w:type="dxa"/>
          </w:tcPr>
          <w:p w:rsidR="00587E8D" w:rsidRPr="00587E8D" w:rsidRDefault="00587E8D" w:rsidP="007453A7">
            <w:pPr>
              <w:spacing w:after="0" w:line="240" w:lineRule="auto"/>
              <w:jc w:val="center"/>
              <w:rPr>
                <w:szCs w:val="28"/>
              </w:rPr>
            </w:pPr>
            <w:r w:rsidRPr="00587E8D">
              <w:rPr>
                <w:szCs w:val="28"/>
              </w:rPr>
              <w:t>Нормальна маса тіла (</w:t>
            </w:r>
            <w:r w:rsidRPr="00587E8D">
              <w:rPr>
                <w:szCs w:val="28"/>
                <w:lang w:val="en-US"/>
              </w:rPr>
              <w:t>n=</w:t>
            </w:r>
            <w:r w:rsidRPr="00587E8D">
              <w:rPr>
                <w:szCs w:val="28"/>
              </w:rPr>
              <w:t>30</w:t>
            </w:r>
            <w:r w:rsidRPr="00587E8D">
              <w:rPr>
                <w:szCs w:val="28"/>
                <w:lang w:val="ru-RU"/>
              </w:rPr>
              <w:t>)</w:t>
            </w:r>
          </w:p>
        </w:tc>
      </w:tr>
      <w:tr w:rsidR="00587E8D" w:rsidRPr="00587E8D" w:rsidTr="007453A7">
        <w:tc>
          <w:tcPr>
            <w:tcW w:w="1914" w:type="dxa"/>
            <w:vMerge/>
          </w:tcPr>
          <w:p w:rsidR="00587E8D" w:rsidRPr="00587E8D" w:rsidRDefault="00587E8D" w:rsidP="007453A7">
            <w:pPr>
              <w:spacing w:after="0" w:line="240" w:lineRule="auto"/>
              <w:jc w:val="center"/>
              <w:rPr>
                <w:szCs w:val="28"/>
              </w:rPr>
            </w:pPr>
          </w:p>
        </w:tc>
        <w:tc>
          <w:tcPr>
            <w:tcW w:w="3014" w:type="dxa"/>
          </w:tcPr>
          <w:p w:rsidR="00587E8D" w:rsidRPr="00587E8D" w:rsidRDefault="00587E8D" w:rsidP="007453A7">
            <w:pPr>
              <w:spacing w:after="0" w:line="240" w:lineRule="auto"/>
              <w:jc w:val="center"/>
              <w:rPr>
                <w:szCs w:val="28"/>
              </w:rPr>
            </w:pPr>
            <w:r w:rsidRPr="00587E8D">
              <w:rPr>
                <w:szCs w:val="28"/>
              </w:rPr>
              <w:t>1</w:t>
            </w:r>
          </w:p>
        </w:tc>
        <w:tc>
          <w:tcPr>
            <w:tcW w:w="2551" w:type="dxa"/>
          </w:tcPr>
          <w:p w:rsidR="00587E8D" w:rsidRPr="00587E8D" w:rsidRDefault="00587E8D" w:rsidP="007453A7">
            <w:pPr>
              <w:spacing w:after="0" w:line="240" w:lineRule="auto"/>
              <w:ind w:firstLine="34"/>
              <w:jc w:val="center"/>
              <w:rPr>
                <w:szCs w:val="28"/>
              </w:rPr>
            </w:pPr>
            <w:r w:rsidRPr="00587E8D">
              <w:rPr>
                <w:szCs w:val="28"/>
              </w:rPr>
              <w:t>2</w:t>
            </w:r>
          </w:p>
        </w:tc>
        <w:tc>
          <w:tcPr>
            <w:tcW w:w="2835" w:type="dxa"/>
          </w:tcPr>
          <w:p w:rsidR="00587E8D" w:rsidRPr="00587E8D" w:rsidRDefault="00587E8D" w:rsidP="007453A7">
            <w:pPr>
              <w:spacing w:after="0" w:line="240" w:lineRule="auto"/>
              <w:jc w:val="center"/>
              <w:rPr>
                <w:szCs w:val="28"/>
              </w:rPr>
            </w:pPr>
            <w:r w:rsidRPr="00587E8D">
              <w:rPr>
                <w:szCs w:val="28"/>
              </w:rPr>
              <w:t>3</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ЗХС, ммоль/л</w:t>
            </w:r>
          </w:p>
        </w:tc>
        <w:tc>
          <w:tcPr>
            <w:tcW w:w="3014" w:type="dxa"/>
          </w:tcPr>
          <w:p w:rsidR="00587E8D" w:rsidRPr="00587E8D" w:rsidRDefault="00587E8D" w:rsidP="007453A7">
            <w:pPr>
              <w:spacing w:after="0" w:line="240" w:lineRule="auto"/>
              <w:jc w:val="center"/>
              <w:rPr>
                <w:szCs w:val="28"/>
              </w:rPr>
            </w:pPr>
            <w:r w:rsidRPr="00587E8D">
              <w:rPr>
                <w:szCs w:val="28"/>
              </w:rPr>
              <w:t>5,38±0,16</w:t>
            </w:r>
          </w:p>
        </w:tc>
        <w:tc>
          <w:tcPr>
            <w:tcW w:w="2551" w:type="dxa"/>
          </w:tcPr>
          <w:p w:rsidR="00587E8D" w:rsidRPr="00587E8D" w:rsidRDefault="00587E8D" w:rsidP="007453A7">
            <w:pPr>
              <w:spacing w:after="0" w:line="240" w:lineRule="auto"/>
              <w:ind w:firstLine="34"/>
              <w:jc w:val="center"/>
              <w:rPr>
                <w:szCs w:val="28"/>
              </w:rPr>
            </w:pPr>
            <w:r w:rsidRPr="00587E8D">
              <w:rPr>
                <w:szCs w:val="28"/>
              </w:rPr>
              <w:t>5,89±0,07</w:t>
            </w:r>
          </w:p>
        </w:tc>
        <w:tc>
          <w:tcPr>
            <w:tcW w:w="2835" w:type="dxa"/>
          </w:tcPr>
          <w:p w:rsidR="00587E8D" w:rsidRPr="00587E8D" w:rsidRDefault="00587E8D" w:rsidP="007453A7">
            <w:pPr>
              <w:spacing w:after="0" w:line="240" w:lineRule="auto"/>
              <w:jc w:val="center"/>
              <w:rPr>
                <w:szCs w:val="28"/>
              </w:rPr>
            </w:pPr>
            <w:r w:rsidRPr="00587E8D">
              <w:rPr>
                <w:szCs w:val="28"/>
              </w:rPr>
              <w:t>5,35±0,04</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ТГ, ммоль/л</w:t>
            </w:r>
          </w:p>
        </w:tc>
        <w:tc>
          <w:tcPr>
            <w:tcW w:w="3014" w:type="dxa"/>
          </w:tcPr>
          <w:p w:rsidR="00587E8D" w:rsidRPr="00587E8D" w:rsidRDefault="00587E8D" w:rsidP="007453A7">
            <w:pPr>
              <w:spacing w:after="0" w:line="240" w:lineRule="auto"/>
              <w:jc w:val="center"/>
              <w:rPr>
                <w:szCs w:val="28"/>
              </w:rPr>
            </w:pPr>
            <w:r w:rsidRPr="00587E8D">
              <w:rPr>
                <w:szCs w:val="28"/>
              </w:rPr>
              <w:t>1,36±,13</w:t>
            </w:r>
          </w:p>
        </w:tc>
        <w:tc>
          <w:tcPr>
            <w:tcW w:w="2551" w:type="dxa"/>
          </w:tcPr>
          <w:p w:rsidR="00587E8D" w:rsidRPr="00587E8D" w:rsidRDefault="00587E8D" w:rsidP="007453A7">
            <w:pPr>
              <w:spacing w:after="0" w:line="240" w:lineRule="auto"/>
              <w:ind w:firstLine="34"/>
              <w:jc w:val="center"/>
              <w:rPr>
                <w:szCs w:val="28"/>
              </w:rPr>
            </w:pPr>
            <w:r w:rsidRPr="00587E8D">
              <w:rPr>
                <w:szCs w:val="28"/>
              </w:rPr>
              <w:t>1,41±0,06</w:t>
            </w:r>
          </w:p>
        </w:tc>
        <w:tc>
          <w:tcPr>
            <w:tcW w:w="2835" w:type="dxa"/>
          </w:tcPr>
          <w:p w:rsidR="00587E8D" w:rsidRPr="00587E8D" w:rsidRDefault="00587E8D" w:rsidP="007453A7">
            <w:pPr>
              <w:spacing w:after="0" w:line="240" w:lineRule="auto"/>
              <w:jc w:val="center"/>
              <w:rPr>
                <w:szCs w:val="28"/>
              </w:rPr>
            </w:pPr>
            <w:r w:rsidRPr="00587E8D">
              <w:rPr>
                <w:szCs w:val="28"/>
              </w:rPr>
              <w:t>0,59±0,02</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&lt;0,05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ЛПНЩ, ммоль/л</w:t>
            </w:r>
          </w:p>
        </w:tc>
        <w:tc>
          <w:tcPr>
            <w:tcW w:w="3014" w:type="dxa"/>
          </w:tcPr>
          <w:p w:rsidR="00587E8D" w:rsidRPr="00587E8D" w:rsidRDefault="00587E8D" w:rsidP="007453A7">
            <w:pPr>
              <w:spacing w:after="0" w:line="240" w:lineRule="auto"/>
              <w:jc w:val="center"/>
              <w:rPr>
                <w:szCs w:val="28"/>
              </w:rPr>
            </w:pPr>
            <w:r w:rsidRPr="00587E8D">
              <w:rPr>
                <w:szCs w:val="28"/>
              </w:rPr>
              <w:t>3,76±0,11</w:t>
            </w:r>
          </w:p>
        </w:tc>
        <w:tc>
          <w:tcPr>
            <w:tcW w:w="2551" w:type="dxa"/>
          </w:tcPr>
          <w:p w:rsidR="00587E8D" w:rsidRPr="00587E8D" w:rsidRDefault="00587E8D" w:rsidP="007453A7">
            <w:pPr>
              <w:spacing w:after="0" w:line="240" w:lineRule="auto"/>
              <w:ind w:firstLine="34"/>
              <w:jc w:val="center"/>
              <w:rPr>
                <w:szCs w:val="28"/>
              </w:rPr>
            </w:pPr>
            <w:r w:rsidRPr="00587E8D">
              <w:rPr>
                <w:szCs w:val="28"/>
              </w:rPr>
              <w:t>3,84±0,05</w:t>
            </w:r>
          </w:p>
        </w:tc>
        <w:tc>
          <w:tcPr>
            <w:tcW w:w="2835" w:type="dxa"/>
          </w:tcPr>
          <w:p w:rsidR="00587E8D" w:rsidRPr="00587E8D" w:rsidRDefault="00587E8D" w:rsidP="007453A7">
            <w:pPr>
              <w:spacing w:after="0" w:line="240" w:lineRule="auto"/>
              <w:jc w:val="center"/>
              <w:rPr>
                <w:szCs w:val="28"/>
              </w:rPr>
            </w:pPr>
            <w:r w:rsidRPr="00587E8D">
              <w:rPr>
                <w:szCs w:val="28"/>
              </w:rPr>
              <w:t>3,02±0,05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&lt;0,05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ЛПДНЩ, ммоль/л</w:t>
            </w:r>
          </w:p>
        </w:tc>
        <w:tc>
          <w:tcPr>
            <w:tcW w:w="3014" w:type="dxa"/>
          </w:tcPr>
          <w:p w:rsidR="00587E8D" w:rsidRPr="00587E8D" w:rsidRDefault="00587E8D" w:rsidP="007453A7">
            <w:pPr>
              <w:spacing w:after="0" w:line="240" w:lineRule="auto"/>
              <w:jc w:val="center"/>
              <w:rPr>
                <w:szCs w:val="28"/>
              </w:rPr>
            </w:pPr>
            <w:r w:rsidRPr="00587E8D">
              <w:rPr>
                <w:szCs w:val="28"/>
              </w:rPr>
              <w:t>0,45±19</w:t>
            </w:r>
          </w:p>
        </w:tc>
        <w:tc>
          <w:tcPr>
            <w:tcW w:w="2551" w:type="dxa"/>
          </w:tcPr>
          <w:p w:rsidR="00587E8D" w:rsidRPr="00587E8D" w:rsidRDefault="00587E8D" w:rsidP="007453A7">
            <w:pPr>
              <w:spacing w:after="0" w:line="240" w:lineRule="auto"/>
              <w:ind w:firstLine="34"/>
              <w:jc w:val="center"/>
              <w:rPr>
                <w:szCs w:val="28"/>
              </w:rPr>
            </w:pPr>
            <w:r w:rsidRPr="00587E8D">
              <w:rPr>
                <w:szCs w:val="28"/>
              </w:rPr>
              <w:t>0,62±0,03</w:t>
            </w:r>
          </w:p>
        </w:tc>
        <w:tc>
          <w:tcPr>
            <w:tcW w:w="2835" w:type="dxa"/>
          </w:tcPr>
          <w:p w:rsidR="00587E8D" w:rsidRPr="00587E8D" w:rsidRDefault="00587E8D" w:rsidP="007453A7">
            <w:pPr>
              <w:spacing w:after="0" w:line="240" w:lineRule="auto"/>
              <w:jc w:val="center"/>
              <w:rPr>
                <w:szCs w:val="28"/>
              </w:rPr>
            </w:pPr>
            <w:r w:rsidRPr="00587E8D">
              <w:rPr>
                <w:szCs w:val="28"/>
              </w:rPr>
              <w:t>0,44±0,01</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КА</w:t>
            </w:r>
          </w:p>
        </w:tc>
        <w:tc>
          <w:tcPr>
            <w:tcW w:w="3014" w:type="dxa"/>
          </w:tcPr>
          <w:p w:rsidR="00587E8D" w:rsidRPr="00587E8D" w:rsidRDefault="00587E8D" w:rsidP="007453A7">
            <w:pPr>
              <w:spacing w:after="0" w:line="240" w:lineRule="auto"/>
              <w:jc w:val="center"/>
              <w:rPr>
                <w:szCs w:val="28"/>
              </w:rPr>
            </w:pPr>
            <w:r w:rsidRPr="00587E8D">
              <w:rPr>
                <w:szCs w:val="28"/>
              </w:rPr>
              <w:t>3,39±0,21</w:t>
            </w:r>
          </w:p>
        </w:tc>
        <w:tc>
          <w:tcPr>
            <w:tcW w:w="2551" w:type="dxa"/>
          </w:tcPr>
          <w:p w:rsidR="00587E8D" w:rsidRPr="00587E8D" w:rsidRDefault="00587E8D" w:rsidP="007453A7">
            <w:pPr>
              <w:spacing w:after="0" w:line="240" w:lineRule="auto"/>
              <w:ind w:firstLine="34"/>
              <w:jc w:val="center"/>
              <w:rPr>
                <w:szCs w:val="28"/>
              </w:rPr>
            </w:pPr>
            <w:r w:rsidRPr="00587E8D">
              <w:rPr>
                <w:szCs w:val="28"/>
              </w:rPr>
              <w:t>4,11±0,07</w:t>
            </w:r>
          </w:p>
        </w:tc>
        <w:tc>
          <w:tcPr>
            <w:tcW w:w="2835" w:type="dxa"/>
          </w:tcPr>
          <w:p w:rsidR="00587E8D" w:rsidRPr="00587E8D" w:rsidRDefault="00587E8D" w:rsidP="007453A7">
            <w:pPr>
              <w:spacing w:after="0" w:line="240" w:lineRule="auto"/>
              <w:jc w:val="center"/>
              <w:rPr>
                <w:szCs w:val="28"/>
              </w:rPr>
            </w:pPr>
            <w:r w:rsidRPr="00587E8D">
              <w:rPr>
                <w:szCs w:val="28"/>
              </w:rPr>
              <w:t>3,33±0,03</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ЛПВЩ, ммоль/л</w:t>
            </w:r>
          </w:p>
        </w:tc>
        <w:tc>
          <w:tcPr>
            <w:tcW w:w="3014" w:type="dxa"/>
          </w:tcPr>
          <w:p w:rsidR="00587E8D" w:rsidRPr="00587E8D" w:rsidRDefault="00587E8D" w:rsidP="007453A7">
            <w:pPr>
              <w:spacing w:after="0" w:line="240" w:lineRule="auto"/>
              <w:jc w:val="center"/>
              <w:rPr>
                <w:szCs w:val="28"/>
              </w:rPr>
            </w:pPr>
            <w:r w:rsidRPr="00587E8D">
              <w:rPr>
                <w:szCs w:val="28"/>
              </w:rPr>
              <w:t>1,23±0,17</w:t>
            </w:r>
          </w:p>
        </w:tc>
        <w:tc>
          <w:tcPr>
            <w:tcW w:w="2551" w:type="dxa"/>
          </w:tcPr>
          <w:p w:rsidR="00587E8D" w:rsidRPr="00587E8D" w:rsidRDefault="00587E8D" w:rsidP="007453A7">
            <w:pPr>
              <w:spacing w:after="0" w:line="240" w:lineRule="auto"/>
              <w:ind w:firstLine="34"/>
              <w:jc w:val="center"/>
              <w:rPr>
                <w:szCs w:val="28"/>
              </w:rPr>
            </w:pPr>
            <w:r w:rsidRPr="00587E8D">
              <w:rPr>
                <w:szCs w:val="28"/>
              </w:rPr>
              <w:t>1,20±0,02</w:t>
            </w:r>
          </w:p>
        </w:tc>
        <w:tc>
          <w:tcPr>
            <w:tcW w:w="2835" w:type="dxa"/>
          </w:tcPr>
          <w:p w:rsidR="00587E8D" w:rsidRPr="00587E8D" w:rsidRDefault="00587E8D" w:rsidP="007453A7">
            <w:pPr>
              <w:spacing w:after="0" w:line="240" w:lineRule="auto"/>
              <w:jc w:val="center"/>
              <w:rPr>
                <w:szCs w:val="28"/>
              </w:rPr>
            </w:pPr>
            <w:r w:rsidRPr="00587E8D">
              <w:rPr>
                <w:szCs w:val="28"/>
              </w:rPr>
              <w:t>1,24±0,01</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За рівнем ЛПДНЩ, КА, ЛПВЩ відмінностей між хворими на ГІМ та різним ступенем вираженості ожиріння при співставленні з хворими, що не мали ожиріння виявлено не було (</w:t>
      </w:r>
      <w:r w:rsidRPr="00587E8D">
        <w:rPr>
          <w:szCs w:val="28"/>
          <w:lang w:val="en-US"/>
        </w:rPr>
        <w:t>p</w:t>
      </w:r>
      <w:r w:rsidRPr="00587E8D">
        <w:rPr>
          <w:szCs w:val="28"/>
        </w:rPr>
        <w:t xml:space="preserve">&gt;0,05). У хворих з ожирінням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порівняно з хворими на ГІМ без ожиріння, концентрації ЛПНЩ та КА достовірно перевищували такі в осіб з нормальною масою тіла (</w:t>
      </w:r>
      <w:r w:rsidRPr="00587E8D">
        <w:rPr>
          <w:szCs w:val="28"/>
          <w:lang w:val="en-US"/>
        </w:rPr>
        <w:t>p</w:t>
      </w:r>
      <w:r w:rsidRPr="00587E8D">
        <w:rPr>
          <w:szCs w:val="28"/>
          <w:lang w:val="ru-RU"/>
        </w:rPr>
        <w:t>&lt;0,05</w:t>
      </w:r>
      <w:r w:rsidRPr="00587E8D">
        <w:rPr>
          <w:szCs w:val="28"/>
        </w:rPr>
        <w:t>), а ЛПВЩ  - були нижче (</w:t>
      </w:r>
      <w:r w:rsidRPr="00587E8D">
        <w:rPr>
          <w:szCs w:val="28"/>
          <w:lang w:val="en-US"/>
        </w:rPr>
        <w:t>p</w:t>
      </w:r>
      <w:r w:rsidRPr="00587E8D">
        <w:rPr>
          <w:szCs w:val="28"/>
          <w:lang w:val="ru-RU"/>
        </w:rPr>
        <w:t>&lt;0,05</w:t>
      </w:r>
      <w:r w:rsidRPr="00587E8D">
        <w:rPr>
          <w:szCs w:val="28"/>
        </w:rPr>
        <w:t xml:space="preserve">). </w:t>
      </w:r>
    </w:p>
    <w:p w:rsidR="00587E8D" w:rsidRPr="00587E8D" w:rsidRDefault="00587E8D" w:rsidP="00587E8D">
      <w:pPr>
        <w:spacing w:after="0" w:line="360" w:lineRule="auto"/>
        <w:ind w:firstLine="851"/>
        <w:jc w:val="both"/>
        <w:rPr>
          <w:szCs w:val="28"/>
        </w:rPr>
      </w:pPr>
      <w:r w:rsidRPr="00587E8D">
        <w:rPr>
          <w:szCs w:val="28"/>
        </w:rPr>
        <w:t xml:space="preserve">Таким чином, у хворих за наявності ожиріння та з наростанням його ступеня отримано результати, що свідчать про порушення ліпідного профілю зі зростанням атерогенних фракцій ліпідограми. </w:t>
      </w:r>
    </w:p>
    <w:p w:rsidR="00587E8D" w:rsidRPr="00587E8D" w:rsidRDefault="00587E8D" w:rsidP="00587E8D">
      <w:pPr>
        <w:spacing w:after="0" w:line="360" w:lineRule="auto"/>
        <w:ind w:firstLine="851"/>
        <w:jc w:val="both"/>
        <w:rPr>
          <w:szCs w:val="28"/>
        </w:rPr>
      </w:pPr>
      <w:r w:rsidRPr="00587E8D">
        <w:rPr>
          <w:szCs w:val="28"/>
        </w:rPr>
        <w:lastRenderedPageBreak/>
        <w:t>Наступним етапом у дизайні нашого дослідження була оцінка змін галектину-3 та вітронектину у хворих на ГІМ та ожиріння згідно наявності ускладненого госпітального періоду ІМ. Дані наведено в таблиці 3.7.</w:t>
      </w:r>
    </w:p>
    <w:p w:rsidR="00587E8D" w:rsidRPr="00587E8D" w:rsidRDefault="00587E8D" w:rsidP="00E65049">
      <w:pPr>
        <w:spacing w:after="0" w:line="360" w:lineRule="auto"/>
        <w:ind w:left="7789"/>
        <w:jc w:val="both"/>
        <w:rPr>
          <w:i/>
          <w:szCs w:val="28"/>
        </w:rPr>
      </w:pPr>
      <w:r w:rsidRPr="00587E8D">
        <w:rPr>
          <w:i/>
          <w:szCs w:val="28"/>
        </w:rPr>
        <w:t>Таблиця 3.7</w:t>
      </w:r>
    </w:p>
    <w:p w:rsidR="00587E8D" w:rsidRPr="00587E8D" w:rsidRDefault="00587E8D" w:rsidP="007571E1">
      <w:pPr>
        <w:spacing w:after="0" w:line="360" w:lineRule="auto"/>
        <w:ind w:firstLine="851"/>
        <w:jc w:val="center"/>
        <w:rPr>
          <w:szCs w:val="28"/>
        </w:rPr>
      </w:pPr>
      <w:r w:rsidRPr="00587E8D">
        <w:rPr>
          <w:szCs w:val="28"/>
        </w:rPr>
        <w:t>Рівень галектину-3 та вітронектину у хворих на гострий інфаркт міокарда та ожиріння згідно наявності ускладненого госпітального періоду інфаркту міокарда</w:t>
      </w:r>
    </w:p>
    <w:tbl>
      <w:tblPr>
        <w:tblStyle w:val="ab"/>
        <w:tblW w:w="0" w:type="auto"/>
        <w:tblLook w:val="04A0" w:firstRow="1" w:lastRow="0" w:firstColumn="1" w:lastColumn="0" w:noHBand="0" w:noVBand="1"/>
      </w:tblPr>
      <w:tblGrid>
        <w:gridCol w:w="3133"/>
        <w:gridCol w:w="3514"/>
        <w:gridCol w:w="3468"/>
      </w:tblGrid>
      <w:tr w:rsidR="00587E8D" w:rsidRPr="00587E8D" w:rsidTr="007453A7">
        <w:tc>
          <w:tcPr>
            <w:tcW w:w="3192" w:type="dxa"/>
            <w:vMerge w:val="restart"/>
          </w:tcPr>
          <w:p w:rsidR="00587E8D" w:rsidRPr="00587E8D" w:rsidRDefault="00587E8D" w:rsidP="007453A7">
            <w:pPr>
              <w:spacing w:line="276" w:lineRule="auto"/>
              <w:jc w:val="both"/>
              <w:rPr>
                <w:szCs w:val="28"/>
              </w:rPr>
            </w:pPr>
            <w:r w:rsidRPr="00587E8D">
              <w:rPr>
                <w:szCs w:val="28"/>
              </w:rPr>
              <w:t>Показник, од. виміру</w:t>
            </w:r>
          </w:p>
        </w:tc>
        <w:tc>
          <w:tcPr>
            <w:tcW w:w="7122" w:type="dxa"/>
            <w:gridSpan w:val="2"/>
          </w:tcPr>
          <w:p w:rsidR="00587E8D" w:rsidRPr="00587E8D" w:rsidRDefault="00587E8D" w:rsidP="007453A7">
            <w:pPr>
              <w:spacing w:line="276" w:lineRule="auto"/>
              <w:ind w:firstLine="851"/>
              <w:jc w:val="center"/>
              <w:rPr>
                <w:szCs w:val="28"/>
              </w:rPr>
            </w:pPr>
            <w:r w:rsidRPr="00587E8D">
              <w:rPr>
                <w:szCs w:val="28"/>
              </w:rPr>
              <w:t>Хворі на ГІМ та ожиріння</w:t>
            </w:r>
          </w:p>
        </w:tc>
      </w:tr>
      <w:tr w:rsidR="00587E8D" w:rsidRPr="00587E8D" w:rsidTr="007453A7">
        <w:tc>
          <w:tcPr>
            <w:tcW w:w="3192" w:type="dxa"/>
            <w:vMerge/>
          </w:tcPr>
          <w:p w:rsidR="00587E8D" w:rsidRPr="00587E8D" w:rsidRDefault="00587E8D" w:rsidP="007453A7">
            <w:pPr>
              <w:spacing w:line="276" w:lineRule="auto"/>
              <w:jc w:val="both"/>
              <w:rPr>
                <w:szCs w:val="28"/>
              </w:rPr>
            </w:pPr>
          </w:p>
        </w:tc>
        <w:tc>
          <w:tcPr>
            <w:tcW w:w="3579" w:type="dxa"/>
          </w:tcPr>
          <w:p w:rsidR="00587E8D" w:rsidRPr="00587E8D" w:rsidRDefault="00587E8D" w:rsidP="007453A7">
            <w:pPr>
              <w:spacing w:line="276" w:lineRule="auto"/>
              <w:jc w:val="center"/>
              <w:rPr>
                <w:szCs w:val="28"/>
              </w:rPr>
            </w:pPr>
            <w:r w:rsidRPr="00587E8D">
              <w:rPr>
                <w:szCs w:val="28"/>
              </w:rPr>
              <w:t>з ускладненнями</w:t>
            </w:r>
            <w:r w:rsidR="007571E1">
              <w:rPr>
                <w:szCs w:val="28"/>
              </w:rPr>
              <w:t xml:space="preserve"> (</w:t>
            </w:r>
            <w:r w:rsidR="007571E1">
              <w:rPr>
                <w:szCs w:val="28"/>
                <w:lang w:val="en-US"/>
              </w:rPr>
              <w:t>n=</w:t>
            </w:r>
            <w:r w:rsidR="00FB58A8">
              <w:rPr>
                <w:szCs w:val="28"/>
                <w:lang w:val="en-US"/>
              </w:rPr>
              <w:t>32</w:t>
            </w:r>
            <w:r w:rsidR="007571E1">
              <w:rPr>
                <w:szCs w:val="28"/>
              </w:rPr>
              <w:t>)</w:t>
            </w:r>
          </w:p>
        </w:tc>
        <w:tc>
          <w:tcPr>
            <w:tcW w:w="3543" w:type="dxa"/>
          </w:tcPr>
          <w:p w:rsidR="00587E8D" w:rsidRPr="00FB58A8" w:rsidRDefault="00587E8D" w:rsidP="007453A7">
            <w:pPr>
              <w:spacing w:line="276" w:lineRule="auto"/>
              <w:jc w:val="center"/>
              <w:rPr>
                <w:szCs w:val="28"/>
                <w:lang w:val="en-US"/>
              </w:rPr>
            </w:pPr>
            <w:r w:rsidRPr="00587E8D">
              <w:rPr>
                <w:szCs w:val="28"/>
              </w:rPr>
              <w:t>без ускладнень</w:t>
            </w:r>
            <w:r w:rsidR="00FB58A8">
              <w:rPr>
                <w:szCs w:val="28"/>
                <w:lang w:val="en-US"/>
              </w:rPr>
              <w:t xml:space="preserve"> (n=43)</w:t>
            </w:r>
          </w:p>
        </w:tc>
      </w:tr>
      <w:tr w:rsidR="00587E8D" w:rsidRPr="00587E8D" w:rsidTr="007453A7">
        <w:tc>
          <w:tcPr>
            <w:tcW w:w="3192" w:type="dxa"/>
          </w:tcPr>
          <w:p w:rsidR="00587E8D" w:rsidRPr="00587E8D" w:rsidRDefault="00587E8D" w:rsidP="007453A7">
            <w:pPr>
              <w:spacing w:line="276" w:lineRule="auto"/>
              <w:jc w:val="both"/>
              <w:rPr>
                <w:szCs w:val="28"/>
              </w:rPr>
            </w:pPr>
            <w:r w:rsidRPr="00587E8D">
              <w:rPr>
                <w:szCs w:val="28"/>
              </w:rPr>
              <w:t>Вітронектин, нг/мл</w:t>
            </w:r>
          </w:p>
        </w:tc>
        <w:tc>
          <w:tcPr>
            <w:tcW w:w="3579" w:type="dxa"/>
          </w:tcPr>
          <w:p w:rsidR="00587E8D" w:rsidRPr="00587E8D" w:rsidRDefault="00587E8D" w:rsidP="007453A7">
            <w:pPr>
              <w:spacing w:line="276" w:lineRule="auto"/>
              <w:jc w:val="center"/>
              <w:rPr>
                <w:szCs w:val="28"/>
              </w:rPr>
            </w:pPr>
            <w:r w:rsidRPr="00587E8D">
              <w:rPr>
                <w:szCs w:val="28"/>
              </w:rPr>
              <w:t>454,51±17,3</w:t>
            </w:r>
          </w:p>
        </w:tc>
        <w:tc>
          <w:tcPr>
            <w:tcW w:w="3543" w:type="dxa"/>
          </w:tcPr>
          <w:p w:rsidR="00587E8D" w:rsidRPr="00587E8D" w:rsidRDefault="00587E8D" w:rsidP="007453A7">
            <w:pPr>
              <w:spacing w:line="276" w:lineRule="auto"/>
              <w:jc w:val="center"/>
              <w:rPr>
                <w:szCs w:val="28"/>
              </w:rPr>
            </w:pPr>
            <w:r w:rsidRPr="00587E8D">
              <w:rPr>
                <w:szCs w:val="28"/>
              </w:rPr>
              <w:t>383,52±12,01</w:t>
            </w:r>
          </w:p>
          <w:p w:rsidR="00587E8D" w:rsidRPr="00587E8D" w:rsidRDefault="00587E8D" w:rsidP="007453A7">
            <w:pPr>
              <w:spacing w:line="276" w:lineRule="auto"/>
              <w:jc w:val="center"/>
              <w:rPr>
                <w:szCs w:val="28"/>
              </w:rPr>
            </w:pPr>
            <w:r w:rsidRPr="00587E8D">
              <w:rPr>
                <w:szCs w:val="28"/>
              </w:rPr>
              <w:t>р</w:t>
            </w:r>
            <w:r w:rsidRPr="00587E8D">
              <w:rPr>
                <w:szCs w:val="28"/>
                <w:lang w:val="en-US"/>
              </w:rPr>
              <w:t>&lt;0,01</w:t>
            </w:r>
          </w:p>
        </w:tc>
      </w:tr>
      <w:tr w:rsidR="00587E8D" w:rsidRPr="00587E8D" w:rsidTr="007453A7">
        <w:tc>
          <w:tcPr>
            <w:tcW w:w="3192" w:type="dxa"/>
          </w:tcPr>
          <w:p w:rsidR="00587E8D" w:rsidRPr="00587E8D" w:rsidRDefault="00587E8D" w:rsidP="007453A7">
            <w:pPr>
              <w:spacing w:line="276" w:lineRule="auto"/>
              <w:jc w:val="both"/>
              <w:rPr>
                <w:szCs w:val="28"/>
              </w:rPr>
            </w:pPr>
            <w:r w:rsidRPr="00587E8D">
              <w:rPr>
                <w:szCs w:val="28"/>
              </w:rPr>
              <w:t>Галектин-3, нг/мл</w:t>
            </w:r>
          </w:p>
        </w:tc>
        <w:tc>
          <w:tcPr>
            <w:tcW w:w="3579" w:type="dxa"/>
          </w:tcPr>
          <w:p w:rsidR="00587E8D" w:rsidRPr="00587E8D" w:rsidRDefault="00587E8D" w:rsidP="007453A7">
            <w:pPr>
              <w:spacing w:line="276" w:lineRule="auto"/>
              <w:jc w:val="center"/>
              <w:rPr>
                <w:szCs w:val="28"/>
              </w:rPr>
            </w:pPr>
            <w:r w:rsidRPr="00587E8D">
              <w:rPr>
                <w:szCs w:val="28"/>
              </w:rPr>
              <w:t>36,1±0,47</w:t>
            </w:r>
          </w:p>
        </w:tc>
        <w:tc>
          <w:tcPr>
            <w:tcW w:w="3543" w:type="dxa"/>
          </w:tcPr>
          <w:p w:rsidR="00587E8D" w:rsidRPr="00587E8D" w:rsidRDefault="00587E8D" w:rsidP="007453A7">
            <w:pPr>
              <w:spacing w:line="276" w:lineRule="auto"/>
              <w:jc w:val="center"/>
              <w:rPr>
                <w:szCs w:val="28"/>
              </w:rPr>
            </w:pPr>
            <w:r w:rsidRPr="00587E8D">
              <w:rPr>
                <w:szCs w:val="28"/>
              </w:rPr>
              <w:t>28,5±0,43</w:t>
            </w:r>
          </w:p>
          <w:p w:rsidR="00587E8D" w:rsidRPr="00587E8D" w:rsidRDefault="00587E8D" w:rsidP="007453A7">
            <w:pPr>
              <w:spacing w:line="276" w:lineRule="auto"/>
              <w:jc w:val="center"/>
              <w:rPr>
                <w:szCs w:val="28"/>
              </w:rPr>
            </w:pPr>
            <w:r w:rsidRPr="00587E8D">
              <w:rPr>
                <w:szCs w:val="28"/>
              </w:rPr>
              <w:t>р</w:t>
            </w:r>
            <w:r w:rsidRPr="00587E8D">
              <w:rPr>
                <w:szCs w:val="28"/>
                <w:lang w:val="en-US"/>
              </w:rPr>
              <w:t>&lt;0,</w:t>
            </w:r>
            <w:r w:rsidRPr="00587E8D">
              <w:rPr>
                <w:szCs w:val="28"/>
              </w:rPr>
              <w:t>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Як видно з таблиці 3.7, у хворих з ожирінням за умов наявності ускладнень протягом госпітального періоду ГІМ рівень вітронектину був вище, порівняно з хворими на ГІМ без ускладнень при ожирінні (р&lt;0,01). Що стосується галектину-3, концентрація даного параметра у хворих, що мали супутнє ожиріння за наявності ускладненого перебігу ГІМ у госпітальному періоді перевищувала таку у хворих без ускладнень ГІМ (р&lt;0,05). </w:t>
      </w:r>
    </w:p>
    <w:p w:rsidR="00587E8D" w:rsidRPr="00587E8D" w:rsidRDefault="00587E8D" w:rsidP="00587E8D">
      <w:pPr>
        <w:spacing w:after="0" w:line="360" w:lineRule="auto"/>
        <w:ind w:firstLine="851"/>
        <w:jc w:val="both"/>
        <w:rPr>
          <w:szCs w:val="28"/>
        </w:rPr>
      </w:pPr>
      <w:r w:rsidRPr="00587E8D">
        <w:rPr>
          <w:szCs w:val="28"/>
        </w:rPr>
        <w:t xml:space="preserve">Отримані результати можуть свідчити про можливість вивчення прогностичних властивостей даних маркерів щодо оцінки ризику виникнення повторних кардіоваскулярних подій, що детально розглянуто нами у розділі 7. </w:t>
      </w:r>
    </w:p>
    <w:p w:rsidR="00587E8D" w:rsidRPr="00F407BB" w:rsidRDefault="00587E8D" w:rsidP="00587E8D">
      <w:pPr>
        <w:spacing w:after="0" w:line="360" w:lineRule="auto"/>
        <w:ind w:firstLine="851"/>
        <w:jc w:val="both"/>
        <w:rPr>
          <w:szCs w:val="28"/>
          <w:lang w:val="ru-RU"/>
        </w:rPr>
      </w:pPr>
      <w:r w:rsidRPr="00587E8D">
        <w:rPr>
          <w:szCs w:val="28"/>
        </w:rPr>
        <w:t>Хворі з ГІМ та ожирінням також були розподілені згідно наявності одно- та мультисудинного ураження коронарних артерій за даними ангіографічного обстеження, що обумовило наступний етап дослідження з вивчення змін активності галектину-3 та вітронектину в даних когортах хворих. Дані наведено в таблиці 3.8.</w:t>
      </w:r>
    </w:p>
    <w:p w:rsidR="007453A7" w:rsidRPr="00587E8D" w:rsidRDefault="007453A7" w:rsidP="007453A7">
      <w:pPr>
        <w:spacing w:after="0" w:line="360" w:lineRule="auto"/>
        <w:ind w:firstLine="851"/>
        <w:jc w:val="both"/>
        <w:rPr>
          <w:szCs w:val="28"/>
        </w:rPr>
      </w:pPr>
      <w:r w:rsidRPr="00587E8D">
        <w:rPr>
          <w:szCs w:val="28"/>
        </w:rPr>
        <w:t xml:space="preserve">Знайдено, що рівень вітронектину у хворих на ГІМ та ожиріння за умов мультисудинного ураження достовірно перевищував такий у хворих з односудинним ураженням. Подібні відмінності простежено стосовно </w:t>
      </w:r>
      <w:r w:rsidRPr="00587E8D">
        <w:rPr>
          <w:szCs w:val="28"/>
        </w:rPr>
        <w:lastRenderedPageBreak/>
        <w:t>концентрації галектину-3, який при мультисудинному ураженні коронарних артерій був достовірно вище , ніж у хворих на ГІМ та ожиріння, що мали односудинне ураження. Даний факт свідчить на користь можливого залучення параметрів, що вивчаються, до патогенезу атеросклерозу.</w:t>
      </w:r>
    </w:p>
    <w:p w:rsidR="00587E8D" w:rsidRPr="00587E8D" w:rsidRDefault="00587E8D" w:rsidP="00963601">
      <w:pPr>
        <w:spacing w:after="0" w:line="360" w:lineRule="auto"/>
        <w:ind w:left="7789"/>
        <w:jc w:val="both"/>
        <w:rPr>
          <w:i/>
          <w:szCs w:val="28"/>
        </w:rPr>
      </w:pPr>
      <w:r w:rsidRPr="00587E8D">
        <w:rPr>
          <w:i/>
          <w:szCs w:val="28"/>
        </w:rPr>
        <w:t>Таблиця 3.8.</w:t>
      </w:r>
    </w:p>
    <w:p w:rsidR="00587E8D" w:rsidRPr="00587E8D" w:rsidRDefault="00587E8D" w:rsidP="00FB58A8">
      <w:pPr>
        <w:spacing w:after="0" w:line="360" w:lineRule="auto"/>
        <w:ind w:firstLine="851"/>
        <w:jc w:val="center"/>
        <w:rPr>
          <w:szCs w:val="28"/>
        </w:rPr>
      </w:pPr>
      <w:r w:rsidRPr="00587E8D">
        <w:rPr>
          <w:szCs w:val="28"/>
        </w:rPr>
        <w:t>Рівні галектину -3 та вітронектину у хворих на гострий інфаркт міокарда та ожиріння згідно наявності одно- та мультисудинного ураження коронарних артерій</w:t>
      </w:r>
    </w:p>
    <w:tbl>
      <w:tblPr>
        <w:tblStyle w:val="ab"/>
        <w:tblW w:w="10031" w:type="dxa"/>
        <w:tblLook w:val="04A0" w:firstRow="1" w:lastRow="0" w:firstColumn="1" w:lastColumn="0" w:noHBand="0" w:noVBand="1"/>
      </w:tblPr>
      <w:tblGrid>
        <w:gridCol w:w="2943"/>
        <w:gridCol w:w="3828"/>
        <w:gridCol w:w="3260"/>
      </w:tblGrid>
      <w:tr w:rsidR="00587E8D" w:rsidRPr="00587E8D" w:rsidTr="00963601">
        <w:tc>
          <w:tcPr>
            <w:tcW w:w="2943" w:type="dxa"/>
          </w:tcPr>
          <w:p w:rsidR="00587E8D" w:rsidRPr="00587E8D" w:rsidRDefault="00587E8D" w:rsidP="00F85A7A">
            <w:pPr>
              <w:jc w:val="center"/>
              <w:rPr>
                <w:szCs w:val="28"/>
              </w:rPr>
            </w:pPr>
            <w:r w:rsidRPr="00587E8D">
              <w:rPr>
                <w:szCs w:val="28"/>
              </w:rPr>
              <w:t>Показник, од. виміру</w:t>
            </w:r>
          </w:p>
        </w:tc>
        <w:tc>
          <w:tcPr>
            <w:tcW w:w="7088" w:type="dxa"/>
            <w:gridSpan w:val="2"/>
          </w:tcPr>
          <w:p w:rsidR="00587E8D" w:rsidRPr="00587E8D" w:rsidRDefault="00587E8D" w:rsidP="00F85A7A">
            <w:pPr>
              <w:ind w:firstLine="851"/>
              <w:jc w:val="center"/>
              <w:rPr>
                <w:szCs w:val="28"/>
              </w:rPr>
            </w:pPr>
            <w:r w:rsidRPr="00587E8D">
              <w:rPr>
                <w:szCs w:val="28"/>
              </w:rPr>
              <w:t>Хворі на ГІМ та ожиріння</w:t>
            </w:r>
          </w:p>
        </w:tc>
      </w:tr>
      <w:tr w:rsidR="00587E8D" w:rsidRPr="00587E8D" w:rsidTr="00963601">
        <w:tc>
          <w:tcPr>
            <w:tcW w:w="2943" w:type="dxa"/>
          </w:tcPr>
          <w:p w:rsidR="00587E8D" w:rsidRPr="00587E8D" w:rsidRDefault="00587E8D" w:rsidP="00F85A7A">
            <w:pPr>
              <w:jc w:val="center"/>
              <w:rPr>
                <w:szCs w:val="28"/>
              </w:rPr>
            </w:pPr>
          </w:p>
        </w:tc>
        <w:tc>
          <w:tcPr>
            <w:tcW w:w="3828" w:type="dxa"/>
          </w:tcPr>
          <w:p w:rsidR="00587E8D" w:rsidRPr="000E2606" w:rsidRDefault="00587E8D" w:rsidP="00F85A7A">
            <w:pPr>
              <w:jc w:val="center"/>
              <w:rPr>
                <w:szCs w:val="28"/>
                <w:lang w:val="en-US"/>
              </w:rPr>
            </w:pPr>
            <w:r w:rsidRPr="00587E8D">
              <w:rPr>
                <w:szCs w:val="28"/>
              </w:rPr>
              <w:t>Односудинне ураження КА</w:t>
            </w:r>
          </w:p>
          <w:p w:rsidR="000E2606" w:rsidRPr="000E2606" w:rsidRDefault="00FB58A8" w:rsidP="00F85A7A">
            <w:pPr>
              <w:jc w:val="center"/>
              <w:rPr>
                <w:szCs w:val="28"/>
                <w:lang w:val="en-US"/>
              </w:rPr>
            </w:pPr>
            <w:r>
              <w:rPr>
                <w:szCs w:val="28"/>
                <w:lang w:val="en-US"/>
              </w:rPr>
              <w:t>(</w:t>
            </w:r>
            <w:r w:rsidR="000E2606">
              <w:rPr>
                <w:szCs w:val="28"/>
                <w:lang w:val="en-US"/>
              </w:rPr>
              <w:t>n=13</w:t>
            </w:r>
            <w:r>
              <w:rPr>
                <w:szCs w:val="28"/>
                <w:lang w:val="en-US"/>
              </w:rPr>
              <w:t>)</w:t>
            </w:r>
          </w:p>
        </w:tc>
        <w:tc>
          <w:tcPr>
            <w:tcW w:w="3260" w:type="dxa"/>
          </w:tcPr>
          <w:p w:rsidR="00587E8D" w:rsidRPr="000E2606" w:rsidRDefault="00587E8D" w:rsidP="00F85A7A">
            <w:pPr>
              <w:ind w:hanging="5"/>
              <w:jc w:val="center"/>
              <w:rPr>
                <w:szCs w:val="28"/>
                <w:lang w:val="en-US"/>
              </w:rPr>
            </w:pPr>
            <w:r w:rsidRPr="00587E8D">
              <w:rPr>
                <w:szCs w:val="28"/>
              </w:rPr>
              <w:t>Мультисудинне ураження КА</w:t>
            </w:r>
            <w:r w:rsidR="000E2606">
              <w:rPr>
                <w:szCs w:val="28"/>
                <w:lang w:val="en-US"/>
              </w:rPr>
              <w:t xml:space="preserve"> </w:t>
            </w:r>
            <w:r w:rsidR="00FB58A8">
              <w:rPr>
                <w:szCs w:val="28"/>
                <w:lang w:val="en-US"/>
              </w:rPr>
              <w:t>(</w:t>
            </w:r>
            <w:r w:rsidR="000E2606">
              <w:rPr>
                <w:szCs w:val="28"/>
                <w:lang w:val="en-US"/>
              </w:rPr>
              <w:t>n=18</w:t>
            </w:r>
            <w:r w:rsidR="00FB58A8">
              <w:rPr>
                <w:szCs w:val="28"/>
                <w:lang w:val="en-US"/>
              </w:rPr>
              <w:t>)</w:t>
            </w:r>
          </w:p>
        </w:tc>
      </w:tr>
      <w:tr w:rsidR="00587E8D" w:rsidRPr="00587E8D" w:rsidTr="00963601">
        <w:tc>
          <w:tcPr>
            <w:tcW w:w="2943" w:type="dxa"/>
          </w:tcPr>
          <w:p w:rsidR="00587E8D" w:rsidRPr="00587E8D" w:rsidRDefault="00587E8D" w:rsidP="00F85A7A">
            <w:pPr>
              <w:jc w:val="center"/>
              <w:rPr>
                <w:szCs w:val="28"/>
              </w:rPr>
            </w:pPr>
            <w:r w:rsidRPr="00587E8D">
              <w:rPr>
                <w:szCs w:val="28"/>
              </w:rPr>
              <w:t>Вітронектин, нг/мл</w:t>
            </w:r>
          </w:p>
        </w:tc>
        <w:tc>
          <w:tcPr>
            <w:tcW w:w="3828" w:type="dxa"/>
          </w:tcPr>
          <w:p w:rsidR="00587E8D" w:rsidRPr="00587E8D" w:rsidRDefault="00587E8D" w:rsidP="00F85A7A">
            <w:pPr>
              <w:jc w:val="center"/>
              <w:rPr>
                <w:szCs w:val="28"/>
              </w:rPr>
            </w:pPr>
            <w:r w:rsidRPr="00587E8D">
              <w:rPr>
                <w:szCs w:val="28"/>
              </w:rPr>
              <w:t>379,18±24,8</w:t>
            </w:r>
          </w:p>
        </w:tc>
        <w:tc>
          <w:tcPr>
            <w:tcW w:w="3260" w:type="dxa"/>
          </w:tcPr>
          <w:p w:rsidR="00587E8D" w:rsidRPr="00587E8D" w:rsidRDefault="00587E8D" w:rsidP="00F85A7A">
            <w:pPr>
              <w:ind w:hanging="5"/>
              <w:jc w:val="center"/>
              <w:rPr>
                <w:szCs w:val="28"/>
              </w:rPr>
            </w:pPr>
            <w:r w:rsidRPr="00587E8D">
              <w:rPr>
                <w:szCs w:val="28"/>
              </w:rPr>
              <w:t>461,33±21,5</w:t>
            </w:r>
          </w:p>
          <w:p w:rsidR="00587E8D" w:rsidRPr="00587E8D" w:rsidRDefault="00587E8D" w:rsidP="00F85A7A">
            <w:pPr>
              <w:ind w:hanging="5"/>
              <w:jc w:val="center"/>
              <w:rPr>
                <w:szCs w:val="28"/>
              </w:rPr>
            </w:pPr>
            <w:r w:rsidRPr="00587E8D">
              <w:rPr>
                <w:szCs w:val="28"/>
              </w:rPr>
              <w:t>р</w:t>
            </w:r>
            <w:r w:rsidRPr="00587E8D">
              <w:rPr>
                <w:szCs w:val="28"/>
                <w:lang w:val="en-US"/>
              </w:rPr>
              <w:t>&lt;0,</w:t>
            </w:r>
            <w:r w:rsidRPr="00587E8D">
              <w:rPr>
                <w:szCs w:val="28"/>
              </w:rPr>
              <w:t>05</w:t>
            </w:r>
          </w:p>
        </w:tc>
      </w:tr>
      <w:tr w:rsidR="00587E8D" w:rsidRPr="00587E8D" w:rsidTr="00963601">
        <w:tc>
          <w:tcPr>
            <w:tcW w:w="2943" w:type="dxa"/>
          </w:tcPr>
          <w:p w:rsidR="00587E8D" w:rsidRPr="00587E8D" w:rsidRDefault="00587E8D" w:rsidP="00F85A7A">
            <w:pPr>
              <w:jc w:val="center"/>
              <w:rPr>
                <w:szCs w:val="28"/>
              </w:rPr>
            </w:pPr>
            <w:r w:rsidRPr="00587E8D">
              <w:rPr>
                <w:szCs w:val="28"/>
              </w:rPr>
              <w:t>Галектин-3, нг/мл</w:t>
            </w:r>
          </w:p>
        </w:tc>
        <w:tc>
          <w:tcPr>
            <w:tcW w:w="3828" w:type="dxa"/>
          </w:tcPr>
          <w:p w:rsidR="00587E8D" w:rsidRPr="00587E8D" w:rsidRDefault="00587E8D" w:rsidP="00F85A7A">
            <w:pPr>
              <w:jc w:val="center"/>
              <w:rPr>
                <w:szCs w:val="28"/>
              </w:rPr>
            </w:pPr>
            <w:r w:rsidRPr="00587E8D">
              <w:rPr>
                <w:szCs w:val="28"/>
              </w:rPr>
              <w:t>27,44±1,95</w:t>
            </w:r>
          </w:p>
        </w:tc>
        <w:tc>
          <w:tcPr>
            <w:tcW w:w="3260" w:type="dxa"/>
          </w:tcPr>
          <w:p w:rsidR="00587E8D" w:rsidRPr="00587E8D" w:rsidRDefault="00587E8D" w:rsidP="00F85A7A">
            <w:pPr>
              <w:ind w:hanging="5"/>
              <w:jc w:val="center"/>
              <w:rPr>
                <w:szCs w:val="28"/>
              </w:rPr>
            </w:pPr>
            <w:r w:rsidRPr="00587E8D">
              <w:rPr>
                <w:szCs w:val="28"/>
              </w:rPr>
              <w:t>32,17±1,15</w:t>
            </w:r>
          </w:p>
          <w:p w:rsidR="00587E8D" w:rsidRPr="00587E8D" w:rsidRDefault="00587E8D" w:rsidP="00F85A7A">
            <w:pPr>
              <w:ind w:hanging="5"/>
              <w:jc w:val="center"/>
              <w:rPr>
                <w:szCs w:val="28"/>
              </w:rPr>
            </w:pP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Таким чином, у хворих з ГІМ спостерігається зростання активності вітронектину та галектину-3 за умов наявності та прогресування ожиріння, ускладненого перебігу госпітального періоду ГІМ та мультисудинного ураження коронарних артерій.</w:t>
      </w:r>
    </w:p>
    <w:p w:rsidR="00587E8D" w:rsidRPr="00F407BB" w:rsidRDefault="00587E8D" w:rsidP="00587E8D">
      <w:pPr>
        <w:spacing w:after="0" w:line="360" w:lineRule="auto"/>
        <w:ind w:firstLine="851"/>
        <w:jc w:val="both"/>
        <w:rPr>
          <w:szCs w:val="28"/>
        </w:rPr>
      </w:pPr>
      <w:r w:rsidRPr="00587E8D">
        <w:rPr>
          <w:szCs w:val="28"/>
        </w:rPr>
        <w:t>Дослідження показників якості життя (ЯЖ) хворих на ГІМ за умов наявності або відсутності супутнього ожиріння виявили достовірні відмінності у вигляді зниження кількості балів за параметрами фізичного (PF) та фізично-рольового функціонування (RР), загального стану здоров’я (GH), життєвої активності (VT), соціального (SF), емоціонально-рольового (RE) та ментального функціонування (MH) на 31,4 %, 75,3 %, 30,1 %, 48,3 %, 17,9 %, 64,1 % та 41,9 % відповідно у хворих із ГІМ з супутнього ожирінням порівняно з пацієнтами без ожиріння. За параметром ВР, що відображає інтенсивність болю, виявлено тенденцію, яка не досягала рівня вірогідності (р = 0,05). Дані представлені в таблиці 3.9.</w:t>
      </w:r>
    </w:p>
    <w:p w:rsidR="00F85A7A" w:rsidRPr="00F407BB" w:rsidRDefault="00F85A7A" w:rsidP="00587E8D">
      <w:pPr>
        <w:spacing w:after="0" w:line="360" w:lineRule="auto"/>
        <w:ind w:firstLine="851"/>
        <w:jc w:val="both"/>
        <w:rPr>
          <w:szCs w:val="28"/>
        </w:rPr>
      </w:pPr>
    </w:p>
    <w:p w:rsidR="00F85A7A" w:rsidRPr="00F407BB" w:rsidRDefault="00F85A7A" w:rsidP="00587E8D">
      <w:pPr>
        <w:spacing w:after="0" w:line="360" w:lineRule="auto"/>
        <w:ind w:firstLine="851"/>
        <w:jc w:val="both"/>
        <w:rPr>
          <w:szCs w:val="28"/>
        </w:rPr>
      </w:pPr>
    </w:p>
    <w:p w:rsidR="00587E8D" w:rsidRPr="00587E8D" w:rsidRDefault="00587E8D" w:rsidP="003C0204">
      <w:pPr>
        <w:spacing w:after="0" w:line="360" w:lineRule="auto"/>
        <w:ind w:left="7789"/>
        <w:jc w:val="both"/>
        <w:rPr>
          <w:i/>
          <w:szCs w:val="28"/>
        </w:rPr>
      </w:pPr>
      <w:r w:rsidRPr="00587E8D">
        <w:rPr>
          <w:i/>
          <w:szCs w:val="28"/>
        </w:rPr>
        <w:lastRenderedPageBreak/>
        <w:t>Таблиця 3.9</w:t>
      </w:r>
    </w:p>
    <w:p w:rsidR="00587E8D" w:rsidRPr="00587E8D" w:rsidRDefault="00587E8D" w:rsidP="00F85A7A">
      <w:pPr>
        <w:spacing w:after="0" w:line="360" w:lineRule="auto"/>
        <w:ind w:firstLine="851"/>
        <w:jc w:val="center"/>
        <w:rPr>
          <w:szCs w:val="28"/>
        </w:rPr>
      </w:pPr>
      <w:r w:rsidRPr="00587E8D">
        <w:rPr>
          <w:szCs w:val="28"/>
        </w:rPr>
        <w:t>Рівень якості життя хворих із гострим інфарктом міокарда за наявності чи відсутності супутнього ожиріння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980"/>
        <w:gridCol w:w="1890"/>
        <w:gridCol w:w="1821"/>
        <w:gridCol w:w="992"/>
      </w:tblGrid>
      <w:tr w:rsidR="00587E8D" w:rsidRPr="00587E8D" w:rsidTr="003C0204">
        <w:trPr>
          <w:trHeight w:val="113"/>
        </w:trPr>
        <w:tc>
          <w:tcPr>
            <w:tcW w:w="3348" w:type="dxa"/>
            <w:vMerge w:val="restart"/>
          </w:tcPr>
          <w:p w:rsidR="00587E8D" w:rsidRPr="00587E8D" w:rsidRDefault="00587E8D" w:rsidP="00F85A7A">
            <w:pPr>
              <w:spacing w:line="240" w:lineRule="auto"/>
              <w:jc w:val="center"/>
              <w:rPr>
                <w:b/>
                <w:bCs/>
              </w:rPr>
            </w:pPr>
          </w:p>
          <w:p w:rsidR="00587E8D" w:rsidRPr="00587E8D" w:rsidRDefault="00587E8D" w:rsidP="00F85A7A">
            <w:pPr>
              <w:spacing w:line="240" w:lineRule="auto"/>
              <w:jc w:val="center"/>
            </w:pPr>
            <w:r w:rsidRPr="00587E8D">
              <w:rPr>
                <w:bCs/>
              </w:rPr>
              <w:t>Параметри шкали SF-36</w:t>
            </w:r>
          </w:p>
        </w:tc>
        <w:tc>
          <w:tcPr>
            <w:tcW w:w="3870" w:type="dxa"/>
            <w:gridSpan w:val="2"/>
          </w:tcPr>
          <w:p w:rsidR="00587E8D" w:rsidRPr="00587E8D" w:rsidRDefault="00587E8D" w:rsidP="00F85A7A">
            <w:pPr>
              <w:spacing w:line="240" w:lineRule="auto"/>
              <w:jc w:val="center"/>
            </w:pPr>
            <w:r w:rsidRPr="00587E8D">
              <w:t>Група дослідження</w:t>
            </w:r>
          </w:p>
        </w:tc>
        <w:tc>
          <w:tcPr>
            <w:tcW w:w="1821" w:type="dxa"/>
            <w:vMerge w:val="restart"/>
          </w:tcPr>
          <w:p w:rsidR="00587E8D" w:rsidRPr="00587E8D" w:rsidRDefault="00587E8D" w:rsidP="00F85A7A">
            <w:pPr>
              <w:spacing w:line="240" w:lineRule="auto"/>
              <w:jc w:val="center"/>
              <w:rPr>
                <w:b/>
              </w:rPr>
            </w:pPr>
          </w:p>
          <w:p w:rsidR="00587E8D" w:rsidRPr="00587E8D" w:rsidRDefault="00587E8D" w:rsidP="00F85A7A">
            <w:pPr>
              <w:spacing w:line="240" w:lineRule="auto"/>
              <w:jc w:val="center"/>
              <w:rPr>
                <w:b/>
              </w:rPr>
            </w:pPr>
            <w:r w:rsidRPr="00587E8D">
              <w:rPr>
                <w:b/>
              </w:rPr>
              <w:t>p</w:t>
            </w:r>
          </w:p>
        </w:tc>
        <w:tc>
          <w:tcPr>
            <w:tcW w:w="992" w:type="dxa"/>
            <w:vMerge w:val="restart"/>
          </w:tcPr>
          <w:p w:rsidR="00587E8D" w:rsidRPr="00587E8D" w:rsidRDefault="00587E8D" w:rsidP="00F85A7A">
            <w:pPr>
              <w:spacing w:line="240" w:lineRule="auto"/>
              <w:jc w:val="center"/>
              <w:rPr>
                <w:b/>
              </w:rPr>
            </w:pPr>
          </w:p>
          <w:p w:rsidR="00587E8D" w:rsidRPr="00587E8D" w:rsidRDefault="00587E8D" w:rsidP="00F85A7A">
            <w:pPr>
              <w:spacing w:line="240" w:lineRule="auto"/>
              <w:jc w:val="center"/>
              <w:rPr>
                <w:b/>
              </w:rPr>
            </w:pPr>
            <w:r w:rsidRPr="00587E8D">
              <w:rPr>
                <w:b/>
              </w:rPr>
              <w:t>F</w:t>
            </w:r>
          </w:p>
        </w:tc>
      </w:tr>
      <w:tr w:rsidR="00587E8D" w:rsidRPr="00587E8D" w:rsidTr="003C0204">
        <w:trPr>
          <w:trHeight w:val="113"/>
        </w:trPr>
        <w:tc>
          <w:tcPr>
            <w:tcW w:w="3348" w:type="dxa"/>
            <w:vMerge/>
          </w:tcPr>
          <w:p w:rsidR="00587E8D" w:rsidRPr="00587E8D" w:rsidRDefault="00587E8D" w:rsidP="00F85A7A">
            <w:pPr>
              <w:spacing w:line="240" w:lineRule="auto"/>
              <w:jc w:val="center"/>
              <w:rPr>
                <w:b/>
                <w:bCs/>
              </w:rPr>
            </w:pPr>
          </w:p>
        </w:tc>
        <w:tc>
          <w:tcPr>
            <w:tcW w:w="1980" w:type="dxa"/>
          </w:tcPr>
          <w:p w:rsidR="000E2606" w:rsidRDefault="00587E8D" w:rsidP="00F85A7A">
            <w:pPr>
              <w:spacing w:line="240" w:lineRule="auto"/>
              <w:jc w:val="center"/>
            </w:pPr>
            <w:r w:rsidRPr="00587E8D">
              <w:t xml:space="preserve">ГІМ + ожиріння </w:t>
            </w:r>
          </w:p>
          <w:p w:rsidR="00587E8D" w:rsidRPr="00587E8D" w:rsidRDefault="00587E8D" w:rsidP="00F85A7A">
            <w:pPr>
              <w:spacing w:line="240" w:lineRule="auto"/>
              <w:jc w:val="center"/>
            </w:pPr>
            <w:r w:rsidRPr="00587E8D">
              <w:t>(n =75)</w:t>
            </w:r>
          </w:p>
        </w:tc>
        <w:tc>
          <w:tcPr>
            <w:tcW w:w="1890" w:type="dxa"/>
          </w:tcPr>
          <w:p w:rsidR="00587E8D" w:rsidRPr="00587E8D" w:rsidRDefault="00587E8D" w:rsidP="00F85A7A">
            <w:pPr>
              <w:spacing w:line="240" w:lineRule="auto"/>
              <w:jc w:val="center"/>
            </w:pPr>
            <w:r w:rsidRPr="00587E8D">
              <w:t>ГІМ без ожиріння</w:t>
            </w:r>
          </w:p>
          <w:p w:rsidR="00587E8D" w:rsidRPr="00587E8D" w:rsidRDefault="00587E8D" w:rsidP="00F85A7A">
            <w:pPr>
              <w:spacing w:line="240" w:lineRule="auto"/>
              <w:jc w:val="center"/>
            </w:pPr>
            <w:r w:rsidRPr="00587E8D">
              <w:t>(n = 30)</w:t>
            </w:r>
          </w:p>
        </w:tc>
        <w:tc>
          <w:tcPr>
            <w:tcW w:w="1821" w:type="dxa"/>
            <w:vMerge/>
          </w:tcPr>
          <w:p w:rsidR="00587E8D" w:rsidRPr="00587E8D" w:rsidRDefault="00587E8D" w:rsidP="00F85A7A">
            <w:pPr>
              <w:spacing w:line="240" w:lineRule="auto"/>
              <w:jc w:val="center"/>
            </w:pPr>
          </w:p>
        </w:tc>
        <w:tc>
          <w:tcPr>
            <w:tcW w:w="992" w:type="dxa"/>
            <w:vMerge/>
          </w:tcPr>
          <w:p w:rsidR="00587E8D" w:rsidRPr="00587E8D" w:rsidRDefault="00587E8D" w:rsidP="00F85A7A">
            <w:pPr>
              <w:spacing w:line="240" w:lineRule="auto"/>
              <w:jc w:val="center"/>
            </w:pPr>
          </w:p>
        </w:tc>
      </w:tr>
      <w:tr w:rsidR="00587E8D" w:rsidRPr="00587E8D" w:rsidTr="003C0204">
        <w:tc>
          <w:tcPr>
            <w:tcW w:w="3348" w:type="dxa"/>
          </w:tcPr>
          <w:p w:rsidR="00587E8D" w:rsidRPr="00587E8D" w:rsidRDefault="00587E8D" w:rsidP="00F85A7A">
            <w:pPr>
              <w:spacing w:line="240" w:lineRule="auto"/>
              <w:jc w:val="center"/>
            </w:pPr>
            <w:r w:rsidRPr="00587E8D">
              <w:t>Фізичне функціонування (PF)</w:t>
            </w:r>
          </w:p>
        </w:tc>
        <w:tc>
          <w:tcPr>
            <w:tcW w:w="1980" w:type="dxa"/>
          </w:tcPr>
          <w:p w:rsidR="00587E8D" w:rsidRPr="00587E8D" w:rsidRDefault="00587E8D" w:rsidP="00F85A7A">
            <w:pPr>
              <w:spacing w:line="240" w:lineRule="auto"/>
              <w:jc w:val="center"/>
            </w:pPr>
            <w:r w:rsidRPr="00587E8D">
              <w:t>23,46 ± 3,9</w:t>
            </w:r>
          </w:p>
        </w:tc>
        <w:tc>
          <w:tcPr>
            <w:tcW w:w="1890" w:type="dxa"/>
          </w:tcPr>
          <w:p w:rsidR="00587E8D" w:rsidRPr="00587E8D" w:rsidRDefault="00587E8D" w:rsidP="00F85A7A">
            <w:pPr>
              <w:spacing w:line="240" w:lineRule="auto"/>
              <w:jc w:val="center"/>
            </w:pPr>
            <w:r w:rsidRPr="00587E8D">
              <w:t>34,2 ± 2,58</w:t>
            </w:r>
          </w:p>
        </w:tc>
        <w:tc>
          <w:tcPr>
            <w:tcW w:w="1821" w:type="dxa"/>
          </w:tcPr>
          <w:p w:rsidR="00587E8D" w:rsidRPr="00587E8D" w:rsidRDefault="00587E8D" w:rsidP="00F85A7A">
            <w:pPr>
              <w:spacing w:line="240" w:lineRule="auto"/>
              <w:jc w:val="center"/>
            </w:pPr>
            <w:r w:rsidRPr="00587E8D">
              <w:t>&lt; 0,05</w:t>
            </w:r>
          </w:p>
        </w:tc>
        <w:tc>
          <w:tcPr>
            <w:tcW w:w="992" w:type="dxa"/>
          </w:tcPr>
          <w:p w:rsidR="00587E8D" w:rsidRPr="00587E8D" w:rsidRDefault="00587E8D" w:rsidP="00F85A7A">
            <w:pPr>
              <w:spacing w:line="240" w:lineRule="auto"/>
              <w:jc w:val="center"/>
            </w:pPr>
            <w:r w:rsidRPr="00587E8D">
              <w:t>17,29</w:t>
            </w:r>
          </w:p>
        </w:tc>
      </w:tr>
      <w:tr w:rsidR="00587E8D" w:rsidRPr="00587E8D" w:rsidTr="003C0204">
        <w:tc>
          <w:tcPr>
            <w:tcW w:w="3348" w:type="dxa"/>
          </w:tcPr>
          <w:p w:rsidR="00587E8D" w:rsidRPr="00587E8D" w:rsidRDefault="00587E8D" w:rsidP="00F85A7A">
            <w:pPr>
              <w:spacing w:line="240" w:lineRule="auto"/>
              <w:jc w:val="center"/>
            </w:pPr>
            <w:r w:rsidRPr="00587E8D">
              <w:t>Фізично-рольове функціонування (RР)</w:t>
            </w:r>
          </w:p>
        </w:tc>
        <w:tc>
          <w:tcPr>
            <w:tcW w:w="1980" w:type="dxa"/>
          </w:tcPr>
          <w:p w:rsidR="00587E8D" w:rsidRPr="00587E8D" w:rsidRDefault="00587E8D" w:rsidP="00F85A7A">
            <w:pPr>
              <w:spacing w:line="240" w:lineRule="auto"/>
              <w:jc w:val="center"/>
            </w:pPr>
            <w:r w:rsidRPr="00587E8D">
              <w:t>16,35 ± 5,54</w:t>
            </w:r>
          </w:p>
        </w:tc>
        <w:tc>
          <w:tcPr>
            <w:tcW w:w="1890" w:type="dxa"/>
          </w:tcPr>
          <w:p w:rsidR="00587E8D" w:rsidRPr="00587E8D" w:rsidRDefault="00587E8D" w:rsidP="00F85A7A">
            <w:pPr>
              <w:spacing w:line="240" w:lineRule="auto"/>
              <w:jc w:val="center"/>
            </w:pPr>
            <w:r w:rsidRPr="00587E8D">
              <w:t>66,2 ± 3,5</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19,03</w:t>
            </w:r>
          </w:p>
        </w:tc>
      </w:tr>
      <w:tr w:rsidR="00587E8D" w:rsidRPr="00587E8D" w:rsidTr="003C0204">
        <w:tc>
          <w:tcPr>
            <w:tcW w:w="3348" w:type="dxa"/>
          </w:tcPr>
          <w:p w:rsidR="00587E8D" w:rsidRPr="00587E8D" w:rsidRDefault="00587E8D" w:rsidP="00F85A7A">
            <w:pPr>
              <w:spacing w:line="240" w:lineRule="auto"/>
              <w:jc w:val="center"/>
            </w:pPr>
            <w:r w:rsidRPr="00587E8D">
              <w:t>Інтенсивність болю (ВР)</w:t>
            </w:r>
          </w:p>
        </w:tc>
        <w:tc>
          <w:tcPr>
            <w:tcW w:w="1980" w:type="dxa"/>
          </w:tcPr>
          <w:p w:rsidR="00587E8D" w:rsidRPr="00587E8D" w:rsidRDefault="00587E8D" w:rsidP="00F85A7A">
            <w:pPr>
              <w:spacing w:line="240" w:lineRule="auto"/>
              <w:jc w:val="center"/>
            </w:pPr>
            <w:r w:rsidRPr="00587E8D">
              <w:t>13,31 ± 2,11</w:t>
            </w:r>
          </w:p>
        </w:tc>
        <w:tc>
          <w:tcPr>
            <w:tcW w:w="1890" w:type="dxa"/>
          </w:tcPr>
          <w:p w:rsidR="00587E8D" w:rsidRPr="00587E8D" w:rsidRDefault="00587E8D" w:rsidP="00F85A7A">
            <w:pPr>
              <w:spacing w:line="240" w:lineRule="auto"/>
              <w:jc w:val="center"/>
            </w:pPr>
            <w:r w:rsidRPr="00587E8D">
              <w:t>20,2 ± 2,98</w:t>
            </w:r>
          </w:p>
        </w:tc>
        <w:tc>
          <w:tcPr>
            <w:tcW w:w="1821" w:type="dxa"/>
          </w:tcPr>
          <w:p w:rsidR="00587E8D" w:rsidRPr="00587E8D" w:rsidRDefault="00587E8D" w:rsidP="00F85A7A">
            <w:pPr>
              <w:spacing w:line="240" w:lineRule="auto"/>
              <w:jc w:val="center"/>
            </w:pPr>
            <w:r w:rsidRPr="00587E8D">
              <w:t>= 0,05</w:t>
            </w:r>
          </w:p>
        </w:tc>
        <w:tc>
          <w:tcPr>
            <w:tcW w:w="992" w:type="dxa"/>
          </w:tcPr>
          <w:p w:rsidR="00587E8D" w:rsidRPr="00587E8D" w:rsidRDefault="00587E8D" w:rsidP="00F85A7A">
            <w:pPr>
              <w:spacing w:line="240" w:lineRule="auto"/>
              <w:jc w:val="center"/>
            </w:pPr>
            <w:r w:rsidRPr="00587E8D">
              <w:t>5,58</w:t>
            </w:r>
          </w:p>
        </w:tc>
      </w:tr>
      <w:tr w:rsidR="00587E8D" w:rsidRPr="00587E8D" w:rsidTr="003C0204">
        <w:tc>
          <w:tcPr>
            <w:tcW w:w="3348" w:type="dxa"/>
          </w:tcPr>
          <w:p w:rsidR="00587E8D" w:rsidRPr="00587E8D" w:rsidRDefault="00587E8D" w:rsidP="00F85A7A">
            <w:pPr>
              <w:spacing w:line="240" w:lineRule="auto"/>
              <w:jc w:val="center"/>
            </w:pPr>
            <w:r w:rsidRPr="00587E8D">
              <w:t>Загальний стан здоров'я (GH)</w:t>
            </w:r>
          </w:p>
        </w:tc>
        <w:tc>
          <w:tcPr>
            <w:tcW w:w="1980" w:type="dxa"/>
          </w:tcPr>
          <w:p w:rsidR="00587E8D" w:rsidRPr="00587E8D" w:rsidRDefault="00587E8D" w:rsidP="00F85A7A">
            <w:pPr>
              <w:spacing w:line="240" w:lineRule="auto"/>
              <w:jc w:val="center"/>
            </w:pPr>
            <w:r w:rsidRPr="00587E8D">
              <w:t>28,96 ± 4,68</w:t>
            </w:r>
          </w:p>
        </w:tc>
        <w:tc>
          <w:tcPr>
            <w:tcW w:w="1890" w:type="dxa"/>
          </w:tcPr>
          <w:p w:rsidR="00587E8D" w:rsidRPr="00587E8D" w:rsidRDefault="00587E8D" w:rsidP="00F85A7A">
            <w:pPr>
              <w:spacing w:line="240" w:lineRule="auto"/>
              <w:jc w:val="center"/>
            </w:pPr>
            <w:r w:rsidRPr="00587E8D">
              <w:t>41,44 ± 2,02</w:t>
            </w:r>
          </w:p>
        </w:tc>
        <w:tc>
          <w:tcPr>
            <w:tcW w:w="1821" w:type="dxa"/>
          </w:tcPr>
          <w:p w:rsidR="00587E8D" w:rsidRPr="00587E8D" w:rsidRDefault="00587E8D" w:rsidP="00F85A7A">
            <w:pPr>
              <w:spacing w:line="240" w:lineRule="auto"/>
              <w:jc w:val="center"/>
            </w:pPr>
            <w:r w:rsidRPr="00587E8D">
              <w:t>&lt; 0,05</w:t>
            </w:r>
          </w:p>
        </w:tc>
        <w:tc>
          <w:tcPr>
            <w:tcW w:w="992" w:type="dxa"/>
          </w:tcPr>
          <w:p w:rsidR="00587E8D" w:rsidRPr="00587E8D" w:rsidRDefault="00587E8D" w:rsidP="00F85A7A">
            <w:pPr>
              <w:spacing w:line="240" w:lineRule="auto"/>
              <w:jc w:val="center"/>
            </w:pPr>
            <w:r w:rsidRPr="00587E8D">
              <w:t>25,8</w:t>
            </w:r>
          </w:p>
        </w:tc>
      </w:tr>
      <w:tr w:rsidR="00587E8D" w:rsidRPr="00587E8D" w:rsidTr="003C0204">
        <w:tc>
          <w:tcPr>
            <w:tcW w:w="3348" w:type="dxa"/>
          </w:tcPr>
          <w:p w:rsidR="00587E8D" w:rsidRPr="00587E8D" w:rsidRDefault="00587E8D" w:rsidP="00F85A7A">
            <w:pPr>
              <w:spacing w:line="240" w:lineRule="auto"/>
              <w:jc w:val="center"/>
            </w:pPr>
            <w:r w:rsidRPr="00587E8D">
              <w:t>Життєва активність (VT)</w:t>
            </w:r>
          </w:p>
        </w:tc>
        <w:tc>
          <w:tcPr>
            <w:tcW w:w="1980" w:type="dxa"/>
          </w:tcPr>
          <w:p w:rsidR="00587E8D" w:rsidRPr="00587E8D" w:rsidRDefault="00587E8D" w:rsidP="00F85A7A">
            <w:pPr>
              <w:spacing w:line="240" w:lineRule="auto"/>
              <w:jc w:val="center"/>
            </w:pPr>
            <w:r w:rsidRPr="00587E8D">
              <w:t>24,23 ± 3,99</w:t>
            </w:r>
          </w:p>
        </w:tc>
        <w:tc>
          <w:tcPr>
            <w:tcW w:w="1890" w:type="dxa"/>
          </w:tcPr>
          <w:p w:rsidR="00587E8D" w:rsidRPr="00587E8D" w:rsidRDefault="00587E8D" w:rsidP="00F85A7A">
            <w:pPr>
              <w:spacing w:line="240" w:lineRule="auto"/>
              <w:jc w:val="center"/>
            </w:pPr>
            <w:r w:rsidRPr="00587E8D">
              <w:t>46,8 ± 1,8</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5,8</w:t>
            </w:r>
          </w:p>
        </w:tc>
      </w:tr>
      <w:tr w:rsidR="00587E8D" w:rsidRPr="00587E8D" w:rsidTr="003C0204">
        <w:tc>
          <w:tcPr>
            <w:tcW w:w="3348" w:type="dxa"/>
          </w:tcPr>
          <w:p w:rsidR="00587E8D" w:rsidRPr="00587E8D" w:rsidRDefault="00587E8D" w:rsidP="00F85A7A">
            <w:pPr>
              <w:spacing w:line="240" w:lineRule="auto"/>
              <w:jc w:val="center"/>
            </w:pPr>
            <w:r w:rsidRPr="00587E8D">
              <w:t>Соціальне функціонування (SF)</w:t>
            </w:r>
          </w:p>
        </w:tc>
        <w:tc>
          <w:tcPr>
            <w:tcW w:w="1980" w:type="dxa"/>
          </w:tcPr>
          <w:p w:rsidR="00587E8D" w:rsidRPr="00587E8D" w:rsidRDefault="00587E8D" w:rsidP="00F85A7A">
            <w:pPr>
              <w:spacing w:line="240" w:lineRule="auto"/>
              <w:jc w:val="center"/>
            </w:pPr>
            <w:r w:rsidRPr="00587E8D">
              <w:t>37,98 ± 5,39</w:t>
            </w:r>
          </w:p>
        </w:tc>
        <w:tc>
          <w:tcPr>
            <w:tcW w:w="1890" w:type="dxa"/>
          </w:tcPr>
          <w:p w:rsidR="00587E8D" w:rsidRPr="00587E8D" w:rsidRDefault="00587E8D" w:rsidP="00F85A7A">
            <w:pPr>
              <w:spacing w:line="240" w:lineRule="auto"/>
              <w:jc w:val="center"/>
            </w:pPr>
            <w:r w:rsidRPr="00587E8D">
              <w:t>46,29 ± 3,25</w:t>
            </w:r>
          </w:p>
        </w:tc>
        <w:tc>
          <w:tcPr>
            <w:tcW w:w="1821" w:type="dxa"/>
          </w:tcPr>
          <w:p w:rsidR="00587E8D" w:rsidRPr="00587E8D" w:rsidRDefault="00587E8D" w:rsidP="00F85A7A">
            <w:pPr>
              <w:spacing w:line="240" w:lineRule="auto"/>
              <w:jc w:val="center"/>
            </w:pPr>
            <w:r w:rsidRPr="00587E8D">
              <w:t>&lt; 0,05</w:t>
            </w:r>
          </w:p>
        </w:tc>
        <w:tc>
          <w:tcPr>
            <w:tcW w:w="992" w:type="dxa"/>
          </w:tcPr>
          <w:p w:rsidR="00587E8D" w:rsidRPr="00587E8D" w:rsidRDefault="00587E8D" w:rsidP="00F85A7A">
            <w:pPr>
              <w:spacing w:line="240" w:lineRule="auto"/>
              <w:jc w:val="center"/>
            </w:pPr>
            <w:r w:rsidRPr="00587E8D">
              <w:t>3,6</w:t>
            </w:r>
          </w:p>
        </w:tc>
      </w:tr>
      <w:tr w:rsidR="00587E8D" w:rsidRPr="00587E8D" w:rsidTr="003C0204">
        <w:tc>
          <w:tcPr>
            <w:tcW w:w="3348" w:type="dxa"/>
          </w:tcPr>
          <w:p w:rsidR="00587E8D" w:rsidRPr="00587E8D" w:rsidRDefault="00587E8D" w:rsidP="00F85A7A">
            <w:pPr>
              <w:spacing w:line="240" w:lineRule="auto"/>
              <w:jc w:val="center"/>
            </w:pPr>
            <w:r w:rsidRPr="00587E8D">
              <w:t>Емоціонально-рольове функціонування (RE)</w:t>
            </w:r>
          </w:p>
        </w:tc>
        <w:tc>
          <w:tcPr>
            <w:tcW w:w="1980" w:type="dxa"/>
          </w:tcPr>
          <w:p w:rsidR="00587E8D" w:rsidRPr="00587E8D" w:rsidRDefault="00587E8D" w:rsidP="00F85A7A">
            <w:pPr>
              <w:spacing w:line="240" w:lineRule="auto"/>
              <w:jc w:val="center"/>
            </w:pPr>
            <w:r w:rsidRPr="00587E8D">
              <w:t>19,21 ± 4,59</w:t>
            </w:r>
          </w:p>
        </w:tc>
        <w:tc>
          <w:tcPr>
            <w:tcW w:w="1890" w:type="dxa"/>
          </w:tcPr>
          <w:p w:rsidR="00587E8D" w:rsidRPr="00587E8D" w:rsidRDefault="00587E8D" w:rsidP="00F85A7A">
            <w:pPr>
              <w:spacing w:line="240" w:lineRule="auto"/>
              <w:jc w:val="center"/>
            </w:pPr>
            <w:r w:rsidRPr="00587E8D">
              <w:t>53,3 ± 6,38</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56,4</w:t>
            </w:r>
          </w:p>
        </w:tc>
      </w:tr>
      <w:tr w:rsidR="00587E8D" w:rsidRPr="00587E8D" w:rsidTr="003C0204">
        <w:tc>
          <w:tcPr>
            <w:tcW w:w="3348" w:type="dxa"/>
          </w:tcPr>
          <w:p w:rsidR="00587E8D" w:rsidRPr="00587E8D" w:rsidRDefault="00587E8D" w:rsidP="00F85A7A">
            <w:pPr>
              <w:spacing w:line="240" w:lineRule="auto"/>
              <w:jc w:val="center"/>
            </w:pPr>
            <w:r w:rsidRPr="00587E8D">
              <w:t>Ментальне функціонування (MH)</w:t>
            </w:r>
          </w:p>
        </w:tc>
        <w:tc>
          <w:tcPr>
            <w:tcW w:w="1980" w:type="dxa"/>
          </w:tcPr>
          <w:p w:rsidR="00587E8D" w:rsidRPr="00587E8D" w:rsidRDefault="00587E8D" w:rsidP="00F85A7A">
            <w:pPr>
              <w:spacing w:line="240" w:lineRule="auto"/>
              <w:jc w:val="center"/>
            </w:pPr>
            <w:r w:rsidRPr="00587E8D">
              <w:t>35,08 ± 4,90</w:t>
            </w:r>
          </w:p>
        </w:tc>
        <w:tc>
          <w:tcPr>
            <w:tcW w:w="1890" w:type="dxa"/>
          </w:tcPr>
          <w:p w:rsidR="00587E8D" w:rsidRPr="00587E8D" w:rsidRDefault="00587E8D" w:rsidP="00F85A7A">
            <w:pPr>
              <w:spacing w:line="240" w:lineRule="auto"/>
              <w:jc w:val="center"/>
            </w:pPr>
            <w:r w:rsidRPr="00587E8D">
              <w:t>60,42 ± 3,37</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4,8</w:t>
            </w:r>
          </w:p>
        </w:tc>
      </w:tr>
    </w:tbl>
    <w:p w:rsidR="00F85A7A" w:rsidRDefault="00F85A7A" w:rsidP="00587E8D">
      <w:pPr>
        <w:spacing w:after="0" w:line="360" w:lineRule="auto"/>
        <w:ind w:firstLine="851"/>
        <w:jc w:val="both"/>
        <w:rPr>
          <w:szCs w:val="28"/>
          <w:lang w:val="en-US"/>
        </w:rPr>
      </w:pPr>
    </w:p>
    <w:p w:rsidR="00587E8D" w:rsidRPr="00587E8D" w:rsidRDefault="00587E8D" w:rsidP="00587E8D">
      <w:pPr>
        <w:spacing w:after="0" w:line="360" w:lineRule="auto"/>
        <w:ind w:firstLine="851"/>
        <w:jc w:val="both"/>
        <w:rPr>
          <w:szCs w:val="28"/>
        </w:rPr>
      </w:pPr>
      <w:r w:rsidRPr="00587E8D">
        <w:rPr>
          <w:szCs w:val="28"/>
        </w:rPr>
        <w:t>Згідно з наведеними вище даними, наявність ожиріння істотно змінює ЯЖ хворих із ГІМ, до того ж як за рахунок фізичного компоненту здоров’я (PF, RP, GH), так і за рахунок психо-емоційного та соціального функціонування (VT, SF, RE, MH).</w:t>
      </w:r>
    </w:p>
    <w:p w:rsidR="00587E8D" w:rsidRPr="00587E8D" w:rsidRDefault="00587E8D" w:rsidP="00587E8D">
      <w:pPr>
        <w:spacing w:after="0" w:line="360" w:lineRule="auto"/>
        <w:ind w:firstLine="851"/>
        <w:jc w:val="both"/>
        <w:rPr>
          <w:szCs w:val="28"/>
        </w:rPr>
      </w:pPr>
      <w:r w:rsidRPr="00587E8D">
        <w:rPr>
          <w:szCs w:val="28"/>
        </w:rPr>
        <w:t>Отримані результати підтверджуються наявністю та характером кореляцій. Встановлено звор</w:t>
      </w:r>
      <w:r w:rsidR="00FB58A8">
        <w:rPr>
          <w:szCs w:val="28"/>
        </w:rPr>
        <w:t>отні зв’язки між ІМТ та PF (r=–0,86; p&lt; 0,05), GH (r=</w:t>
      </w:r>
      <w:r w:rsidRPr="00587E8D">
        <w:rPr>
          <w:szCs w:val="28"/>
        </w:rPr>
        <w:t>–0,</w:t>
      </w:r>
      <w:r w:rsidR="00FB58A8">
        <w:rPr>
          <w:szCs w:val="28"/>
        </w:rPr>
        <w:t xml:space="preserve">84; p&lt;0,05), VT (r=–0,77; p&lt;0,05), BP (r=–0,71; p&lt; 0,05), MH (r=–0,61; p&lt; 0,05), SF </w:t>
      </w:r>
      <w:r w:rsidR="00FB58A8" w:rsidRPr="00FB58A8">
        <w:rPr>
          <w:szCs w:val="28"/>
        </w:rPr>
        <w:t xml:space="preserve"> </w:t>
      </w:r>
      <w:r w:rsidR="00FB58A8">
        <w:rPr>
          <w:szCs w:val="28"/>
        </w:rPr>
        <w:t>(r=–0,55; p&lt;0,05), RP (r=–0,52; p&lt;0,05), RE (r=–0,31; p&lt;</w:t>
      </w:r>
      <w:r w:rsidRPr="00587E8D">
        <w:rPr>
          <w:szCs w:val="28"/>
        </w:rPr>
        <w:t xml:space="preserve">0,05). </w:t>
      </w:r>
    </w:p>
    <w:p w:rsidR="00587E8D" w:rsidRPr="00587E8D" w:rsidRDefault="00587E8D" w:rsidP="00587E8D">
      <w:pPr>
        <w:spacing w:after="0" w:line="360" w:lineRule="auto"/>
        <w:ind w:firstLine="851"/>
        <w:jc w:val="both"/>
        <w:rPr>
          <w:szCs w:val="28"/>
        </w:rPr>
      </w:pPr>
      <w:r w:rsidRPr="00587E8D">
        <w:rPr>
          <w:szCs w:val="28"/>
        </w:rPr>
        <w:lastRenderedPageBreak/>
        <w:t>Такі дані не суперечать результатам світової медичної літератури. Так, за даними колективу авторів [</w:t>
      </w:r>
      <w:r w:rsidRPr="00587E8D">
        <w:rPr>
          <w:szCs w:val="28"/>
          <w:lang w:val="ru-RU"/>
        </w:rPr>
        <w:t>13</w:t>
      </w:r>
      <w:r w:rsidRPr="00587E8D">
        <w:rPr>
          <w:szCs w:val="28"/>
        </w:rPr>
        <w:t xml:space="preserve">5], наявність ожиріння асоціюється з низьким рівнем фізичного благополуччя та активності в порівнянні з контрольною групою, до складу якої входять здорові добровольці. Подібні результати виявлено </w:t>
      </w:r>
      <w:r w:rsidRPr="00587E8D">
        <w:rPr>
          <w:szCs w:val="28"/>
          <w:lang w:val="en-US"/>
        </w:rPr>
        <w:t>Wee</w:t>
      </w:r>
      <w:r w:rsidRPr="00587E8D">
        <w:rPr>
          <w:szCs w:val="28"/>
        </w:rPr>
        <w:t xml:space="preserve"> </w:t>
      </w:r>
      <w:r w:rsidRPr="00587E8D">
        <w:rPr>
          <w:szCs w:val="28"/>
          <w:lang w:val="en-US"/>
        </w:rPr>
        <w:t>C</w:t>
      </w:r>
      <w:r w:rsidRPr="00587E8D">
        <w:rPr>
          <w:szCs w:val="28"/>
        </w:rPr>
        <w:t xml:space="preserve">. </w:t>
      </w:r>
      <w:r w:rsidRPr="00587E8D">
        <w:rPr>
          <w:szCs w:val="28"/>
          <w:lang w:val="en-US"/>
        </w:rPr>
        <w:t>C</w:t>
      </w:r>
      <w:r w:rsidRPr="00587E8D">
        <w:rPr>
          <w:szCs w:val="28"/>
        </w:rPr>
        <w:t xml:space="preserve">. та співавторами [136]. Важливо те, що у хворих з ожирінням та ГІМ, які були обстежені в нашому дослідженні, крім вищезазначених параметрів, суттєво страждає ментальність, інтеграція пацієнта в соціумі разом зі зростанням інтенсивності болю. Тобто характер і сила зв’язків свідчить на користь виснаження фізичних ресурсів, що негативно позначається на соціальному функціонуванні, життєвій активності та загальному стані здоров’я. </w:t>
      </w:r>
    </w:p>
    <w:p w:rsidR="00587E8D" w:rsidRPr="00587E8D" w:rsidRDefault="00587E8D" w:rsidP="00587E8D">
      <w:pPr>
        <w:spacing w:after="0" w:line="360" w:lineRule="auto"/>
        <w:ind w:firstLine="851"/>
        <w:jc w:val="both"/>
        <w:rPr>
          <w:szCs w:val="28"/>
        </w:rPr>
      </w:pPr>
      <w:r w:rsidRPr="00587E8D">
        <w:rPr>
          <w:szCs w:val="28"/>
        </w:rPr>
        <w:t>Крім наявності низького показника ЯЖ за умов супутнього ожиріння у хворих із ГІМ, привертає увагу нерівнозначність ступеня відхилення зазначених вище параметрів від групи порівняння, представленої пацієнтами з ГІМ без ожиріння.</w:t>
      </w:r>
    </w:p>
    <w:p w:rsidR="00587E8D" w:rsidRPr="00587E8D" w:rsidRDefault="00587E8D" w:rsidP="00587E8D">
      <w:pPr>
        <w:spacing w:after="0" w:line="360" w:lineRule="auto"/>
        <w:ind w:firstLine="851"/>
        <w:jc w:val="both"/>
        <w:rPr>
          <w:szCs w:val="28"/>
        </w:rPr>
      </w:pPr>
      <w:r w:rsidRPr="00587E8D">
        <w:rPr>
          <w:szCs w:val="28"/>
        </w:rPr>
        <w:t>Ранжування ступеня відхилення параметрів ЯЖ за допомогою критерія Фішера визначило, що перш</w:t>
      </w:r>
      <w:r w:rsidR="00FB58A8">
        <w:rPr>
          <w:szCs w:val="28"/>
        </w:rPr>
        <w:t>у рангову позицію посідає RP (F=</w:t>
      </w:r>
      <w:r w:rsidRPr="00587E8D">
        <w:rPr>
          <w:szCs w:val="28"/>
        </w:rPr>
        <w:t xml:space="preserve">56,4), другу – VT </w:t>
      </w:r>
      <w:r w:rsidR="00FB58A8">
        <w:rPr>
          <w:szCs w:val="28"/>
        </w:rPr>
        <w:t>(F=25,8), третю – RE та MH (F=</w:t>
      </w:r>
      <w:r w:rsidRPr="00587E8D">
        <w:rPr>
          <w:szCs w:val="28"/>
        </w:rPr>
        <w:t>19,03 та 17,29 відповідно). Далі за зменшенням ст</w:t>
      </w:r>
      <w:r w:rsidR="00FB58A8">
        <w:rPr>
          <w:szCs w:val="28"/>
        </w:rPr>
        <w:t>упеня відхилення слідують GH (F=5,8), SF (F=5,58) і PF (F=</w:t>
      </w:r>
      <w:r w:rsidRPr="00587E8D">
        <w:rPr>
          <w:szCs w:val="28"/>
        </w:rPr>
        <w:t>4,8).</w:t>
      </w:r>
    </w:p>
    <w:p w:rsidR="00587E8D" w:rsidRPr="00F407BB" w:rsidRDefault="00587E8D" w:rsidP="00587E8D">
      <w:pPr>
        <w:spacing w:after="0" w:line="360" w:lineRule="auto"/>
        <w:ind w:firstLine="851"/>
        <w:jc w:val="both"/>
        <w:rPr>
          <w:szCs w:val="28"/>
        </w:rPr>
      </w:pPr>
      <w:r w:rsidRPr="00587E8D">
        <w:rPr>
          <w:szCs w:val="28"/>
        </w:rPr>
        <w:t xml:space="preserve">Тобто провідним фактором у зниженні ЯЖ за наявності ожиріння у хворих із ГІМ є низькі показники за шкалою рольового функціонування, обумовленого фізичним станом, що свідчить про значне обмеження повсякденної діяльності пацієнта на тлі падіння життєвої активності в умовах пригніченого емоційного стану, за наявності депресії та тривоги, що обумовлюють порушення цілісності соціального благополуччя, результатом чого є низька оцінка хворим стану свого здоров’я в певний момент за відсутності перспектив лікування. </w:t>
      </w:r>
    </w:p>
    <w:p w:rsidR="00F85A7A" w:rsidRPr="00F407BB" w:rsidRDefault="00F85A7A" w:rsidP="00587E8D">
      <w:pPr>
        <w:spacing w:after="0" w:line="360" w:lineRule="auto"/>
        <w:ind w:firstLine="851"/>
        <w:jc w:val="both"/>
        <w:rPr>
          <w:szCs w:val="28"/>
        </w:rPr>
      </w:pPr>
    </w:p>
    <w:p w:rsidR="00F85A7A" w:rsidRPr="00F407BB" w:rsidRDefault="00F85A7A" w:rsidP="00587E8D">
      <w:pPr>
        <w:spacing w:after="0" w:line="360" w:lineRule="auto"/>
        <w:ind w:firstLine="851"/>
        <w:jc w:val="both"/>
        <w:rPr>
          <w:szCs w:val="28"/>
        </w:rPr>
      </w:pPr>
    </w:p>
    <w:p w:rsidR="00CF75BA" w:rsidRPr="00F407BB" w:rsidRDefault="00CF75BA" w:rsidP="00CF75BA">
      <w:pPr>
        <w:spacing w:after="0" w:line="360" w:lineRule="auto"/>
        <w:ind w:left="7789"/>
        <w:jc w:val="both"/>
        <w:rPr>
          <w:i/>
          <w:szCs w:val="28"/>
        </w:rPr>
      </w:pPr>
    </w:p>
    <w:p w:rsidR="00CF75BA" w:rsidRPr="00F407BB" w:rsidRDefault="00CF75BA" w:rsidP="00CF75BA">
      <w:pPr>
        <w:spacing w:after="0" w:line="360" w:lineRule="auto"/>
        <w:ind w:left="7789"/>
        <w:jc w:val="both"/>
        <w:rPr>
          <w:i/>
          <w:szCs w:val="28"/>
        </w:rPr>
      </w:pPr>
    </w:p>
    <w:p w:rsidR="00CF75BA" w:rsidRPr="00F407BB" w:rsidRDefault="00CF75BA" w:rsidP="00CF75BA">
      <w:pPr>
        <w:spacing w:after="0" w:line="360" w:lineRule="auto"/>
        <w:ind w:left="7789"/>
        <w:jc w:val="both"/>
        <w:rPr>
          <w:i/>
          <w:szCs w:val="28"/>
        </w:rPr>
      </w:pPr>
    </w:p>
    <w:p w:rsidR="00587E8D" w:rsidRPr="00587E8D" w:rsidRDefault="00587E8D" w:rsidP="00CF75BA">
      <w:pPr>
        <w:spacing w:after="0" w:line="360" w:lineRule="auto"/>
        <w:ind w:left="7789"/>
        <w:jc w:val="both"/>
        <w:rPr>
          <w:i/>
          <w:szCs w:val="28"/>
        </w:rPr>
      </w:pPr>
      <w:r w:rsidRPr="00587E8D">
        <w:rPr>
          <w:i/>
          <w:szCs w:val="28"/>
        </w:rPr>
        <w:lastRenderedPageBreak/>
        <w:t>Таблиця 3.10</w:t>
      </w:r>
    </w:p>
    <w:p w:rsidR="00587E8D" w:rsidRPr="00587E8D" w:rsidRDefault="00587E8D" w:rsidP="00F85A7A">
      <w:pPr>
        <w:spacing w:after="0" w:line="360" w:lineRule="auto"/>
        <w:ind w:firstLine="851"/>
        <w:jc w:val="center"/>
        <w:rPr>
          <w:szCs w:val="28"/>
        </w:rPr>
      </w:pPr>
      <w:r w:rsidRPr="00587E8D">
        <w:rPr>
          <w:szCs w:val="28"/>
        </w:rPr>
        <w:t>Рівень якості життя хворих з ожирінням за наявності чи відсутності ускладнень гострого інфаркту міокарда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410"/>
        <w:gridCol w:w="2410"/>
        <w:gridCol w:w="1134"/>
      </w:tblGrid>
      <w:tr w:rsidR="00587E8D" w:rsidRPr="00587E8D" w:rsidTr="005B6344">
        <w:trPr>
          <w:trHeight w:val="113"/>
        </w:trPr>
        <w:tc>
          <w:tcPr>
            <w:tcW w:w="4077" w:type="dxa"/>
            <w:vMerge w:val="restart"/>
          </w:tcPr>
          <w:p w:rsidR="00587E8D" w:rsidRPr="00587E8D" w:rsidRDefault="00587E8D" w:rsidP="00F85A7A">
            <w:pPr>
              <w:spacing w:line="240" w:lineRule="auto"/>
              <w:jc w:val="center"/>
              <w:rPr>
                <w:b/>
                <w:bCs/>
              </w:rPr>
            </w:pPr>
          </w:p>
          <w:p w:rsidR="00587E8D" w:rsidRPr="00587E8D" w:rsidRDefault="00587E8D" w:rsidP="00F85A7A">
            <w:pPr>
              <w:spacing w:line="240" w:lineRule="auto"/>
              <w:jc w:val="center"/>
            </w:pPr>
            <w:r w:rsidRPr="00587E8D">
              <w:rPr>
                <w:bCs/>
              </w:rPr>
              <w:t>Параметри шкали SF-36</w:t>
            </w:r>
          </w:p>
        </w:tc>
        <w:tc>
          <w:tcPr>
            <w:tcW w:w="4820" w:type="dxa"/>
            <w:gridSpan w:val="2"/>
          </w:tcPr>
          <w:p w:rsidR="00587E8D" w:rsidRPr="00587E8D" w:rsidRDefault="00587E8D" w:rsidP="00F85A7A">
            <w:pPr>
              <w:spacing w:line="240" w:lineRule="auto"/>
              <w:jc w:val="center"/>
            </w:pPr>
            <w:r w:rsidRPr="00587E8D">
              <w:t>ГІМ та ожиріння</w:t>
            </w:r>
          </w:p>
        </w:tc>
        <w:tc>
          <w:tcPr>
            <w:tcW w:w="1134" w:type="dxa"/>
            <w:vMerge w:val="restart"/>
          </w:tcPr>
          <w:p w:rsidR="00587E8D" w:rsidRPr="00587E8D" w:rsidRDefault="00587E8D" w:rsidP="00F85A7A">
            <w:pPr>
              <w:spacing w:line="240" w:lineRule="auto"/>
              <w:jc w:val="center"/>
              <w:rPr>
                <w:b/>
              </w:rPr>
            </w:pPr>
          </w:p>
          <w:p w:rsidR="00587E8D" w:rsidRPr="00587E8D" w:rsidRDefault="00587E8D" w:rsidP="00F85A7A">
            <w:pPr>
              <w:spacing w:line="240" w:lineRule="auto"/>
              <w:jc w:val="center"/>
              <w:rPr>
                <w:b/>
              </w:rPr>
            </w:pPr>
            <w:r w:rsidRPr="00587E8D">
              <w:rPr>
                <w:b/>
              </w:rPr>
              <w:t>p</w:t>
            </w:r>
          </w:p>
        </w:tc>
      </w:tr>
      <w:tr w:rsidR="00587E8D" w:rsidRPr="00587E8D" w:rsidTr="005B6344">
        <w:trPr>
          <w:trHeight w:val="113"/>
        </w:trPr>
        <w:tc>
          <w:tcPr>
            <w:tcW w:w="4077" w:type="dxa"/>
            <w:vMerge/>
          </w:tcPr>
          <w:p w:rsidR="00587E8D" w:rsidRPr="00587E8D" w:rsidRDefault="00587E8D" w:rsidP="00FF209C">
            <w:pPr>
              <w:spacing w:after="0" w:line="240" w:lineRule="auto"/>
              <w:jc w:val="center"/>
              <w:rPr>
                <w:b/>
                <w:bCs/>
              </w:rPr>
            </w:pPr>
          </w:p>
        </w:tc>
        <w:tc>
          <w:tcPr>
            <w:tcW w:w="2410" w:type="dxa"/>
          </w:tcPr>
          <w:p w:rsidR="00587E8D" w:rsidRPr="00587E8D" w:rsidRDefault="00587E8D" w:rsidP="00FF209C">
            <w:pPr>
              <w:spacing w:after="0" w:line="240" w:lineRule="auto"/>
              <w:jc w:val="center"/>
            </w:pPr>
            <w:r w:rsidRPr="00587E8D">
              <w:t>Ускладнений перебіг ГІМ</w:t>
            </w:r>
          </w:p>
          <w:p w:rsidR="00587E8D" w:rsidRPr="00587E8D" w:rsidRDefault="00587E8D" w:rsidP="00FF209C">
            <w:pPr>
              <w:spacing w:after="0" w:line="240" w:lineRule="auto"/>
              <w:jc w:val="center"/>
            </w:pPr>
            <w:r w:rsidRPr="00587E8D">
              <w:t>(n = 32)</w:t>
            </w:r>
          </w:p>
        </w:tc>
        <w:tc>
          <w:tcPr>
            <w:tcW w:w="2410" w:type="dxa"/>
          </w:tcPr>
          <w:p w:rsidR="00587E8D" w:rsidRPr="00587E8D" w:rsidRDefault="00587E8D" w:rsidP="00FF209C">
            <w:pPr>
              <w:spacing w:after="0" w:line="240" w:lineRule="auto"/>
              <w:jc w:val="center"/>
            </w:pPr>
            <w:r w:rsidRPr="00587E8D">
              <w:t>Неускладнений перебіг ГІМ</w:t>
            </w:r>
          </w:p>
          <w:p w:rsidR="00587E8D" w:rsidRPr="00587E8D" w:rsidRDefault="00587E8D" w:rsidP="00FF209C">
            <w:pPr>
              <w:spacing w:after="0" w:line="240" w:lineRule="auto"/>
              <w:jc w:val="center"/>
            </w:pPr>
            <w:r w:rsidRPr="00587E8D">
              <w:t>(n = 43)</w:t>
            </w:r>
          </w:p>
        </w:tc>
        <w:tc>
          <w:tcPr>
            <w:tcW w:w="1134" w:type="dxa"/>
            <w:vMerge/>
          </w:tcPr>
          <w:p w:rsidR="00587E8D" w:rsidRPr="00587E8D" w:rsidRDefault="00587E8D" w:rsidP="00FF209C">
            <w:pPr>
              <w:spacing w:after="0" w:line="240" w:lineRule="auto"/>
              <w:jc w:val="center"/>
            </w:pPr>
          </w:p>
        </w:tc>
      </w:tr>
      <w:tr w:rsidR="00587E8D" w:rsidRPr="00587E8D" w:rsidTr="005B6344">
        <w:tc>
          <w:tcPr>
            <w:tcW w:w="4077" w:type="dxa"/>
          </w:tcPr>
          <w:p w:rsidR="00587E8D" w:rsidRPr="00587E8D" w:rsidRDefault="00587E8D" w:rsidP="00FF209C">
            <w:pPr>
              <w:spacing w:after="0" w:line="240" w:lineRule="auto"/>
              <w:jc w:val="center"/>
            </w:pPr>
            <w:r w:rsidRPr="00587E8D">
              <w:t>Фізичне функціонування (PF)</w:t>
            </w:r>
          </w:p>
        </w:tc>
        <w:tc>
          <w:tcPr>
            <w:tcW w:w="2410" w:type="dxa"/>
          </w:tcPr>
          <w:p w:rsidR="00587E8D" w:rsidRPr="00587E8D" w:rsidRDefault="00587E8D" w:rsidP="00F85A7A">
            <w:pPr>
              <w:spacing w:line="240" w:lineRule="auto"/>
              <w:jc w:val="center"/>
            </w:pPr>
            <w:r w:rsidRPr="00587E8D">
              <w:t>24,51 ± 2,8</w:t>
            </w:r>
          </w:p>
        </w:tc>
        <w:tc>
          <w:tcPr>
            <w:tcW w:w="2410" w:type="dxa"/>
          </w:tcPr>
          <w:p w:rsidR="00587E8D" w:rsidRPr="00587E8D" w:rsidRDefault="00587E8D" w:rsidP="00F85A7A">
            <w:pPr>
              <w:spacing w:line="240" w:lineRule="auto"/>
              <w:jc w:val="center"/>
            </w:pPr>
            <w:r w:rsidRPr="00587E8D">
              <w:t>36,1 ± 1,95</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Фізично-рольове функціонування (RР)</w:t>
            </w:r>
          </w:p>
        </w:tc>
        <w:tc>
          <w:tcPr>
            <w:tcW w:w="2410" w:type="dxa"/>
          </w:tcPr>
          <w:p w:rsidR="00587E8D" w:rsidRPr="00587E8D" w:rsidRDefault="00587E8D" w:rsidP="00F85A7A">
            <w:pPr>
              <w:spacing w:line="240" w:lineRule="auto"/>
              <w:jc w:val="center"/>
            </w:pPr>
            <w:r w:rsidRPr="00587E8D">
              <w:t>17,24 ± 3,82</w:t>
            </w:r>
          </w:p>
        </w:tc>
        <w:tc>
          <w:tcPr>
            <w:tcW w:w="2410" w:type="dxa"/>
          </w:tcPr>
          <w:p w:rsidR="00587E8D" w:rsidRPr="00587E8D" w:rsidRDefault="00587E8D" w:rsidP="00F85A7A">
            <w:pPr>
              <w:spacing w:line="240" w:lineRule="auto"/>
              <w:jc w:val="center"/>
            </w:pPr>
            <w:r w:rsidRPr="00587E8D">
              <w:t>59,3 ± 2,76</w:t>
            </w:r>
          </w:p>
        </w:tc>
        <w:tc>
          <w:tcPr>
            <w:tcW w:w="1134" w:type="dxa"/>
          </w:tcPr>
          <w:p w:rsidR="00587E8D" w:rsidRPr="00587E8D" w:rsidRDefault="00587E8D" w:rsidP="00F85A7A">
            <w:pPr>
              <w:spacing w:line="240" w:lineRule="auto"/>
              <w:jc w:val="center"/>
            </w:pPr>
            <w:r w:rsidRPr="00587E8D">
              <w:t>&lt; 0,01</w:t>
            </w:r>
          </w:p>
        </w:tc>
      </w:tr>
      <w:tr w:rsidR="00587E8D" w:rsidRPr="00587E8D" w:rsidTr="005B6344">
        <w:tc>
          <w:tcPr>
            <w:tcW w:w="4077" w:type="dxa"/>
          </w:tcPr>
          <w:p w:rsidR="00587E8D" w:rsidRPr="00587E8D" w:rsidRDefault="00587E8D" w:rsidP="00F85A7A">
            <w:pPr>
              <w:spacing w:line="240" w:lineRule="auto"/>
              <w:jc w:val="center"/>
            </w:pPr>
            <w:r w:rsidRPr="00587E8D">
              <w:t>Інтенсивність болю (ВР)</w:t>
            </w:r>
          </w:p>
        </w:tc>
        <w:tc>
          <w:tcPr>
            <w:tcW w:w="2410" w:type="dxa"/>
          </w:tcPr>
          <w:p w:rsidR="00587E8D" w:rsidRPr="00587E8D" w:rsidRDefault="00587E8D" w:rsidP="00F85A7A">
            <w:pPr>
              <w:spacing w:line="240" w:lineRule="auto"/>
              <w:jc w:val="center"/>
            </w:pPr>
            <w:r w:rsidRPr="00587E8D">
              <w:t>11,12± 2,32</w:t>
            </w:r>
          </w:p>
        </w:tc>
        <w:tc>
          <w:tcPr>
            <w:tcW w:w="2410" w:type="dxa"/>
          </w:tcPr>
          <w:p w:rsidR="00587E8D" w:rsidRPr="00587E8D" w:rsidRDefault="00587E8D" w:rsidP="00F85A7A">
            <w:pPr>
              <w:spacing w:line="240" w:lineRule="auto"/>
              <w:jc w:val="center"/>
            </w:pPr>
            <w:r w:rsidRPr="00587E8D">
              <w:t>13,5 ± 2,53</w:t>
            </w:r>
          </w:p>
        </w:tc>
        <w:tc>
          <w:tcPr>
            <w:tcW w:w="1134" w:type="dxa"/>
          </w:tcPr>
          <w:p w:rsidR="00587E8D" w:rsidRPr="00587E8D" w:rsidRDefault="00587E8D" w:rsidP="00F85A7A">
            <w:pPr>
              <w:spacing w:line="240" w:lineRule="auto"/>
              <w:jc w:val="center"/>
            </w:pPr>
            <w:r w:rsidRPr="00587E8D">
              <w:rPr>
                <w:lang w:val="en-US"/>
              </w:rPr>
              <w:t>&gt;</w:t>
            </w:r>
            <w:r w:rsidRPr="00587E8D">
              <w:t>0,05</w:t>
            </w:r>
          </w:p>
        </w:tc>
      </w:tr>
      <w:tr w:rsidR="00587E8D" w:rsidRPr="00587E8D" w:rsidTr="005B6344">
        <w:tc>
          <w:tcPr>
            <w:tcW w:w="4077" w:type="dxa"/>
          </w:tcPr>
          <w:p w:rsidR="00587E8D" w:rsidRPr="00587E8D" w:rsidRDefault="00587E8D" w:rsidP="00F85A7A">
            <w:pPr>
              <w:spacing w:line="240" w:lineRule="auto"/>
              <w:jc w:val="center"/>
            </w:pPr>
            <w:r w:rsidRPr="00587E8D">
              <w:t>Загальний стан здоров'я (GH)</w:t>
            </w:r>
          </w:p>
        </w:tc>
        <w:tc>
          <w:tcPr>
            <w:tcW w:w="2410" w:type="dxa"/>
          </w:tcPr>
          <w:p w:rsidR="00587E8D" w:rsidRPr="00587E8D" w:rsidRDefault="00587E8D" w:rsidP="00F85A7A">
            <w:pPr>
              <w:spacing w:line="240" w:lineRule="auto"/>
              <w:jc w:val="center"/>
            </w:pPr>
            <w:r w:rsidRPr="00587E8D">
              <w:t>27,51 ± 3,71</w:t>
            </w:r>
          </w:p>
        </w:tc>
        <w:tc>
          <w:tcPr>
            <w:tcW w:w="2410" w:type="dxa"/>
          </w:tcPr>
          <w:p w:rsidR="00587E8D" w:rsidRPr="00587E8D" w:rsidRDefault="00587E8D" w:rsidP="00F85A7A">
            <w:pPr>
              <w:spacing w:line="240" w:lineRule="auto"/>
              <w:jc w:val="center"/>
            </w:pPr>
            <w:r w:rsidRPr="00587E8D">
              <w:t>39,74 ± 1,81</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Життєва активність (VT)</w:t>
            </w:r>
          </w:p>
        </w:tc>
        <w:tc>
          <w:tcPr>
            <w:tcW w:w="2410" w:type="dxa"/>
          </w:tcPr>
          <w:p w:rsidR="00587E8D" w:rsidRPr="00587E8D" w:rsidRDefault="00587E8D" w:rsidP="00F85A7A">
            <w:pPr>
              <w:spacing w:line="240" w:lineRule="auto"/>
              <w:jc w:val="center"/>
            </w:pPr>
            <w:r w:rsidRPr="00587E8D">
              <w:t>29,26 ± 3,13</w:t>
            </w:r>
          </w:p>
        </w:tc>
        <w:tc>
          <w:tcPr>
            <w:tcW w:w="2410" w:type="dxa"/>
          </w:tcPr>
          <w:p w:rsidR="00587E8D" w:rsidRPr="00587E8D" w:rsidRDefault="00587E8D" w:rsidP="00F85A7A">
            <w:pPr>
              <w:spacing w:line="240" w:lineRule="auto"/>
              <w:jc w:val="center"/>
            </w:pPr>
            <w:r w:rsidRPr="00587E8D">
              <w:t>38,70 ± 1,73</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Соціальне функціонування (SF)</w:t>
            </w:r>
          </w:p>
        </w:tc>
        <w:tc>
          <w:tcPr>
            <w:tcW w:w="2410" w:type="dxa"/>
          </w:tcPr>
          <w:p w:rsidR="00587E8D" w:rsidRPr="00587E8D" w:rsidRDefault="00587E8D" w:rsidP="00F85A7A">
            <w:pPr>
              <w:spacing w:line="240" w:lineRule="auto"/>
              <w:jc w:val="center"/>
            </w:pPr>
            <w:r w:rsidRPr="00587E8D">
              <w:t>33,54 ± 4,61</w:t>
            </w:r>
          </w:p>
        </w:tc>
        <w:tc>
          <w:tcPr>
            <w:tcW w:w="2410" w:type="dxa"/>
          </w:tcPr>
          <w:p w:rsidR="00587E8D" w:rsidRPr="00587E8D" w:rsidRDefault="00587E8D" w:rsidP="00F85A7A">
            <w:pPr>
              <w:spacing w:line="240" w:lineRule="auto"/>
              <w:jc w:val="center"/>
            </w:pPr>
            <w:r w:rsidRPr="00587E8D">
              <w:t>45,18 ± 2,43</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Емоціонально-рольове функціонування (RE)</w:t>
            </w:r>
          </w:p>
        </w:tc>
        <w:tc>
          <w:tcPr>
            <w:tcW w:w="2410" w:type="dxa"/>
          </w:tcPr>
          <w:p w:rsidR="00587E8D" w:rsidRPr="00587E8D" w:rsidRDefault="00587E8D" w:rsidP="00F85A7A">
            <w:pPr>
              <w:spacing w:line="240" w:lineRule="auto"/>
              <w:jc w:val="center"/>
            </w:pPr>
            <w:r w:rsidRPr="00587E8D">
              <w:t>20,65 ± 3,31</w:t>
            </w:r>
          </w:p>
        </w:tc>
        <w:tc>
          <w:tcPr>
            <w:tcW w:w="2410" w:type="dxa"/>
          </w:tcPr>
          <w:p w:rsidR="00587E8D" w:rsidRPr="00587E8D" w:rsidRDefault="00587E8D" w:rsidP="00F85A7A">
            <w:pPr>
              <w:spacing w:line="240" w:lineRule="auto"/>
              <w:jc w:val="center"/>
            </w:pPr>
            <w:r w:rsidRPr="00587E8D">
              <w:t>49,8 ± 5,04</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Ментальне функціонування (MH)</w:t>
            </w:r>
          </w:p>
        </w:tc>
        <w:tc>
          <w:tcPr>
            <w:tcW w:w="2410" w:type="dxa"/>
          </w:tcPr>
          <w:p w:rsidR="00587E8D" w:rsidRPr="00587E8D" w:rsidRDefault="00587E8D" w:rsidP="00F85A7A">
            <w:pPr>
              <w:spacing w:line="240" w:lineRule="auto"/>
              <w:jc w:val="center"/>
            </w:pPr>
            <w:r w:rsidRPr="00587E8D">
              <w:t>34,11 ± 3,25</w:t>
            </w:r>
          </w:p>
        </w:tc>
        <w:tc>
          <w:tcPr>
            <w:tcW w:w="2410" w:type="dxa"/>
          </w:tcPr>
          <w:p w:rsidR="00587E8D" w:rsidRPr="00587E8D" w:rsidRDefault="00587E8D" w:rsidP="00F85A7A">
            <w:pPr>
              <w:spacing w:line="240" w:lineRule="auto"/>
              <w:jc w:val="center"/>
            </w:pPr>
            <w:r w:rsidRPr="00587E8D">
              <w:t>56,28 ± 3,27</w:t>
            </w:r>
          </w:p>
        </w:tc>
        <w:tc>
          <w:tcPr>
            <w:tcW w:w="1134" w:type="dxa"/>
          </w:tcPr>
          <w:p w:rsidR="00587E8D" w:rsidRPr="00587E8D" w:rsidRDefault="00587E8D" w:rsidP="00F85A7A">
            <w:pPr>
              <w:spacing w:line="240" w:lineRule="auto"/>
              <w:jc w:val="center"/>
            </w:pPr>
            <w:r w:rsidRPr="00587E8D">
              <w:t>&lt; 0,05</w:t>
            </w:r>
          </w:p>
        </w:tc>
      </w:tr>
    </w:tbl>
    <w:p w:rsidR="00587E8D" w:rsidRPr="00587E8D" w:rsidRDefault="00587E8D" w:rsidP="00587E8D">
      <w:pPr>
        <w:spacing w:after="0" w:line="360" w:lineRule="auto"/>
        <w:ind w:firstLine="851"/>
        <w:jc w:val="both"/>
        <w:rPr>
          <w:szCs w:val="28"/>
        </w:rPr>
      </w:pPr>
    </w:p>
    <w:p w:rsidR="00587E8D" w:rsidRPr="00F407BB" w:rsidRDefault="00587E8D" w:rsidP="00587E8D">
      <w:pPr>
        <w:spacing w:after="0" w:line="360" w:lineRule="auto"/>
        <w:ind w:firstLine="851"/>
        <w:jc w:val="both"/>
        <w:rPr>
          <w:szCs w:val="28"/>
          <w:lang w:val="ru-RU"/>
        </w:rPr>
      </w:pPr>
      <w:r w:rsidRPr="00587E8D">
        <w:rPr>
          <w:szCs w:val="28"/>
        </w:rPr>
        <w:t xml:space="preserve">Аналіз показників ЯЖ у хворих з ожирінням залежно від наявності ускладнень ГІМ у госпітальному періоді визначив наявність вірогідних відмінностей. Знайдено зростання балів показників </w:t>
      </w:r>
      <w:r w:rsidRPr="00587E8D">
        <w:rPr>
          <w:szCs w:val="28"/>
          <w:lang w:val="en-US"/>
        </w:rPr>
        <w:t>PF</w:t>
      </w:r>
      <w:r w:rsidRPr="00587E8D">
        <w:rPr>
          <w:szCs w:val="28"/>
        </w:rPr>
        <w:t xml:space="preserve">, </w:t>
      </w:r>
      <w:r w:rsidRPr="00587E8D">
        <w:rPr>
          <w:szCs w:val="28"/>
          <w:lang w:val="en-US"/>
        </w:rPr>
        <w:t>RP</w:t>
      </w:r>
      <w:r w:rsidRPr="00587E8D">
        <w:rPr>
          <w:szCs w:val="28"/>
        </w:rPr>
        <w:t xml:space="preserve"> та </w:t>
      </w:r>
      <w:r w:rsidRPr="00587E8D">
        <w:rPr>
          <w:szCs w:val="28"/>
          <w:lang w:val="en-US"/>
        </w:rPr>
        <w:t>GH</w:t>
      </w:r>
      <w:r w:rsidRPr="00587E8D">
        <w:rPr>
          <w:szCs w:val="28"/>
        </w:rPr>
        <w:t xml:space="preserve"> (</w:t>
      </w:r>
      <w:r w:rsidRPr="00587E8D">
        <w:rPr>
          <w:szCs w:val="28"/>
          <w:lang w:val="en-US"/>
        </w:rPr>
        <w:t>p</w:t>
      </w:r>
      <w:r w:rsidR="00FB58A8">
        <w:rPr>
          <w:szCs w:val="28"/>
        </w:rPr>
        <w:t>&lt;</w:t>
      </w:r>
      <w:r w:rsidRPr="00587E8D">
        <w:rPr>
          <w:szCs w:val="28"/>
        </w:rPr>
        <w:t xml:space="preserve">0,05), які відображають фізичний компонент здоров’я. Інтенсивність болю </w:t>
      </w:r>
      <w:r w:rsidRPr="00587E8D">
        <w:rPr>
          <w:szCs w:val="28"/>
          <w:lang w:val="ru-RU"/>
        </w:rPr>
        <w:t>(</w:t>
      </w:r>
      <w:r w:rsidRPr="00587E8D">
        <w:rPr>
          <w:szCs w:val="28"/>
        </w:rPr>
        <w:t>ВР</w:t>
      </w:r>
      <w:r w:rsidRPr="00587E8D">
        <w:rPr>
          <w:szCs w:val="28"/>
          <w:lang w:val="ru-RU"/>
        </w:rPr>
        <w:t>)</w:t>
      </w:r>
      <w:r w:rsidRPr="00587E8D">
        <w:rPr>
          <w:szCs w:val="28"/>
        </w:rPr>
        <w:t xml:space="preserve"> істотно не змінювалась при порівнянні хворих з ускладненим та неускладненим перебігом ГІМ у госпітальному періоді (</w:t>
      </w:r>
      <w:r w:rsidRPr="00587E8D">
        <w:rPr>
          <w:szCs w:val="28"/>
          <w:lang w:val="en-US"/>
        </w:rPr>
        <w:t>p</w:t>
      </w:r>
      <w:r w:rsidR="00FB58A8">
        <w:rPr>
          <w:szCs w:val="28"/>
          <w:lang w:val="ru-RU"/>
        </w:rPr>
        <w:t>&gt;</w:t>
      </w:r>
      <w:r w:rsidRPr="00587E8D">
        <w:rPr>
          <w:szCs w:val="28"/>
          <w:lang w:val="ru-RU"/>
        </w:rPr>
        <w:t>0,05</w:t>
      </w:r>
      <w:r w:rsidRPr="00587E8D">
        <w:rPr>
          <w:szCs w:val="28"/>
        </w:rPr>
        <w:t>)</w:t>
      </w:r>
      <w:r w:rsidRPr="00587E8D">
        <w:rPr>
          <w:szCs w:val="28"/>
          <w:lang w:val="ru-RU"/>
        </w:rPr>
        <w:t xml:space="preserve">. </w:t>
      </w:r>
      <w:r w:rsidRPr="00587E8D">
        <w:rPr>
          <w:szCs w:val="28"/>
        </w:rPr>
        <w:t>П</w:t>
      </w:r>
      <w:r w:rsidRPr="00587E8D">
        <w:rPr>
          <w:szCs w:val="28"/>
          <w:lang w:val="ru-RU"/>
        </w:rPr>
        <w:t xml:space="preserve">араметри емоційного компоненту також виявили відмінності. Показники </w:t>
      </w:r>
      <w:r w:rsidRPr="00587E8D">
        <w:rPr>
          <w:szCs w:val="28"/>
          <w:lang w:val="en-US"/>
        </w:rPr>
        <w:t>VT</w:t>
      </w:r>
      <w:r w:rsidRPr="00587E8D">
        <w:rPr>
          <w:szCs w:val="28"/>
          <w:lang w:val="ru-RU"/>
        </w:rPr>
        <w:t xml:space="preserve">, </w:t>
      </w:r>
      <w:r w:rsidRPr="00587E8D">
        <w:rPr>
          <w:szCs w:val="28"/>
          <w:lang w:val="en-US"/>
        </w:rPr>
        <w:t>SF</w:t>
      </w:r>
      <w:r w:rsidRPr="00587E8D">
        <w:rPr>
          <w:szCs w:val="28"/>
          <w:lang w:val="ru-RU"/>
        </w:rPr>
        <w:t xml:space="preserve">, </w:t>
      </w:r>
      <w:r w:rsidRPr="00587E8D">
        <w:rPr>
          <w:szCs w:val="28"/>
          <w:lang w:val="en-US"/>
        </w:rPr>
        <w:t>RE</w:t>
      </w:r>
      <w:r w:rsidRPr="00587E8D">
        <w:rPr>
          <w:szCs w:val="28"/>
          <w:lang w:val="ru-RU"/>
        </w:rPr>
        <w:t xml:space="preserve">, </w:t>
      </w:r>
      <w:r w:rsidRPr="00587E8D">
        <w:rPr>
          <w:szCs w:val="28"/>
          <w:lang w:val="en-US"/>
        </w:rPr>
        <w:t>MH</w:t>
      </w:r>
      <w:r w:rsidRPr="00587E8D">
        <w:rPr>
          <w:szCs w:val="28"/>
          <w:lang w:val="ru-RU"/>
        </w:rPr>
        <w:t xml:space="preserve"> у хворих з ускладненим перебігом ГІМ істотно перевищували за кількістю балів такі у хворих з неускладненим перебігом ГІМ при ожирінні (</w:t>
      </w:r>
      <w:r w:rsidRPr="00587E8D">
        <w:rPr>
          <w:szCs w:val="28"/>
          <w:lang w:val="en-US"/>
        </w:rPr>
        <w:t>p</w:t>
      </w:r>
      <w:r w:rsidR="00FB58A8">
        <w:rPr>
          <w:szCs w:val="28"/>
          <w:lang w:val="ru-RU"/>
        </w:rPr>
        <w:t>&lt;</w:t>
      </w:r>
      <w:r w:rsidRPr="00587E8D">
        <w:rPr>
          <w:szCs w:val="28"/>
          <w:lang w:val="ru-RU"/>
        </w:rPr>
        <w:t>0,05)</w:t>
      </w:r>
      <w:r w:rsidRPr="00587E8D">
        <w:rPr>
          <w:szCs w:val="28"/>
        </w:rPr>
        <w:t>. Дані наведено в табл. 3.10.</w:t>
      </w:r>
    </w:p>
    <w:p w:rsidR="00FF209C" w:rsidRPr="00F407BB" w:rsidRDefault="00FF209C" w:rsidP="00587E8D">
      <w:pPr>
        <w:spacing w:after="0" w:line="360" w:lineRule="auto"/>
        <w:ind w:firstLine="851"/>
        <w:jc w:val="both"/>
        <w:rPr>
          <w:szCs w:val="28"/>
          <w:lang w:val="ru-RU"/>
        </w:rPr>
      </w:pPr>
    </w:p>
    <w:p w:rsidR="00CF75BA" w:rsidRPr="00F407BB" w:rsidRDefault="00CF75BA" w:rsidP="00CF75BA">
      <w:pPr>
        <w:spacing w:after="0" w:line="360" w:lineRule="auto"/>
        <w:ind w:left="7789" w:firstLine="8"/>
        <w:jc w:val="both"/>
        <w:rPr>
          <w:i/>
          <w:szCs w:val="28"/>
          <w:lang w:val="ru-RU"/>
        </w:rPr>
      </w:pPr>
    </w:p>
    <w:p w:rsidR="00CF75BA" w:rsidRPr="00F407BB" w:rsidRDefault="00CF75BA" w:rsidP="00CF75BA">
      <w:pPr>
        <w:spacing w:after="0" w:line="360" w:lineRule="auto"/>
        <w:ind w:left="7789" w:firstLine="8"/>
        <w:jc w:val="both"/>
        <w:rPr>
          <w:i/>
          <w:szCs w:val="28"/>
          <w:lang w:val="ru-RU"/>
        </w:rPr>
      </w:pPr>
    </w:p>
    <w:p w:rsidR="00587E8D" w:rsidRPr="00587E8D" w:rsidRDefault="00587E8D" w:rsidP="00CF75BA">
      <w:pPr>
        <w:spacing w:after="0" w:line="360" w:lineRule="auto"/>
        <w:ind w:left="7789" w:firstLine="8"/>
        <w:jc w:val="both"/>
        <w:rPr>
          <w:i/>
          <w:szCs w:val="28"/>
        </w:rPr>
      </w:pPr>
      <w:r w:rsidRPr="00587E8D">
        <w:rPr>
          <w:i/>
          <w:szCs w:val="28"/>
        </w:rPr>
        <w:lastRenderedPageBreak/>
        <w:t>Таблиця 3.11</w:t>
      </w:r>
    </w:p>
    <w:p w:rsidR="00587E8D" w:rsidRPr="00587E8D" w:rsidRDefault="00587E8D" w:rsidP="00FB58A8">
      <w:pPr>
        <w:spacing w:after="0" w:line="360" w:lineRule="auto"/>
        <w:ind w:firstLine="851"/>
        <w:jc w:val="center"/>
        <w:rPr>
          <w:szCs w:val="28"/>
        </w:rPr>
      </w:pPr>
      <w:r w:rsidRPr="00587E8D">
        <w:rPr>
          <w:szCs w:val="28"/>
        </w:rPr>
        <w:t>Рівень якості життя хворих з гострим інфарктом міокарда та ожирінням за наявності одно- та мультисудинного ураження коронарних артерій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094"/>
        <w:gridCol w:w="2552"/>
        <w:gridCol w:w="1134"/>
      </w:tblGrid>
      <w:tr w:rsidR="00587E8D" w:rsidRPr="00587E8D" w:rsidTr="00CF75BA">
        <w:trPr>
          <w:trHeight w:val="113"/>
        </w:trPr>
        <w:tc>
          <w:tcPr>
            <w:tcW w:w="3251" w:type="dxa"/>
            <w:vMerge w:val="restart"/>
          </w:tcPr>
          <w:p w:rsidR="00587E8D" w:rsidRPr="00587E8D" w:rsidRDefault="00587E8D" w:rsidP="00FF209C">
            <w:pPr>
              <w:spacing w:after="0" w:line="240" w:lineRule="auto"/>
              <w:jc w:val="center"/>
              <w:rPr>
                <w:b/>
                <w:bCs/>
              </w:rPr>
            </w:pPr>
          </w:p>
          <w:p w:rsidR="00587E8D" w:rsidRPr="00587E8D" w:rsidRDefault="00587E8D" w:rsidP="00FF209C">
            <w:pPr>
              <w:spacing w:after="0" w:line="240" w:lineRule="auto"/>
              <w:jc w:val="center"/>
            </w:pPr>
            <w:r w:rsidRPr="00587E8D">
              <w:rPr>
                <w:bCs/>
              </w:rPr>
              <w:t>Параметри шкали SF-36</w:t>
            </w:r>
          </w:p>
        </w:tc>
        <w:tc>
          <w:tcPr>
            <w:tcW w:w="5646" w:type="dxa"/>
            <w:gridSpan w:val="2"/>
          </w:tcPr>
          <w:p w:rsidR="00587E8D" w:rsidRPr="00587E8D" w:rsidRDefault="00587E8D" w:rsidP="00FF209C">
            <w:pPr>
              <w:spacing w:after="0" w:line="240" w:lineRule="auto"/>
              <w:jc w:val="center"/>
            </w:pPr>
            <w:r w:rsidRPr="00587E8D">
              <w:t>ГІМ та ожиріння</w:t>
            </w:r>
          </w:p>
        </w:tc>
        <w:tc>
          <w:tcPr>
            <w:tcW w:w="1134" w:type="dxa"/>
            <w:vMerge w:val="restart"/>
          </w:tcPr>
          <w:p w:rsidR="00587E8D" w:rsidRPr="00587E8D" w:rsidRDefault="00587E8D" w:rsidP="00FF209C">
            <w:pPr>
              <w:spacing w:after="0" w:line="240" w:lineRule="auto"/>
              <w:jc w:val="center"/>
              <w:rPr>
                <w:b/>
              </w:rPr>
            </w:pPr>
          </w:p>
          <w:p w:rsidR="00587E8D" w:rsidRPr="00587E8D" w:rsidRDefault="00587E8D" w:rsidP="00FF209C">
            <w:pPr>
              <w:spacing w:after="0" w:line="240" w:lineRule="auto"/>
              <w:jc w:val="center"/>
              <w:rPr>
                <w:b/>
              </w:rPr>
            </w:pPr>
            <w:r w:rsidRPr="00587E8D">
              <w:rPr>
                <w:b/>
              </w:rPr>
              <w:t>p</w:t>
            </w:r>
          </w:p>
        </w:tc>
      </w:tr>
      <w:tr w:rsidR="00587E8D" w:rsidRPr="00587E8D" w:rsidTr="00CF75BA">
        <w:trPr>
          <w:trHeight w:val="113"/>
        </w:trPr>
        <w:tc>
          <w:tcPr>
            <w:tcW w:w="3251" w:type="dxa"/>
            <w:vMerge/>
          </w:tcPr>
          <w:p w:rsidR="00587E8D" w:rsidRPr="00587E8D" w:rsidRDefault="00587E8D" w:rsidP="00FF209C">
            <w:pPr>
              <w:spacing w:after="0" w:line="240" w:lineRule="auto"/>
              <w:jc w:val="center"/>
              <w:rPr>
                <w:b/>
                <w:bCs/>
              </w:rPr>
            </w:pPr>
          </w:p>
        </w:tc>
        <w:tc>
          <w:tcPr>
            <w:tcW w:w="3094" w:type="dxa"/>
          </w:tcPr>
          <w:p w:rsidR="00587E8D" w:rsidRPr="00587E8D" w:rsidRDefault="00587E8D" w:rsidP="00FF209C">
            <w:pPr>
              <w:spacing w:after="0" w:line="240" w:lineRule="auto"/>
              <w:jc w:val="center"/>
            </w:pPr>
            <w:r w:rsidRPr="00587E8D">
              <w:t>Односудинне ураження КА</w:t>
            </w:r>
          </w:p>
          <w:p w:rsidR="00587E8D" w:rsidRPr="00587E8D" w:rsidRDefault="00587E8D" w:rsidP="00FF209C">
            <w:pPr>
              <w:spacing w:after="0" w:line="240" w:lineRule="auto"/>
              <w:jc w:val="center"/>
            </w:pPr>
            <w:r w:rsidRPr="00587E8D">
              <w:t>(n = 13)</w:t>
            </w:r>
          </w:p>
        </w:tc>
        <w:tc>
          <w:tcPr>
            <w:tcW w:w="2552" w:type="dxa"/>
          </w:tcPr>
          <w:p w:rsidR="00587E8D" w:rsidRPr="00587E8D" w:rsidRDefault="00587E8D" w:rsidP="00FF209C">
            <w:pPr>
              <w:spacing w:after="0" w:line="240" w:lineRule="auto"/>
              <w:jc w:val="center"/>
            </w:pPr>
            <w:r w:rsidRPr="00587E8D">
              <w:t>Мультисудинне ураження КА</w:t>
            </w:r>
          </w:p>
          <w:p w:rsidR="00587E8D" w:rsidRPr="00587E8D" w:rsidRDefault="00587E8D" w:rsidP="00FF209C">
            <w:pPr>
              <w:spacing w:after="0" w:line="240" w:lineRule="auto"/>
              <w:jc w:val="center"/>
            </w:pPr>
            <w:r w:rsidRPr="00587E8D">
              <w:t>(n = 18)</w:t>
            </w:r>
          </w:p>
        </w:tc>
        <w:tc>
          <w:tcPr>
            <w:tcW w:w="1134" w:type="dxa"/>
            <w:vMerge/>
          </w:tcPr>
          <w:p w:rsidR="00587E8D" w:rsidRPr="00587E8D" w:rsidRDefault="00587E8D" w:rsidP="00FF209C">
            <w:pPr>
              <w:spacing w:after="0" w:line="240" w:lineRule="auto"/>
              <w:jc w:val="center"/>
            </w:pPr>
          </w:p>
        </w:tc>
      </w:tr>
      <w:tr w:rsidR="00587E8D" w:rsidRPr="00587E8D" w:rsidTr="00CF75BA">
        <w:tc>
          <w:tcPr>
            <w:tcW w:w="3251" w:type="dxa"/>
          </w:tcPr>
          <w:p w:rsidR="00587E8D" w:rsidRPr="00587E8D" w:rsidRDefault="00587E8D" w:rsidP="00FF209C">
            <w:pPr>
              <w:spacing w:after="0" w:line="240" w:lineRule="auto"/>
              <w:jc w:val="center"/>
            </w:pPr>
            <w:r w:rsidRPr="00587E8D">
              <w:t>Фізичне функціонування (PF)</w:t>
            </w:r>
          </w:p>
        </w:tc>
        <w:tc>
          <w:tcPr>
            <w:tcW w:w="3094" w:type="dxa"/>
          </w:tcPr>
          <w:p w:rsidR="00587E8D" w:rsidRPr="00587E8D" w:rsidRDefault="00587E8D" w:rsidP="00FF209C">
            <w:pPr>
              <w:spacing w:after="0" w:line="240" w:lineRule="auto"/>
              <w:jc w:val="center"/>
            </w:pPr>
            <w:r w:rsidRPr="00587E8D">
              <w:t>27,37 ± 2,8</w:t>
            </w:r>
          </w:p>
        </w:tc>
        <w:tc>
          <w:tcPr>
            <w:tcW w:w="2552" w:type="dxa"/>
          </w:tcPr>
          <w:p w:rsidR="00587E8D" w:rsidRPr="00587E8D" w:rsidRDefault="00587E8D" w:rsidP="00FF209C">
            <w:pPr>
              <w:spacing w:after="0" w:line="240" w:lineRule="auto"/>
              <w:jc w:val="center"/>
            </w:pPr>
            <w:r w:rsidRPr="00587E8D">
              <w:t>29,11 ± 1,86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Фізично-рольове функціонування (RР)</w:t>
            </w:r>
          </w:p>
        </w:tc>
        <w:tc>
          <w:tcPr>
            <w:tcW w:w="3094" w:type="dxa"/>
          </w:tcPr>
          <w:p w:rsidR="00587E8D" w:rsidRPr="00587E8D" w:rsidRDefault="00587E8D" w:rsidP="00FF209C">
            <w:pPr>
              <w:spacing w:after="0" w:line="240" w:lineRule="auto"/>
              <w:jc w:val="center"/>
            </w:pPr>
            <w:r w:rsidRPr="00587E8D">
              <w:t>17,74 ± 2,27</w:t>
            </w:r>
          </w:p>
        </w:tc>
        <w:tc>
          <w:tcPr>
            <w:tcW w:w="2552" w:type="dxa"/>
          </w:tcPr>
          <w:p w:rsidR="00587E8D" w:rsidRPr="00587E8D" w:rsidRDefault="00587E8D" w:rsidP="00FF209C">
            <w:pPr>
              <w:spacing w:after="0" w:line="240" w:lineRule="auto"/>
              <w:jc w:val="center"/>
            </w:pPr>
            <w:r w:rsidRPr="00587E8D">
              <w:t>19,66 ± 2,25</w:t>
            </w:r>
          </w:p>
        </w:tc>
        <w:tc>
          <w:tcPr>
            <w:tcW w:w="1134" w:type="dxa"/>
          </w:tcPr>
          <w:p w:rsidR="00587E8D" w:rsidRPr="00587E8D" w:rsidRDefault="00587E8D" w:rsidP="00FF209C">
            <w:pPr>
              <w:spacing w:after="0" w:line="240" w:lineRule="auto"/>
              <w:jc w:val="center"/>
            </w:pPr>
            <w:r w:rsidRPr="00587E8D">
              <w:rPr>
                <w:lang w:val="en-US"/>
              </w:rPr>
              <w:t>&gt;</w:t>
            </w:r>
            <w:r w:rsidRPr="00587E8D">
              <w:t>0,05</w:t>
            </w:r>
          </w:p>
        </w:tc>
      </w:tr>
      <w:tr w:rsidR="00587E8D" w:rsidRPr="00587E8D" w:rsidTr="00CF75BA">
        <w:tc>
          <w:tcPr>
            <w:tcW w:w="3251" w:type="dxa"/>
          </w:tcPr>
          <w:p w:rsidR="00587E8D" w:rsidRPr="00587E8D" w:rsidRDefault="00587E8D" w:rsidP="00FF209C">
            <w:pPr>
              <w:spacing w:after="0" w:line="240" w:lineRule="auto"/>
              <w:jc w:val="center"/>
            </w:pPr>
            <w:r w:rsidRPr="00587E8D">
              <w:t>Інтенсивність болю (ВР)</w:t>
            </w:r>
          </w:p>
        </w:tc>
        <w:tc>
          <w:tcPr>
            <w:tcW w:w="3094" w:type="dxa"/>
          </w:tcPr>
          <w:p w:rsidR="00587E8D" w:rsidRPr="00587E8D" w:rsidRDefault="00587E8D" w:rsidP="00FF209C">
            <w:pPr>
              <w:spacing w:after="0" w:line="240" w:lineRule="auto"/>
              <w:jc w:val="center"/>
            </w:pPr>
            <w:r w:rsidRPr="00587E8D">
              <w:t>14,42± 2,44</w:t>
            </w:r>
          </w:p>
        </w:tc>
        <w:tc>
          <w:tcPr>
            <w:tcW w:w="2552" w:type="dxa"/>
          </w:tcPr>
          <w:p w:rsidR="00587E8D" w:rsidRPr="00587E8D" w:rsidRDefault="00587E8D" w:rsidP="00FF209C">
            <w:pPr>
              <w:spacing w:after="0" w:line="240" w:lineRule="auto"/>
              <w:jc w:val="center"/>
            </w:pPr>
            <w:r w:rsidRPr="00587E8D">
              <w:t>13,77 ± 2,03</w:t>
            </w:r>
          </w:p>
        </w:tc>
        <w:tc>
          <w:tcPr>
            <w:tcW w:w="1134" w:type="dxa"/>
          </w:tcPr>
          <w:p w:rsidR="00587E8D" w:rsidRPr="00587E8D" w:rsidRDefault="00587E8D" w:rsidP="00FF209C">
            <w:pPr>
              <w:spacing w:after="0" w:line="240" w:lineRule="auto"/>
              <w:jc w:val="center"/>
            </w:pPr>
            <w:r w:rsidRPr="00587E8D">
              <w:rPr>
                <w:lang w:val="en-US"/>
              </w:rPr>
              <w:t>&gt;</w:t>
            </w:r>
            <w:r w:rsidRPr="00587E8D">
              <w:t>0,05</w:t>
            </w:r>
          </w:p>
        </w:tc>
      </w:tr>
      <w:tr w:rsidR="00587E8D" w:rsidRPr="00587E8D" w:rsidTr="00CF75BA">
        <w:tc>
          <w:tcPr>
            <w:tcW w:w="3251" w:type="dxa"/>
          </w:tcPr>
          <w:p w:rsidR="00587E8D" w:rsidRPr="00587E8D" w:rsidRDefault="00587E8D" w:rsidP="00FF209C">
            <w:pPr>
              <w:spacing w:after="0" w:line="240" w:lineRule="auto"/>
              <w:jc w:val="center"/>
            </w:pPr>
            <w:r w:rsidRPr="00587E8D">
              <w:t>Загальний стан здоров'я (GH)</w:t>
            </w:r>
          </w:p>
        </w:tc>
        <w:tc>
          <w:tcPr>
            <w:tcW w:w="3094" w:type="dxa"/>
          </w:tcPr>
          <w:p w:rsidR="00587E8D" w:rsidRPr="00587E8D" w:rsidRDefault="00587E8D" w:rsidP="00FF209C">
            <w:pPr>
              <w:spacing w:after="0" w:line="240" w:lineRule="auto"/>
              <w:jc w:val="center"/>
            </w:pPr>
            <w:r w:rsidRPr="00587E8D">
              <w:t>26,89 ± 3,19</w:t>
            </w:r>
          </w:p>
        </w:tc>
        <w:tc>
          <w:tcPr>
            <w:tcW w:w="2552" w:type="dxa"/>
          </w:tcPr>
          <w:p w:rsidR="00587E8D" w:rsidRPr="00587E8D" w:rsidRDefault="00587E8D" w:rsidP="00FF209C">
            <w:pPr>
              <w:spacing w:after="0" w:line="240" w:lineRule="auto"/>
              <w:jc w:val="center"/>
            </w:pPr>
            <w:r w:rsidRPr="00587E8D">
              <w:t>29,06 ± 1,76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Життєва активність (VT)</w:t>
            </w:r>
          </w:p>
        </w:tc>
        <w:tc>
          <w:tcPr>
            <w:tcW w:w="3094" w:type="dxa"/>
          </w:tcPr>
          <w:p w:rsidR="00587E8D" w:rsidRPr="00587E8D" w:rsidRDefault="00587E8D" w:rsidP="00FF209C">
            <w:pPr>
              <w:spacing w:after="0" w:line="240" w:lineRule="auto"/>
              <w:jc w:val="center"/>
            </w:pPr>
            <w:r w:rsidRPr="00587E8D">
              <w:t>27,16 ± 3,28</w:t>
            </w:r>
          </w:p>
        </w:tc>
        <w:tc>
          <w:tcPr>
            <w:tcW w:w="2552" w:type="dxa"/>
          </w:tcPr>
          <w:p w:rsidR="00587E8D" w:rsidRPr="00587E8D" w:rsidRDefault="00587E8D" w:rsidP="00FF209C">
            <w:pPr>
              <w:spacing w:after="0" w:line="240" w:lineRule="auto"/>
              <w:jc w:val="center"/>
            </w:pPr>
            <w:r w:rsidRPr="00587E8D">
              <w:t>29,12 ± 2,06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Соціальне функціонування (SF)</w:t>
            </w:r>
          </w:p>
        </w:tc>
        <w:tc>
          <w:tcPr>
            <w:tcW w:w="3094" w:type="dxa"/>
          </w:tcPr>
          <w:p w:rsidR="00587E8D" w:rsidRPr="00587E8D" w:rsidRDefault="00587E8D" w:rsidP="00FF209C">
            <w:pPr>
              <w:spacing w:after="0" w:line="240" w:lineRule="auto"/>
              <w:jc w:val="center"/>
            </w:pPr>
            <w:r w:rsidRPr="00587E8D">
              <w:t>32,88 ± 4,14</w:t>
            </w:r>
          </w:p>
        </w:tc>
        <w:tc>
          <w:tcPr>
            <w:tcW w:w="2552" w:type="dxa"/>
          </w:tcPr>
          <w:p w:rsidR="00587E8D" w:rsidRPr="00587E8D" w:rsidRDefault="00587E8D" w:rsidP="00FF209C">
            <w:pPr>
              <w:spacing w:after="0" w:line="240" w:lineRule="auto"/>
              <w:jc w:val="center"/>
            </w:pPr>
            <w:r w:rsidRPr="00587E8D">
              <w:t>36,01 ± 2,11</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Емоціонально-рольове функціонування (RE)</w:t>
            </w:r>
          </w:p>
        </w:tc>
        <w:tc>
          <w:tcPr>
            <w:tcW w:w="3094" w:type="dxa"/>
          </w:tcPr>
          <w:p w:rsidR="00587E8D" w:rsidRPr="00587E8D" w:rsidRDefault="00587E8D" w:rsidP="00FF209C">
            <w:pPr>
              <w:spacing w:after="0" w:line="240" w:lineRule="auto"/>
              <w:jc w:val="center"/>
            </w:pPr>
            <w:r w:rsidRPr="00587E8D">
              <w:t>21,17 ± 3,24</w:t>
            </w:r>
          </w:p>
        </w:tc>
        <w:tc>
          <w:tcPr>
            <w:tcW w:w="2552" w:type="dxa"/>
          </w:tcPr>
          <w:p w:rsidR="00587E8D" w:rsidRPr="00587E8D" w:rsidRDefault="00587E8D" w:rsidP="00FF209C">
            <w:pPr>
              <w:spacing w:after="0" w:line="240" w:lineRule="auto"/>
              <w:jc w:val="center"/>
            </w:pPr>
            <w:r w:rsidRPr="00587E8D">
              <w:t>24,53 ± 4,66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Ментальне функціонування (MH)</w:t>
            </w:r>
          </w:p>
        </w:tc>
        <w:tc>
          <w:tcPr>
            <w:tcW w:w="3094" w:type="dxa"/>
          </w:tcPr>
          <w:p w:rsidR="00587E8D" w:rsidRPr="00587E8D" w:rsidRDefault="00587E8D" w:rsidP="00FF209C">
            <w:pPr>
              <w:spacing w:after="0" w:line="240" w:lineRule="auto"/>
              <w:jc w:val="center"/>
            </w:pPr>
            <w:r w:rsidRPr="00587E8D">
              <w:t>33,74 ± 3,05</w:t>
            </w:r>
          </w:p>
        </w:tc>
        <w:tc>
          <w:tcPr>
            <w:tcW w:w="2552" w:type="dxa"/>
          </w:tcPr>
          <w:p w:rsidR="00587E8D" w:rsidRPr="00587E8D" w:rsidRDefault="00587E8D" w:rsidP="00FF209C">
            <w:pPr>
              <w:spacing w:after="0" w:line="240" w:lineRule="auto"/>
              <w:jc w:val="center"/>
            </w:pPr>
            <w:r w:rsidRPr="00587E8D">
              <w:t>34,96 ± 3,13</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bl>
    <w:p w:rsidR="00CE0F75" w:rsidRDefault="00CE0F75" w:rsidP="00FF209C">
      <w:pPr>
        <w:spacing w:after="0" w:line="360" w:lineRule="auto"/>
        <w:ind w:firstLine="851"/>
        <w:jc w:val="both"/>
        <w:rPr>
          <w:szCs w:val="28"/>
          <w:lang w:val="ru-RU"/>
        </w:rPr>
      </w:pPr>
    </w:p>
    <w:p w:rsidR="00587E8D" w:rsidRPr="00587E8D" w:rsidRDefault="00587E8D" w:rsidP="00FF209C">
      <w:pPr>
        <w:spacing w:after="0" w:line="360" w:lineRule="auto"/>
        <w:ind w:firstLine="851"/>
        <w:jc w:val="both"/>
        <w:rPr>
          <w:szCs w:val="28"/>
        </w:rPr>
      </w:pPr>
      <w:r w:rsidRPr="00587E8D">
        <w:rPr>
          <w:szCs w:val="28"/>
        </w:rPr>
        <w:t>Вивчення параметрів ЯЖ у хворих з ГІМ та ожирінням згідно наявності одно- або мультисудинного ураження КА не виявило вірогідних змін (р</w:t>
      </w:r>
      <w:r w:rsidRPr="00587E8D">
        <w:rPr>
          <w:szCs w:val="28"/>
          <w:lang w:val="ru-RU"/>
        </w:rPr>
        <w:t>&gt;</w:t>
      </w:r>
      <w:r w:rsidRPr="00587E8D">
        <w:rPr>
          <w:szCs w:val="28"/>
        </w:rPr>
        <w:t xml:space="preserve"> 0,05). Дані представлені в табл. 3.11.</w:t>
      </w:r>
    </w:p>
    <w:p w:rsidR="00E950A5" w:rsidRDefault="00587E8D" w:rsidP="00587E8D">
      <w:pPr>
        <w:spacing w:after="0" w:line="360" w:lineRule="auto"/>
        <w:ind w:firstLine="851"/>
        <w:jc w:val="both"/>
        <w:rPr>
          <w:szCs w:val="28"/>
        </w:rPr>
      </w:pPr>
      <w:r w:rsidRPr="00587E8D">
        <w:rPr>
          <w:szCs w:val="28"/>
        </w:rPr>
        <w:t>Таким чином, наявність ожиріння асоціюється з достовірним зниженням якості життя у хворих з ГІМ у порівнянні з пацієнтами, які мають нормальну вагу тіла, за рахунок фізичного та психо-емоційного компонентів здоров’я. Провідними факторами у відношенні низької якості життя є шкала рольового функціонування, обумовленого фізичним станом, і шкала життєвої активності, що свідчить про підвищену стомлюваність пацієнтів на тлі ожиріння, відчуття знесиленості та відображає дисонанс у когнітивній сфері.</w:t>
      </w:r>
    </w:p>
    <w:p w:rsidR="00EB666A" w:rsidRDefault="00E950A5" w:rsidP="00EB666A">
      <w:pPr>
        <w:spacing w:after="0" w:line="360" w:lineRule="auto"/>
        <w:jc w:val="center"/>
      </w:pPr>
      <w:r>
        <w:rPr>
          <w:szCs w:val="28"/>
        </w:rPr>
        <w:br w:type="page"/>
      </w:r>
      <w:r w:rsidR="00EB666A">
        <w:lastRenderedPageBreak/>
        <w:t>РОЗДІЛ 4</w:t>
      </w:r>
    </w:p>
    <w:p w:rsidR="00EB666A" w:rsidRDefault="00EB666A" w:rsidP="00EB666A">
      <w:pPr>
        <w:spacing w:after="0" w:line="360" w:lineRule="auto"/>
        <w:jc w:val="center"/>
      </w:pPr>
    </w:p>
    <w:p w:rsidR="00EB666A" w:rsidRPr="00D579F0" w:rsidRDefault="00EB666A" w:rsidP="00EB666A">
      <w:pPr>
        <w:spacing w:after="0" w:line="360" w:lineRule="auto"/>
        <w:jc w:val="center"/>
      </w:pPr>
      <w:r w:rsidRPr="00066266">
        <w:t xml:space="preserve">ПОКАЗНИКИ МОРФО-ФУНКЦІОНАЛЬНОГО СТАНУ МІОКАРДА, </w:t>
      </w:r>
      <w:r>
        <w:t>СТАН КОРОНАРНИХ АРТЕРІЙ У ХВОРИХ НА ГОСТРИЙ ІНФАРКТ МІОКАРДА ТА ОЖИРІННЯ ТА ЇХ ЗВ’</w:t>
      </w:r>
      <w:r w:rsidRPr="00066266">
        <w:t>ЯЗОК З АКТИВНІСТЮ ГАЛЕКТИНУ-3</w:t>
      </w:r>
      <w:r>
        <w:t xml:space="preserve"> ТА ВІТРОНЕКТИНУ</w:t>
      </w:r>
    </w:p>
    <w:p w:rsidR="00EB666A" w:rsidRPr="00D77849" w:rsidRDefault="00EB666A" w:rsidP="00EB666A">
      <w:pPr>
        <w:spacing w:after="0" w:line="360" w:lineRule="auto"/>
        <w:jc w:val="center"/>
      </w:pPr>
    </w:p>
    <w:p w:rsidR="00EB666A" w:rsidRDefault="00EB666A" w:rsidP="00EB666A">
      <w:pPr>
        <w:spacing w:after="0" w:line="360" w:lineRule="auto"/>
        <w:ind w:firstLine="720"/>
        <w:jc w:val="both"/>
      </w:pPr>
      <w:r w:rsidRPr="00066266">
        <w:t xml:space="preserve">Наступним етапом у дизайні нашого дослідження був аналіз параметрів кардіогемодинаміки у хворих на ГІМ за наявності та відсутності супутнього ожиріння. </w:t>
      </w:r>
      <w:r>
        <w:t>При співставленні показників морфо-функціонального стану ЛШ у хворих на ГІМ з ожирінням, без нього та контрольною групою, представленою здоровими особами, виявлено відмінності. Знайдено зростання кінцевого систолічного розміру (КСР) у хворих з ожирінням та ГІМ при співставленні з контрольною групою (р&lt;0,05). Результати наведено у таблиці 4.8. Рівень кінцевого діастолічного розміру (КДР) при ожирінні достовірно перевищував такий в осіб контрольної групи (р&lt;0,05). Подібні результати отримано за параметрами кінцевого систолічного об’</w:t>
      </w:r>
      <w:r w:rsidRPr="005B6FCC">
        <w:t>єму</w:t>
      </w:r>
      <w:r>
        <w:t xml:space="preserve"> (КСО) та кінцевого діастолічного об’</w:t>
      </w:r>
      <w:r w:rsidRPr="005B6FCC">
        <w:t>єму</w:t>
      </w:r>
      <w:r>
        <w:t xml:space="preserve"> (КДО), рівні яких були вірогідно вище при ожирінні у хворих на ГІМ порівняно з групою контролю (р&lt;0,05).</w:t>
      </w:r>
    </w:p>
    <w:p w:rsidR="00EB666A" w:rsidRDefault="00EB666A" w:rsidP="00EB666A">
      <w:pPr>
        <w:spacing w:after="0" w:line="360" w:lineRule="auto"/>
        <w:ind w:firstLine="720"/>
        <w:jc w:val="both"/>
      </w:pPr>
      <w:r>
        <w:t xml:space="preserve">За показниками індексу маси міокарда лівого шлуночка (ІММЛШ) та відносної товщини стінки лівого шлуночка </w:t>
      </w:r>
      <w:r w:rsidRPr="00D63344">
        <w:t>(ВТ</w:t>
      </w:r>
      <w:r>
        <w:t>С</w:t>
      </w:r>
      <w:r w:rsidRPr="00D63344">
        <w:t>ЛШ</w:t>
      </w:r>
      <w:r>
        <w:t>) отримано відмінності при співставленні груп, що вивчаються, а саме, хворих з ГІМ та ожирінням та осіб контрольної групи, у вигляді зростання рівнів даних параметрів при ожирінні (результати достовірні, р&lt;0,05). Порівняння значень товщини задньої стінки лівого шлуночка (ТЗСЛШ), товщини міжшлуночкової перетинки (ТМШП) та розмірів лівого передсердя (ЛП) не виявило відмінностей у хворих за наявності коморбідності ГІМ та ожиріння і групи контролю (р</w:t>
      </w:r>
      <w:r w:rsidRPr="005B6FCC">
        <w:t>&gt;</w:t>
      </w:r>
      <w:r>
        <w:t>0,05). Рівень Es був вище, а Еа нижче у хворих з ГІМ та ожирінням при співставленні з контрольною групою (р&lt;0,05). Еа/Es при ожирінні у хворих з ГІМ достовірно перевищував такий у групі контролю (р&lt;0,05).</w:t>
      </w:r>
    </w:p>
    <w:p w:rsidR="00EB666A" w:rsidRDefault="00EB666A" w:rsidP="00EB666A">
      <w:pPr>
        <w:spacing w:after="0" w:line="360" w:lineRule="auto"/>
        <w:ind w:firstLine="720"/>
        <w:jc w:val="both"/>
      </w:pPr>
      <w:r>
        <w:lastRenderedPageBreak/>
        <w:t>Зіставлення показників кардіогемодинаміки у хворих з ГІМ без ожиріння та осіб контрольної групи встановило зміни за рахунок зростання рівнів КСР та КДР при ГІМ (р&lt;0,05). Дані представлені у таблиці 4.1.</w:t>
      </w:r>
    </w:p>
    <w:p w:rsidR="00EB666A" w:rsidRDefault="00EB666A" w:rsidP="00EB666A">
      <w:pPr>
        <w:spacing w:after="0" w:line="360" w:lineRule="auto"/>
        <w:ind w:left="7068" w:firstLine="720"/>
        <w:jc w:val="both"/>
      </w:pPr>
      <w:r w:rsidRPr="00931F07">
        <w:rPr>
          <w:i/>
        </w:rPr>
        <w:t>Таблиця 4.1</w:t>
      </w:r>
      <w:r>
        <w:t>.</w:t>
      </w:r>
    </w:p>
    <w:p w:rsidR="00EB666A" w:rsidRDefault="00EB666A" w:rsidP="00EB666A">
      <w:pPr>
        <w:spacing w:after="0" w:line="360" w:lineRule="auto"/>
        <w:ind w:firstLine="720"/>
        <w:jc w:val="center"/>
      </w:pPr>
      <w:r>
        <w:t>Показники морфо-функціонального стану міокарда у хворих з гострим інфарктом міокарда за наявності або відсутності ожиріння (М±</w:t>
      </w:r>
      <w:r>
        <w:rPr>
          <w:lang w:val="en-US"/>
        </w:rPr>
        <w:t>m</w:t>
      </w:r>
      <w:r w:rsidRPr="005B6FCC">
        <w:t>)</w:t>
      </w:r>
    </w:p>
    <w:tbl>
      <w:tblPr>
        <w:tblStyle w:val="ab"/>
        <w:tblW w:w="0" w:type="auto"/>
        <w:tblLook w:val="04A0" w:firstRow="1" w:lastRow="0" w:firstColumn="1" w:lastColumn="0" w:noHBand="0" w:noVBand="1"/>
      </w:tblPr>
      <w:tblGrid>
        <w:gridCol w:w="2660"/>
        <w:gridCol w:w="2126"/>
        <w:gridCol w:w="2114"/>
        <w:gridCol w:w="3131"/>
      </w:tblGrid>
      <w:tr w:rsidR="00EB666A" w:rsidTr="00CF75BA">
        <w:tc>
          <w:tcPr>
            <w:tcW w:w="2660" w:type="dxa"/>
            <w:vMerge w:val="restart"/>
          </w:tcPr>
          <w:p w:rsidR="00EB666A" w:rsidRPr="000B4CF2" w:rsidRDefault="00EB666A" w:rsidP="00EB666A">
            <w:pPr>
              <w:jc w:val="center"/>
            </w:pPr>
            <w:r>
              <w:t>Показник, одиниця виміру</w:t>
            </w:r>
          </w:p>
        </w:tc>
        <w:tc>
          <w:tcPr>
            <w:tcW w:w="4240" w:type="dxa"/>
            <w:gridSpan w:val="2"/>
          </w:tcPr>
          <w:p w:rsidR="00EB666A" w:rsidRPr="000B4CF2" w:rsidRDefault="00EB666A" w:rsidP="00EB666A">
            <w:pPr>
              <w:jc w:val="center"/>
            </w:pPr>
            <w:r>
              <w:t>Хворі на ГІМ</w:t>
            </w:r>
          </w:p>
        </w:tc>
        <w:tc>
          <w:tcPr>
            <w:tcW w:w="3131" w:type="dxa"/>
            <w:vMerge w:val="restart"/>
          </w:tcPr>
          <w:p w:rsidR="00EB666A" w:rsidRDefault="00EB666A" w:rsidP="00EB666A">
            <w:pPr>
              <w:jc w:val="center"/>
            </w:pPr>
            <w:r>
              <w:t>Контрольна група</w:t>
            </w:r>
          </w:p>
          <w:p w:rsidR="00EB666A" w:rsidRPr="00070F18" w:rsidRDefault="00EB666A" w:rsidP="00EB666A">
            <w:pPr>
              <w:jc w:val="center"/>
            </w:pPr>
            <w:r>
              <w:t>(</w:t>
            </w:r>
            <w:r>
              <w:rPr>
                <w:lang w:val="en-US"/>
              </w:rPr>
              <w:t>n=</w:t>
            </w:r>
            <w:r>
              <w:t>20)</w:t>
            </w:r>
          </w:p>
        </w:tc>
      </w:tr>
      <w:tr w:rsidR="00EB666A" w:rsidTr="00CF75BA">
        <w:tc>
          <w:tcPr>
            <w:tcW w:w="2660" w:type="dxa"/>
            <w:vMerge/>
          </w:tcPr>
          <w:p w:rsidR="00EB666A" w:rsidRDefault="00EB666A" w:rsidP="00EB666A">
            <w:pPr>
              <w:jc w:val="center"/>
            </w:pPr>
          </w:p>
        </w:tc>
        <w:tc>
          <w:tcPr>
            <w:tcW w:w="2126" w:type="dxa"/>
          </w:tcPr>
          <w:p w:rsidR="00EB666A" w:rsidRDefault="00EB666A" w:rsidP="00EB666A">
            <w:pPr>
              <w:jc w:val="center"/>
            </w:pPr>
            <w:r>
              <w:t>з ожирінням</w:t>
            </w:r>
          </w:p>
          <w:p w:rsidR="00EB666A" w:rsidRPr="00070F18" w:rsidRDefault="00EB666A" w:rsidP="00EB666A">
            <w:pPr>
              <w:jc w:val="center"/>
            </w:pPr>
            <w:r>
              <w:t>(</w:t>
            </w:r>
            <w:r>
              <w:rPr>
                <w:lang w:val="en-US"/>
              </w:rPr>
              <w:t>n=75</w:t>
            </w:r>
            <w:r>
              <w:t>)</w:t>
            </w:r>
          </w:p>
        </w:tc>
        <w:tc>
          <w:tcPr>
            <w:tcW w:w="2114" w:type="dxa"/>
          </w:tcPr>
          <w:p w:rsidR="00EB666A" w:rsidRDefault="00EB666A" w:rsidP="00EB666A">
            <w:pPr>
              <w:jc w:val="center"/>
              <w:rPr>
                <w:lang w:val="en-US"/>
              </w:rPr>
            </w:pPr>
            <w:r>
              <w:t>без ожиріння</w:t>
            </w:r>
          </w:p>
          <w:p w:rsidR="00EB666A" w:rsidRPr="00070F18" w:rsidRDefault="00EB666A" w:rsidP="00EB666A">
            <w:pPr>
              <w:jc w:val="center"/>
            </w:pPr>
            <w:r>
              <w:t>(</w:t>
            </w:r>
            <w:r>
              <w:rPr>
                <w:lang w:val="en-US"/>
              </w:rPr>
              <w:t>n=30</w:t>
            </w:r>
            <w:r>
              <w:t>)</w:t>
            </w:r>
          </w:p>
        </w:tc>
        <w:tc>
          <w:tcPr>
            <w:tcW w:w="3131" w:type="dxa"/>
            <w:vMerge/>
          </w:tcPr>
          <w:p w:rsidR="00EB666A" w:rsidRDefault="00EB666A" w:rsidP="00EB666A">
            <w:pPr>
              <w:jc w:val="center"/>
            </w:pPr>
          </w:p>
        </w:tc>
      </w:tr>
      <w:tr w:rsidR="00EB666A" w:rsidTr="00CF75BA">
        <w:trPr>
          <w:trHeight w:val="317"/>
        </w:trPr>
        <w:tc>
          <w:tcPr>
            <w:tcW w:w="2660" w:type="dxa"/>
            <w:vMerge/>
          </w:tcPr>
          <w:p w:rsidR="00EB666A" w:rsidRDefault="00EB666A" w:rsidP="00EB666A">
            <w:pPr>
              <w:jc w:val="center"/>
            </w:pPr>
          </w:p>
        </w:tc>
        <w:tc>
          <w:tcPr>
            <w:tcW w:w="2126" w:type="dxa"/>
          </w:tcPr>
          <w:p w:rsidR="00EB666A" w:rsidRPr="000B4CF2" w:rsidRDefault="00EB666A" w:rsidP="00EB666A">
            <w:pPr>
              <w:jc w:val="center"/>
            </w:pPr>
            <w:r>
              <w:t>1</w:t>
            </w:r>
          </w:p>
        </w:tc>
        <w:tc>
          <w:tcPr>
            <w:tcW w:w="2114" w:type="dxa"/>
          </w:tcPr>
          <w:p w:rsidR="00EB666A" w:rsidRPr="000B4CF2" w:rsidRDefault="00EB666A" w:rsidP="00EB666A">
            <w:pPr>
              <w:jc w:val="center"/>
            </w:pPr>
            <w:r>
              <w:t>2</w:t>
            </w:r>
          </w:p>
        </w:tc>
        <w:tc>
          <w:tcPr>
            <w:tcW w:w="3131" w:type="dxa"/>
          </w:tcPr>
          <w:p w:rsidR="00EB666A" w:rsidRPr="000B4CF2" w:rsidRDefault="00EB666A" w:rsidP="00EB666A">
            <w:pPr>
              <w:jc w:val="center"/>
            </w:pPr>
            <w:r>
              <w:t>3</w:t>
            </w:r>
          </w:p>
        </w:tc>
      </w:tr>
      <w:tr w:rsidR="00EB666A" w:rsidTr="00CF75BA">
        <w:tc>
          <w:tcPr>
            <w:tcW w:w="2660" w:type="dxa"/>
          </w:tcPr>
          <w:p w:rsidR="00EB666A" w:rsidRPr="000B4CF2" w:rsidRDefault="00EB666A" w:rsidP="00EB666A">
            <w:pPr>
              <w:jc w:val="center"/>
            </w:pPr>
            <w:r>
              <w:t>КСР, см</w:t>
            </w:r>
          </w:p>
        </w:tc>
        <w:tc>
          <w:tcPr>
            <w:tcW w:w="2126" w:type="dxa"/>
          </w:tcPr>
          <w:p w:rsidR="00EB666A" w:rsidRPr="00F973C5" w:rsidRDefault="00EB666A" w:rsidP="00EB666A">
            <w:pPr>
              <w:jc w:val="center"/>
            </w:pPr>
            <w:r>
              <w:t>4,78±0,11</w:t>
            </w:r>
          </w:p>
        </w:tc>
        <w:tc>
          <w:tcPr>
            <w:tcW w:w="2114" w:type="dxa"/>
          </w:tcPr>
          <w:p w:rsidR="00EB666A" w:rsidRPr="00F973C5" w:rsidRDefault="00EB666A" w:rsidP="00EB666A">
            <w:pPr>
              <w:jc w:val="center"/>
            </w:pPr>
            <w:r>
              <w:t>4,12±0,08</w:t>
            </w:r>
          </w:p>
        </w:tc>
        <w:tc>
          <w:tcPr>
            <w:tcW w:w="3131" w:type="dxa"/>
          </w:tcPr>
          <w:p w:rsidR="00EB666A" w:rsidRDefault="00EB666A" w:rsidP="00EB666A">
            <w:pPr>
              <w:jc w:val="center"/>
            </w:pPr>
            <w:r>
              <w:t>3,38±0,15</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F973C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КДР, см</w:t>
            </w:r>
          </w:p>
        </w:tc>
        <w:tc>
          <w:tcPr>
            <w:tcW w:w="2126" w:type="dxa"/>
          </w:tcPr>
          <w:p w:rsidR="00EB666A" w:rsidRPr="00F973C5" w:rsidRDefault="00EB666A" w:rsidP="00EB666A">
            <w:pPr>
              <w:jc w:val="center"/>
            </w:pPr>
            <w:r>
              <w:t>5,54±0,14</w:t>
            </w:r>
          </w:p>
        </w:tc>
        <w:tc>
          <w:tcPr>
            <w:tcW w:w="2114" w:type="dxa"/>
          </w:tcPr>
          <w:p w:rsidR="00EB666A" w:rsidRPr="00F973C5" w:rsidRDefault="00EB666A" w:rsidP="00EB666A">
            <w:pPr>
              <w:jc w:val="center"/>
            </w:pPr>
            <w:r>
              <w:t>5,03±0,09</w:t>
            </w:r>
          </w:p>
        </w:tc>
        <w:tc>
          <w:tcPr>
            <w:tcW w:w="3131" w:type="dxa"/>
          </w:tcPr>
          <w:p w:rsidR="00EB666A" w:rsidRDefault="00EB666A" w:rsidP="00EB666A">
            <w:pPr>
              <w:jc w:val="center"/>
              <w:rPr>
                <w:lang w:val="en-US"/>
              </w:rPr>
            </w:pPr>
            <w:r>
              <w:t>4,19±0,13</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КСО, мл</w:t>
            </w:r>
          </w:p>
        </w:tc>
        <w:tc>
          <w:tcPr>
            <w:tcW w:w="2126" w:type="dxa"/>
          </w:tcPr>
          <w:p w:rsidR="00EB666A" w:rsidRPr="00F973C5" w:rsidRDefault="00EB666A" w:rsidP="00EB666A">
            <w:pPr>
              <w:jc w:val="center"/>
            </w:pPr>
            <w:r>
              <w:t>92,73±4,04</w:t>
            </w:r>
          </w:p>
        </w:tc>
        <w:tc>
          <w:tcPr>
            <w:tcW w:w="2114" w:type="dxa"/>
          </w:tcPr>
          <w:p w:rsidR="00EB666A" w:rsidRPr="00F973C5" w:rsidRDefault="00EB666A" w:rsidP="00EB666A">
            <w:pPr>
              <w:jc w:val="center"/>
            </w:pPr>
            <w:r>
              <w:t>72,35±3,86</w:t>
            </w:r>
          </w:p>
        </w:tc>
        <w:tc>
          <w:tcPr>
            <w:tcW w:w="3131" w:type="dxa"/>
          </w:tcPr>
          <w:p w:rsidR="00EB666A" w:rsidRDefault="00EB666A" w:rsidP="00EB666A">
            <w:pPr>
              <w:jc w:val="center"/>
              <w:rPr>
                <w:lang w:val="en-US"/>
              </w:rPr>
            </w:pPr>
            <w:r>
              <w:t>41,7±4,29</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КДО, мл</w:t>
            </w:r>
          </w:p>
        </w:tc>
        <w:tc>
          <w:tcPr>
            <w:tcW w:w="2126" w:type="dxa"/>
          </w:tcPr>
          <w:p w:rsidR="00EB666A" w:rsidRPr="00F973C5" w:rsidRDefault="00EB666A" w:rsidP="00EB666A">
            <w:pPr>
              <w:jc w:val="center"/>
            </w:pPr>
            <w:r>
              <w:t>161,32±4,71</w:t>
            </w:r>
          </w:p>
        </w:tc>
        <w:tc>
          <w:tcPr>
            <w:tcW w:w="2114" w:type="dxa"/>
          </w:tcPr>
          <w:p w:rsidR="00EB666A" w:rsidRPr="00F973C5" w:rsidRDefault="00EB666A" w:rsidP="00EB666A">
            <w:pPr>
              <w:jc w:val="center"/>
            </w:pPr>
            <w:r>
              <w:t>135,22±6,02</w:t>
            </w:r>
          </w:p>
        </w:tc>
        <w:tc>
          <w:tcPr>
            <w:tcW w:w="3131" w:type="dxa"/>
          </w:tcPr>
          <w:p w:rsidR="00EB666A" w:rsidRDefault="00EB666A" w:rsidP="00EB666A">
            <w:pPr>
              <w:jc w:val="center"/>
              <w:rPr>
                <w:lang w:val="en-US"/>
              </w:rPr>
            </w:pPr>
            <w:r>
              <w:t>30,04±11,3</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ФВ, %</w:t>
            </w:r>
          </w:p>
        </w:tc>
        <w:tc>
          <w:tcPr>
            <w:tcW w:w="2126" w:type="dxa"/>
          </w:tcPr>
          <w:p w:rsidR="00EB666A" w:rsidRPr="00F973C5" w:rsidRDefault="00EB666A" w:rsidP="00EB666A">
            <w:pPr>
              <w:jc w:val="center"/>
            </w:pPr>
            <w:r>
              <w:t>40,12±1,58</w:t>
            </w:r>
          </w:p>
        </w:tc>
        <w:tc>
          <w:tcPr>
            <w:tcW w:w="2114" w:type="dxa"/>
          </w:tcPr>
          <w:p w:rsidR="00EB666A" w:rsidRPr="00F973C5" w:rsidRDefault="00EB666A" w:rsidP="00EB666A">
            <w:pPr>
              <w:jc w:val="center"/>
            </w:pPr>
            <w:r>
              <w:t>44,85±1,67</w:t>
            </w:r>
          </w:p>
        </w:tc>
        <w:tc>
          <w:tcPr>
            <w:tcW w:w="3131" w:type="dxa"/>
          </w:tcPr>
          <w:p w:rsidR="00EB666A" w:rsidRDefault="00EB666A" w:rsidP="00EB666A">
            <w:pPr>
              <w:jc w:val="center"/>
              <w:rPr>
                <w:lang w:val="en-US"/>
              </w:rPr>
            </w:pPr>
            <w:r>
              <w:t>63,5±3,05</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Default="00EB666A" w:rsidP="00EB666A">
            <w:pPr>
              <w:jc w:val="center"/>
            </w:pPr>
            <w:r>
              <w:t>ТЗСЛШ, см</w:t>
            </w:r>
          </w:p>
        </w:tc>
        <w:tc>
          <w:tcPr>
            <w:tcW w:w="2126" w:type="dxa"/>
          </w:tcPr>
          <w:p w:rsidR="00EB666A" w:rsidRPr="00F973C5" w:rsidRDefault="00EB666A" w:rsidP="00EB666A">
            <w:pPr>
              <w:jc w:val="center"/>
            </w:pPr>
            <w:r>
              <w:t>1,30±0,05</w:t>
            </w:r>
          </w:p>
        </w:tc>
        <w:tc>
          <w:tcPr>
            <w:tcW w:w="2114" w:type="dxa"/>
          </w:tcPr>
          <w:p w:rsidR="00EB666A" w:rsidRPr="00F973C5" w:rsidRDefault="00EB666A" w:rsidP="00EB666A">
            <w:pPr>
              <w:jc w:val="center"/>
            </w:pPr>
            <w:r>
              <w:t>1,32±0,08</w:t>
            </w:r>
          </w:p>
        </w:tc>
        <w:tc>
          <w:tcPr>
            <w:tcW w:w="3131" w:type="dxa"/>
          </w:tcPr>
          <w:p w:rsidR="00EB666A" w:rsidRDefault="00EB666A" w:rsidP="00EB666A">
            <w:pPr>
              <w:jc w:val="center"/>
              <w:rPr>
                <w:lang w:val="en-US"/>
              </w:rPr>
            </w:pPr>
            <w:r>
              <w:t>1,01±0,1</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&gt;0,05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&gt;0,05</w:t>
            </w:r>
          </w:p>
        </w:tc>
      </w:tr>
    </w:tbl>
    <w:p w:rsidR="00EB666A" w:rsidRDefault="00EB666A" w:rsidP="00EB666A">
      <w:pPr>
        <w:rPr>
          <w:highlight w:val="yellow"/>
          <w:lang w:val="en-US"/>
        </w:rPr>
      </w:pPr>
    </w:p>
    <w:p w:rsidR="00EB666A" w:rsidRPr="004F23EE" w:rsidRDefault="00EB666A" w:rsidP="00EB666A">
      <w:pPr>
        <w:jc w:val="center"/>
        <w:rPr>
          <w:highlight w:val="yellow"/>
          <w:lang w:val="en-US"/>
        </w:rPr>
        <w:sectPr w:rsidR="00EB666A" w:rsidRPr="004F23EE" w:rsidSect="00D47570">
          <w:headerReference w:type="default" r:id="rId15"/>
          <w:pgSz w:w="11906" w:h="16838"/>
          <w:pgMar w:top="1134" w:right="567" w:bottom="1134" w:left="1440" w:header="708" w:footer="708" w:gutter="0"/>
          <w:pgNumType w:start="1"/>
          <w:cols w:space="708"/>
          <w:titlePg/>
          <w:docGrid w:linePitch="381"/>
        </w:sectPr>
      </w:pPr>
    </w:p>
    <w:tbl>
      <w:tblPr>
        <w:tblStyle w:val="ab"/>
        <w:tblpPr w:leftFromText="180" w:rightFromText="180" w:vertAnchor="text" w:tblpY="1"/>
        <w:tblOverlap w:val="never"/>
        <w:tblW w:w="0" w:type="auto"/>
        <w:tblLook w:val="04A0" w:firstRow="1" w:lastRow="0" w:firstColumn="1" w:lastColumn="0" w:noHBand="0" w:noVBand="1"/>
      </w:tblPr>
      <w:tblGrid>
        <w:gridCol w:w="2660"/>
        <w:gridCol w:w="2126"/>
        <w:gridCol w:w="2114"/>
        <w:gridCol w:w="3131"/>
      </w:tblGrid>
      <w:tr w:rsidR="0081364C" w:rsidTr="0081364C">
        <w:tc>
          <w:tcPr>
            <w:tcW w:w="10031" w:type="dxa"/>
            <w:gridSpan w:val="4"/>
            <w:tcBorders>
              <w:top w:val="nil"/>
              <w:left w:val="nil"/>
              <w:right w:val="nil"/>
            </w:tcBorders>
          </w:tcPr>
          <w:p w:rsidR="0081364C" w:rsidRPr="00C505A4" w:rsidRDefault="0081364C" w:rsidP="0081364C">
            <w:pPr>
              <w:spacing w:line="360" w:lineRule="auto"/>
              <w:ind w:left="5652" w:firstLine="720"/>
              <w:jc w:val="both"/>
            </w:pPr>
            <w:r w:rsidRPr="004F23EE">
              <w:rPr>
                <w:i/>
              </w:rPr>
              <w:lastRenderedPageBreak/>
              <w:t>Продовження табл. 4.1</w:t>
            </w:r>
          </w:p>
        </w:tc>
      </w:tr>
      <w:tr w:rsidR="00EB666A" w:rsidTr="0081364C">
        <w:tc>
          <w:tcPr>
            <w:tcW w:w="2660" w:type="dxa"/>
          </w:tcPr>
          <w:p w:rsidR="00EB666A" w:rsidRPr="00C505A4" w:rsidRDefault="00EB666A" w:rsidP="001E7942">
            <w:pPr>
              <w:jc w:val="center"/>
              <w:rPr>
                <w:lang w:val="en-US"/>
              </w:rPr>
            </w:pPr>
            <w:r w:rsidRPr="00C505A4">
              <w:t>ТМШП, см</w:t>
            </w:r>
          </w:p>
        </w:tc>
        <w:tc>
          <w:tcPr>
            <w:tcW w:w="2126" w:type="dxa"/>
          </w:tcPr>
          <w:p w:rsidR="00EB666A" w:rsidRPr="00C505A4" w:rsidRDefault="00EB666A" w:rsidP="001E7942">
            <w:pPr>
              <w:jc w:val="center"/>
            </w:pPr>
            <w:r w:rsidRPr="00C505A4">
              <w:t>1,22±0,07</w:t>
            </w:r>
          </w:p>
        </w:tc>
        <w:tc>
          <w:tcPr>
            <w:tcW w:w="2114" w:type="dxa"/>
          </w:tcPr>
          <w:p w:rsidR="00EB666A" w:rsidRPr="00C505A4" w:rsidRDefault="00EB666A" w:rsidP="001E7942">
            <w:pPr>
              <w:jc w:val="center"/>
            </w:pPr>
            <w:r w:rsidRPr="00C505A4">
              <w:t>1,21±0,09</w:t>
            </w:r>
          </w:p>
        </w:tc>
        <w:tc>
          <w:tcPr>
            <w:tcW w:w="3131" w:type="dxa"/>
          </w:tcPr>
          <w:p w:rsidR="00EB666A" w:rsidRPr="00C505A4" w:rsidRDefault="00EB666A" w:rsidP="001E7942">
            <w:pPr>
              <w:jc w:val="center"/>
              <w:rPr>
                <w:lang w:val="en-US"/>
              </w:rPr>
            </w:pPr>
            <w:r w:rsidRPr="00C505A4">
              <w:t>1,06±0,05</w:t>
            </w:r>
          </w:p>
          <w:p w:rsidR="00EB666A" w:rsidRPr="00C505A4" w:rsidRDefault="00EB666A" w:rsidP="001E7942">
            <w:pPr>
              <w:jc w:val="center"/>
              <w:rPr>
                <w:lang w:val="en-US"/>
              </w:rPr>
            </w:pPr>
            <w:r w:rsidRPr="00C505A4">
              <w:rPr>
                <w:lang w:val="en-US"/>
              </w:rPr>
              <w:t>p</w:t>
            </w:r>
            <w:r w:rsidRPr="00C505A4">
              <w:rPr>
                <w:vertAlign w:val="subscript"/>
                <w:lang w:val="en-US"/>
              </w:rPr>
              <w:t>1 i 2</w:t>
            </w:r>
            <w:r w:rsidRPr="00C505A4">
              <w:rPr>
                <w:lang w:val="en-US"/>
              </w:rPr>
              <w:t xml:space="preserve"> &gt;0,05</w:t>
            </w:r>
          </w:p>
          <w:p w:rsidR="00EB666A" w:rsidRPr="00C505A4" w:rsidRDefault="00EB666A" w:rsidP="001E7942">
            <w:pPr>
              <w:jc w:val="center"/>
              <w:rPr>
                <w:lang w:val="en-US"/>
              </w:rPr>
            </w:pPr>
            <w:r w:rsidRPr="00C505A4">
              <w:rPr>
                <w:lang w:val="en-US"/>
              </w:rPr>
              <w:t>p</w:t>
            </w:r>
            <w:r w:rsidRPr="00C505A4">
              <w:rPr>
                <w:vertAlign w:val="subscript"/>
                <w:lang w:val="en-US"/>
              </w:rPr>
              <w:t xml:space="preserve">1 i 3 </w:t>
            </w:r>
            <w:r w:rsidRPr="00C505A4">
              <w:rPr>
                <w:lang w:val="en-US"/>
              </w:rPr>
              <w:t>&gt;0,05</w:t>
            </w:r>
          </w:p>
          <w:p w:rsidR="00EB666A" w:rsidRPr="00C505A4" w:rsidRDefault="00EB666A" w:rsidP="001E7942">
            <w:pPr>
              <w:jc w:val="center"/>
              <w:rPr>
                <w:lang w:val="en-US"/>
              </w:rPr>
            </w:pPr>
            <w:r w:rsidRPr="00C505A4">
              <w:rPr>
                <w:lang w:val="en-US"/>
              </w:rPr>
              <w:t>p</w:t>
            </w:r>
            <w:r w:rsidRPr="00C505A4">
              <w:rPr>
                <w:vertAlign w:val="subscript"/>
                <w:lang w:val="en-US"/>
              </w:rPr>
              <w:t xml:space="preserve">2 i 3 </w:t>
            </w:r>
            <w:r w:rsidRPr="00C505A4">
              <w:rPr>
                <w:lang w:val="en-US"/>
              </w:rPr>
              <w:t>&gt;0,05</w:t>
            </w:r>
          </w:p>
        </w:tc>
      </w:tr>
      <w:tr w:rsidR="00EB666A" w:rsidTr="0081364C">
        <w:tc>
          <w:tcPr>
            <w:tcW w:w="2660" w:type="dxa"/>
          </w:tcPr>
          <w:p w:rsidR="00EB666A" w:rsidRDefault="00EB666A" w:rsidP="001E7942">
            <w:pPr>
              <w:jc w:val="center"/>
            </w:pPr>
            <w:r>
              <w:t>ЛП, см</w:t>
            </w:r>
          </w:p>
        </w:tc>
        <w:tc>
          <w:tcPr>
            <w:tcW w:w="2126" w:type="dxa"/>
          </w:tcPr>
          <w:p w:rsidR="00EB666A" w:rsidRPr="00F973C5" w:rsidRDefault="00EB666A" w:rsidP="001E7942">
            <w:pPr>
              <w:jc w:val="center"/>
            </w:pPr>
            <w:r>
              <w:t>3,78±0,3</w:t>
            </w:r>
          </w:p>
        </w:tc>
        <w:tc>
          <w:tcPr>
            <w:tcW w:w="2114" w:type="dxa"/>
          </w:tcPr>
          <w:p w:rsidR="00EB666A" w:rsidRPr="00F973C5" w:rsidRDefault="00EB666A" w:rsidP="001E7942">
            <w:pPr>
              <w:jc w:val="center"/>
            </w:pPr>
            <w:r>
              <w:t>3,95±0,7</w:t>
            </w:r>
          </w:p>
        </w:tc>
        <w:tc>
          <w:tcPr>
            <w:tcW w:w="3131" w:type="dxa"/>
          </w:tcPr>
          <w:p w:rsidR="00EB666A" w:rsidRDefault="00EB666A" w:rsidP="001E7942">
            <w:pPr>
              <w:jc w:val="center"/>
              <w:rPr>
                <w:lang w:val="en-US"/>
              </w:rPr>
            </w:pPr>
            <w:r>
              <w:t>3,91±0,05</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&gt;0,05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&gt;0,05</w:t>
            </w:r>
          </w:p>
        </w:tc>
      </w:tr>
      <w:tr w:rsidR="00EB666A" w:rsidTr="0081364C">
        <w:tc>
          <w:tcPr>
            <w:tcW w:w="2660" w:type="dxa"/>
          </w:tcPr>
          <w:p w:rsidR="00EB666A" w:rsidRDefault="00EB666A" w:rsidP="001E7942">
            <w:pPr>
              <w:jc w:val="center"/>
            </w:pPr>
            <w:r>
              <w:t>ВТСЛШ</w:t>
            </w:r>
          </w:p>
        </w:tc>
        <w:tc>
          <w:tcPr>
            <w:tcW w:w="2126" w:type="dxa"/>
          </w:tcPr>
          <w:p w:rsidR="00EB666A" w:rsidRPr="00F973C5" w:rsidRDefault="00EB666A" w:rsidP="001E7942">
            <w:pPr>
              <w:jc w:val="center"/>
            </w:pPr>
            <w:r>
              <w:t>0,54±0,08</w:t>
            </w:r>
          </w:p>
        </w:tc>
        <w:tc>
          <w:tcPr>
            <w:tcW w:w="2114" w:type="dxa"/>
          </w:tcPr>
          <w:p w:rsidR="00EB666A" w:rsidRPr="00F973C5" w:rsidRDefault="00EB666A" w:rsidP="001E7942">
            <w:pPr>
              <w:jc w:val="center"/>
            </w:pPr>
            <w:r>
              <w:t>0,62±0,06</w:t>
            </w:r>
          </w:p>
        </w:tc>
        <w:tc>
          <w:tcPr>
            <w:tcW w:w="3131" w:type="dxa"/>
          </w:tcPr>
          <w:p w:rsidR="00EB666A" w:rsidRDefault="00EB666A" w:rsidP="001E7942">
            <w:pPr>
              <w:jc w:val="center"/>
              <w:rPr>
                <w:lang w:val="en-US"/>
              </w:rPr>
            </w:pPr>
            <w:r>
              <w:t>0,39±0,03</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&gt;0,05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&gt;0,05</w:t>
            </w:r>
          </w:p>
        </w:tc>
      </w:tr>
      <w:tr w:rsidR="00EB666A" w:rsidTr="0081364C">
        <w:tc>
          <w:tcPr>
            <w:tcW w:w="2660" w:type="dxa"/>
          </w:tcPr>
          <w:p w:rsidR="00EB666A" w:rsidRDefault="00EB666A" w:rsidP="001E7942">
            <w:pPr>
              <w:jc w:val="center"/>
            </w:pPr>
            <w:r>
              <w:t>ІММЛШ, г/см</w:t>
            </w:r>
            <w:r w:rsidRPr="000B4CF2">
              <w:rPr>
                <w:vertAlign w:val="superscript"/>
              </w:rPr>
              <w:t>2</w:t>
            </w:r>
          </w:p>
        </w:tc>
        <w:tc>
          <w:tcPr>
            <w:tcW w:w="2126" w:type="dxa"/>
          </w:tcPr>
          <w:p w:rsidR="00EB666A" w:rsidRPr="00F973C5" w:rsidRDefault="00EB666A" w:rsidP="001E7942">
            <w:pPr>
              <w:jc w:val="center"/>
            </w:pPr>
            <w:r>
              <w:t>154,62±7,04</w:t>
            </w:r>
          </w:p>
        </w:tc>
        <w:tc>
          <w:tcPr>
            <w:tcW w:w="2114" w:type="dxa"/>
          </w:tcPr>
          <w:p w:rsidR="00EB666A" w:rsidRPr="00F973C5" w:rsidRDefault="00EB666A" w:rsidP="001E7942">
            <w:pPr>
              <w:jc w:val="center"/>
            </w:pPr>
            <w:r>
              <w:t>124,23±5,37</w:t>
            </w:r>
          </w:p>
        </w:tc>
        <w:tc>
          <w:tcPr>
            <w:tcW w:w="3131" w:type="dxa"/>
          </w:tcPr>
          <w:p w:rsidR="00EB666A" w:rsidRDefault="00EB666A" w:rsidP="001E7942">
            <w:pPr>
              <w:jc w:val="center"/>
              <w:rPr>
                <w:lang w:val="en-US"/>
              </w:rPr>
            </w:pPr>
            <w:r>
              <w:t>107,19±4,63</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r w:rsidR="00EB666A" w:rsidTr="0081364C">
        <w:tc>
          <w:tcPr>
            <w:tcW w:w="2660" w:type="dxa"/>
          </w:tcPr>
          <w:p w:rsidR="00EB666A" w:rsidRPr="00F973C5" w:rsidRDefault="00EB666A" w:rsidP="001E7942">
            <w:pPr>
              <w:jc w:val="center"/>
            </w:pPr>
            <w:r>
              <w:rPr>
                <w:lang w:val="en-US"/>
              </w:rPr>
              <w:t>Es</w:t>
            </w:r>
            <w:r>
              <w:t>, мм.рт.ст./мл</w:t>
            </w:r>
          </w:p>
        </w:tc>
        <w:tc>
          <w:tcPr>
            <w:tcW w:w="2126" w:type="dxa"/>
          </w:tcPr>
          <w:p w:rsidR="00EB666A" w:rsidRPr="00F973C5" w:rsidRDefault="00EB666A" w:rsidP="001E7942">
            <w:pPr>
              <w:jc w:val="center"/>
            </w:pPr>
            <w:r>
              <w:t>0,77±0,19</w:t>
            </w:r>
          </w:p>
        </w:tc>
        <w:tc>
          <w:tcPr>
            <w:tcW w:w="2114" w:type="dxa"/>
          </w:tcPr>
          <w:p w:rsidR="00EB666A" w:rsidRPr="00F973C5" w:rsidRDefault="00EB666A" w:rsidP="001E7942">
            <w:pPr>
              <w:jc w:val="center"/>
            </w:pPr>
            <w:r>
              <w:t>1,08±0,44</w:t>
            </w:r>
          </w:p>
        </w:tc>
        <w:tc>
          <w:tcPr>
            <w:tcW w:w="3131" w:type="dxa"/>
          </w:tcPr>
          <w:p w:rsidR="00EB666A" w:rsidRDefault="00EB666A" w:rsidP="001E7942">
            <w:pPr>
              <w:jc w:val="center"/>
              <w:rPr>
                <w:lang w:val="en-US"/>
              </w:rPr>
            </w:pPr>
            <w:r>
              <w:t>1,90±0,81</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r w:rsidR="00EB666A" w:rsidTr="0081364C">
        <w:tc>
          <w:tcPr>
            <w:tcW w:w="2660" w:type="dxa"/>
          </w:tcPr>
          <w:p w:rsidR="00EB666A" w:rsidRPr="00F973C5" w:rsidRDefault="00EB666A" w:rsidP="001E7942">
            <w:pPr>
              <w:jc w:val="center"/>
            </w:pPr>
            <w:r>
              <w:rPr>
                <w:lang w:val="en-US"/>
              </w:rPr>
              <w:t>Ea</w:t>
            </w:r>
            <w:r>
              <w:t>, мм.рт.ст./мл</w:t>
            </w:r>
          </w:p>
        </w:tc>
        <w:tc>
          <w:tcPr>
            <w:tcW w:w="2126" w:type="dxa"/>
          </w:tcPr>
          <w:p w:rsidR="00EB666A" w:rsidRPr="00F973C5" w:rsidRDefault="00EB666A" w:rsidP="001E7942">
            <w:pPr>
              <w:jc w:val="center"/>
            </w:pPr>
            <w:r>
              <w:t>1,93±0,43</w:t>
            </w:r>
          </w:p>
        </w:tc>
        <w:tc>
          <w:tcPr>
            <w:tcW w:w="2114" w:type="dxa"/>
          </w:tcPr>
          <w:p w:rsidR="00EB666A" w:rsidRDefault="00EB666A" w:rsidP="001E7942">
            <w:pPr>
              <w:jc w:val="center"/>
            </w:pPr>
            <w:r>
              <w:t>1,62±0,35</w:t>
            </w:r>
          </w:p>
        </w:tc>
        <w:tc>
          <w:tcPr>
            <w:tcW w:w="3131" w:type="dxa"/>
          </w:tcPr>
          <w:p w:rsidR="00EB666A" w:rsidRDefault="00EB666A" w:rsidP="001E7942">
            <w:pPr>
              <w:jc w:val="center"/>
              <w:rPr>
                <w:lang w:val="en-US"/>
              </w:rPr>
            </w:pPr>
            <w:r>
              <w:t>1,39±0,57</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=0,06</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r w:rsidR="00EB666A" w:rsidTr="0081364C">
        <w:tc>
          <w:tcPr>
            <w:tcW w:w="2660" w:type="dxa"/>
          </w:tcPr>
          <w:p w:rsidR="00EB666A" w:rsidRPr="00F973C5" w:rsidRDefault="00EB666A" w:rsidP="001E7942">
            <w:pPr>
              <w:jc w:val="center"/>
            </w:pPr>
            <w:r>
              <w:rPr>
                <w:lang w:val="en-US"/>
              </w:rPr>
              <w:t>Ea/Es</w:t>
            </w:r>
          </w:p>
        </w:tc>
        <w:tc>
          <w:tcPr>
            <w:tcW w:w="2126" w:type="dxa"/>
          </w:tcPr>
          <w:p w:rsidR="00EB666A" w:rsidRPr="00F973C5" w:rsidRDefault="00EB666A" w:rsidP="001E7942">
            <w:pPr>
              <w:jc w:val="center"/>
            </w:pPr>
            <w:r>
              <w:t>2,38±0,32</w:t>
            </w:r>
          </w:p>
        </w:tc>
        <w:tc>
          <w:tcPr>
            <w:tcW w:w="2114" w:type="dxa"/>
          </w:tcPr>
          <w:p w:rsidR="00EB666A" w:rsidRDefault="00EB666A" w:rsidP="001E7942">
            <w:pPr>
              <w:jc w:val="center"/>
            </w:pPr>
            <w:r>
              <w:t>1,48±0,21</w:t>
            </w:r>
          </w:p>
        </w:tc>
        <w:tc>
          <w:tcPr>
            <w:tcW w:w="3131" w:type="dxa"/>
          </w:tcPr>
          <w:p w:rsidR="00EB666A" w:rsidRDefault="00EB666A" w:rsidP="001E7942">
            <w:pPr>
              <w:jc w:val="center"/>
              <w:rPr>
                <w:lang w:val="en-US"/>
              </w:rPr>
            </w:pPr>
            <w:r>
              <w:t>0,74±0,15</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bl>
    <w:p w:rsidR="00EB666A" w:rsidRDefault="00EB666A" w:rsidP="00EB666A">
      <w:pPr>
        <w:spacing w:after="0" w:line="360" w:lineRule="auto"/>
        <w:ind w:firstLine="720"/>
        <w:jc w:val="both"/>
      </w:pPr>
      <w:r>
        <w:t>Що стосується параметрів КСО та КДО, їх розміри у хворих з ГІМ без ожиріння значно перевищували такі в осіб контрольної групи (p&lt;0,05). За показниками ТЗСЛШ, ТМШП та ЛП відмінностей виявлено не було (p</w:t>
      </w:r>
      <w:r w:rsidRPr="005B6FCC">
        <w:t>&gt;</w:t>
      </w:r>
      <w:r>
        <w:t>0,05) при зіставленні груп хворих з ГІМ без ожиріння та групи контролю. Показники, що відображають геометрію ЛШ, а саме ВТСЛШ та ІММЛШ були вище у хворих з ГІМ без ожиріння, порівняно з контрольною групою (p</w:t>
      </w:r>
      <w:r w:rsidRPr="005B6FCC">
        <w:t>&lt;0,05</w:t>
      </w:r>
      <w:r>
        <w:t xml:space="preserve">). Параметри міокардіально-артеріальної жорсткості виявили відмінності у вигляді більш високих рівнів Еа та </w:t>
      </w:r>
      <w:r>
        <w:lastRenderedPageBreak/>
        <w:t>відношення Еа/Es при значно більш низькому рівні Es у хворих на ГІМ та ожиріння,</w:t>
      </w:r>
      <w:r w:rsidRPr="005B6FCC">
        <w:t xml:space="preserve"> н</w:t>
      </w:r>
      <w:r>
        <w:t>і</w:t>
      </w:r>
      <w:r w:rsidRPr="005B6FCC">
        <w:t xml:space="preserve">ж </w:t>
      </w:r>
      <w:r>
        <w:t>в</w:t>
      </w:r>
      <w:r w:rsidRPr="005B6FCC">
        <w:t xml:space="preserve"> ос</w:t>
      </w:r>
      <w:r>
        <w:t xml:space="preserve">іб групи контролю (p&lt;0,05). </w:t>
      </w:r>
    </w:p>
    <w:p w:rsidR="00EB666A" w:rsidRDefault="00EB666A" w:rsidP="00EB666A">
      <w:pPr>
        <w:spacing w:after="0" w:line="360" w:lineRule="auto"/>
        <w:ind w:firstLine="720"/>
        <w:jc w:val="both"/>
      </w:pPr>
      <w:r>
        <w:t>Інотропна функція серця, визначена за допомогою ФВ ЛШ, в осіб контрольної групи достовірно перевищувала таку у хворих на ГІМ як за наявності. так і за відсутності ожиріння (p&lt;0,05).</w:t>
      </w:r>
    </w:p>
    <w:p w:rsidR="00EB666A" w:rsidRPr="005B6FCC" w:rsidRDefault="00EB666A" w:rsidP="00EB666A">
      <w:pPr>
        <w:spacing w:after="0" w:line="360" w:lineRule="auto"/>
        <w:ind w:firstLine="720"/>
        <w:jc w:val="both"/>
      </w:pPr>
      <w:r>
        <w:t xml:space="preserve">Наступним етапом дослідження було порівняння структурно-функціонального стану міокарда у хворих з ГІМ згідно наявності або відсутності супутнього ожиріння. </w:t>
      </w:r>
      <w:r w:rsidRPr="00C505A4">
        <w:t>Дані наведені в таблиці 4.1</w:t>
      </w:r>
      <w:r>
        <w:t>. У хворих за коморбідності ГІМ та ожиріння виявлено достовірне зростання розмірів КДР та КСР порівняно з хворими без ожиріння при ГІМ (p</w:t>
      </w:r>
      <w:r w:rsidRPr="005B6FCC">
        <w:t>&lt;0,05</w:t>
      </w:r>
      <w:r>
        <w:t>). А показник контрактильності ЛШ – ФВ – при ожирінні вірогідно знижувався (44,85±1,67 проти 40,12±1,58, p&lt;0,05) при зіставленні з хворими на ГІМ без ожиріння. ТЗСЛШ, як і ТМШП та розмір ЛП при ожирінні у хворих на ГІМ були відповідними до вищезазначених параметрів у хворих без ожиріння (p</w:t>
      </w:r>
      <w:r w:rsidRPr="005B6FCC">
        <w:t>&gt;</w:t>
      </w:r>
      <w:r>
        <w:t>0,05</w:t>
      </w:r>
      <w:r w:rsidRPr="005B6FCC">
        <w:t>). І</w:t>
      </w:r>
      <w:r>
        <w:t>ММЛШ був вище при ожирінні та ГІМ (p&lt;0,05), а ВТСЛШ відповідала такій у хворих без ожиріння (p</w:t>
      </w:r>
      <w:r w:rsidRPr="005B6FCC">
        <w:t>&gt;</w:t>
      </w:r>
      <w:r>
        <w:t>0,05)</w:t>
      </w:r>
      <w:r w:rsidRPr="005B6FCC">
        <w:t>. У хворих на ГІМ на тлі супутнього ожиріння знайдено достовірне зростання співвідношення Еа/</w:t>
      </w:r>
      <w:r>
        <w:rPr>
          <w:lang w:val="en-US"/>
        </w:rPr>
        <w:t>Es</w:t>
      </w:r>
      <w:r w:rsidRPr="005B6FCC">
        <w:t xml:space="preserve"> порівняно з хворими </w:t>
      </w:r>
      <w:r>
        <w:t xml:space="preserve">без ожиріння (p&lt;0,05). Рівень Еа виявив тенденцію до зростання, яка </w:t>
      </w:r>
      <w:r w:rsidR="00075EE6">
        <w:t xml:space="preserve">не досягала рівня вірогідності </w:t>
      </w:r>
      <w:r>
        <w:t>(р=0,06), у хворих з ГІМ та ожирінням порівняно з тими, що не мали ожиріння. За параметрами Es достовірних відмінностей виявлено не було при співставленні хворих на ГІМ з ожирінням та без нього (p</w:t>
      </w:r>
      <w:r w:rsidRPr="005B6FCC">
        <w:t>&gt;</w:t>
      </w:r>
      <w:r>
        <w:t>0,05)</w:t>
      </w:r>
      <w:r w:rsidRPr="005B6FCC">
        <w:t>.</w:t>
      </w:r>
    </w:p>
    <w:p w:rsidR="00EB666A" w:rsidRDefault="00EB666A" w:rsidP="00EB666A">
      <w:pPr>
        <w:spacing w:after="0" w:line="360" w:lineRule="auto"/>
        <w:ind w:firstLine="720"/>
        <w:jc w:val="both"/>
      </w:pPr>
      <w:r>
        <w:t>Таким</w:t>
      </w:r>
      <w:r w:rsidRPr="00343B02">
        <w:t xml:space="preserve"> </w:t>
      </w:r>
      <w:r>
        <w:t>чином</w:t>
      </w:r>
      <w:r w:rsidRPr="00343B02">
        <w:t xml:space="preserve">, </w:t>
      </w:r>
      <w:r>
        <w:t>у</w:t>
      </w:r>
      <w:r w:rsidRPr="00343B02">
        <w:t xml:space="preserve"> </w:t>
      </w:r>
      <w:r>
        <w:t>хворих</w:t>
      </w:r>
      <w:r w:rsidRPr="00343B02">
        <w:t xml:space="preserve"> </w:t>
      </w:r>
      <w:r>
        <w:t>з</w:t>
      </w:r>
      <w:r w:rsidRPr="00343B02">
        <w:t xml:space="preserve"> </w:t>
      </w:r>
      <w:r>
        <w:t>ГІМ за наявності коморбідного ожиріння визначається зростання розмірів і об’</w:t>
      </w:r>
      <w:r w:rsidRPr="00343B02">
        <w:t>ємів</w:t>
      </w:r>
      <w:r>
        <w:t xml:space="preserve"> ЛШ разом із збільшенням параметрів, відповідальних за міокардіально-аортальну жорсткість. </w:t>
      </w:r>
    </w:p>
    <w:p w:rsidR="00EB666A" w:rsidRPr="00931F07" w:rsidRDefault="00EB666A" w:rsidP="00EB666A">
      <w:pPr>
        <w:spacing w:after="0" w:line="360" w:lineRule="auto"/>
        <w:ind w:firstLine="720"/>
        <w:jc w:val="both"/>
        <w:rPr>
          <w:rFonts w:eastAsia="Calibri"/>
        </w:rPr>
      </w:pPr>
      <w:r w:rsidRPr="00931F07">
        <w:rPr>
          <w:rFonts w:eastAsia="Calibri"/>
        </w:rPr>
        <w:t xml:space="preserve">Згідно даних дослідників </w:t>
      </w:r>
      <w:r w:rsidRPr="00931F07">
        <w:rPr>
          <w:rFonts w:eastAsia="Calibri"/>
          <w:lang w:val="en-US"/>
        </w:rPr>
        <w:t>Wang</w:t>
      </w:r>
      <w:r w:rsidRPr="00931F07">
        <w:rPr>
          <w:rFonts w:eastAsia="Calibri"/>
        </w:rPr>
        <w:t xml:space="preserve"> та </w:t>
      </w:r>
      <w:r w:rsidRPr="00931F07">
        <w:rPr>
          <w:rFonts w:eastAsia="Calibri"/>
          <w:lang w:val="en-US"/>
        </w:rPr>
        <w:t>Weir</w:t>
      </w:r>
      <w:r w:rsidRPr="00931F07">
        <w:rPr>
          <w:rFonts w:eastAsia="Calibri"/>
        </w:rPr>
        <w:t xml:space="preserve"> [130; 131], галектин-3 є залученим до регуляції взаємозв’язків клітин екстрацелюлярного матриксу шляхом активації параметрів позаклітинної конфігурації – матриксної металопротеїнази-3, фактора фіброзу моноцитарного хемоатрактантного протеїну-1 (МСР-1) та представника </w:t>
      </w:r>
      <w:r w:rsidRPr="00931F07">
        <w:rPr>
          <w:rFonts w:eastAsia="Calibri"/>
        </w:rPr>
        <w:lastRenderedPageBreak/>
        <w:t>системи цитокінів інтерлейкіну-8, які, в свою чергу, грають роль у процесах ремоделювання міокарда. Приймаючи до уваги вищенаведене, ми вивчали зміни параметрів морфо-функціонального стану міокарда, згідно квартілей галектину-3.</w:t>
      </w:r>
    </w:p>
    <w:p w:rsidR="00EB666A" w:rsidRPr="00931F07" w:rsidRDefault="00EB666A" w:rsidP="00EB666A">
      <w:pPr>
        <w:spacing w:after="0" w:line="360" w:lineRule="auto"/>
        <w:ind w:left="7068" w:firstLine="720"/>
        <w:jc w:val="both"/>
        <w:rPr>
          <w:i/>
        </w:rPr>
      </w:pPr>
      <w:r w:rsidRPr="00931F07">
        <w:rPr>
          <w:i/>
        </w:rPr>
        <w:t>Таблиця 4.2</w:t>
      </w:r>
    </w:p>
    <w:p w:rsidR="00EB666A" w:rsidRDefault="00EB666A" w:rsidP="00EB666A">
      <w:pPr>
        <w:spacing w:after="0" w:line="360" w:lineRule="auto"/>
        <w:ind w:firstLine="720"/>
        <w:jc w:val="center"/>
      </w:pPr>
      <w:r>
        <w:t>Показники морфо-функціонального стану міокарда та міокардіально-артеріальної ригідності у хворих з гострим інфарктом міокарда та ожирінням згідно квартілей галектину-3</w:t>
      </w:r>
    </w:p>
    <w:tbl>
      <w:tblPr>
        <w:tblStyle w:val="ab"/>
        <w:tblW w:w="0" w:type="auto"/>
        <w:tblLook w:val="04A0" w:firstRow="1" w:lastRow="0" w:firstColumn="1" w:lastColumn="0" w:noHBand="0" w:noVBand="1"/>
      </w:tblPr>
      <w:tblGrid>
        <w:gridCol w:w="1914"/>
        <w:gridCol w:w="2163"/>
        <w:gridCol w:w="1985"/>
        <w:gridCol w:w="1984"/>
        <w:gridCol w:w="2268"/>
      </w:tblGrid>
      <w:tr w:rsidR="00EB666A" w:rsidTr="005B6344">
        <w:tc>
          <w:tcPr>
            <w:tcW w:w="1914" w:type="dxa"/>
            <w:vMerge w:val="restart"/>
          </w:tcPr>
          <w:p w:rsidR="00EB666A" w:rsidRDefault="00EB666A" w:rsidP="00EB666A">
            <w:pPr>
              <w:jc w:val="both"/>
            </w:pPr>
          </w:p>
          <w:p w:rsidR="00EB666A" w:rsidRDefault="00EB666A" w:rsidP="00EB666A">
            <w:pPr>
              <w:jc w:val="both"/>
            </w:pPr>
          </w:p>
          <w:p w:rsidR="00EB666A" w:rsidRDefault="00EB666A" w:rsidP="00EB666A">
            <w:pPr>
              <w:jc w:val="both"/>
            </w:pPr>
            <w:r>
              <w:t>Показник, од. виміру</w:t>
            </w:r>
          </w:p>
        </w:tc>
        <w:tc>
          <w:tcPr>
            <w:tcW w:w="8400" w:type="dxa"/>
            <w:gridSpan w:val="4"/>
          </w:tcPr>
          <w:p w:rsidR="00EB666A" w:rsidRDefault="00EB666A" w:rsidP="00EB666A">
            <w:pPr>
              <w:jc w:val="center"/>
            </w:pPr>
            <w:r>
              <w:t>Концентрація галектину-3</w:t>
            </w:r>
          </w:p>
        </w:tc>
      </w:tr>
      <w:tr w:rsidR="00EB666A" w:rsidTr="005B6344">
        <w:tc>
          <w:tcPr>
            <w:tcW w:w="1914" w:type="dxa"/>
            <w:vMerge/>
          </w:tcPr>
          <w:p w:rsidR="00EB666A" w:rsidRDefault="00EB666A" w:rsidP="00EB666A">
            <w:pPr>
              <w:jc w:val="both"/>
            </w:pPr>
          </w:p>
        </w:tc>
        <w:tc>
          <w:tcPr>
            <w:tcW w:w="2163" w:type="dxa"/>
          </w:tcPr>
          <w:p w:rsidR="00EB666A" w:rsidRDefault="00EB666A" w:rsidP="00EB666A">
            <w:pPr>
              <w:jc w:val="center"/>
            </w:pPr>
            <w:r>
              <w:t>1</w:t>
            </w:r>
          </w:p>
          <w:p w:rsidR="00EB666A" w:rsidRDefault="00EB666A" w:rsidP="00EB666A">
            <w:pPr>
              <w:jc w:val="center"/>
            </w:pPr>
            <w:r>
              <w:t>квартіль</w:t>
            </w:r>
          </w:p>
          <w:p w:rsidR="00EB666A" w:rsidRDefault="00EB666A" w:rsidP="00EB666A">
            <w:pPr>
              <w:jc w:val="center"/>
            </w:pPr>
            <w:r>
              <w:t>8,81 – 16,48 нг/мл</w:t>
            </w:r>
          </w:p>
        </w:tc>
        <w:tc>
          <w:tcPr>
            <w:tcW w:w="1985" w:type="dxa"/>
          </w:tcPr>
          <w:p w:rsidR="00EB666A" w:rsidRDefault="00EB666A" w:rsidP="00EB666A">
            <w:pPr>
              <w:jc w:val="center"/>
            </w:pPr>
            <w:r>
              <w:t>2</w:t>
            </w:r>
          </w:p>
          <w:p w:rsidR="00EB666A" w:rsidRDefault="00EB666A" w:rsidP="00EB666A">
            <w:pPr>
              <w:jc w:val="center"/>
            </w:pPr>
            <w:r>
              <w:t>квартіль</w:t>
            </w:r>
          </w:p>
          <w:p w:rsidR="00EB666A" w:rsidRDefault="00EB666A" w:rsidP="00EB666A">
            <w:pPr>
              <w:jc w:val="center"/>
            </w:pPr>
            <w:r>
              <w:t>16,49 – 23,47 нг/мл</w:t>
            </w:r>
          </w:p>
        </w:tc>
        <w:tc>
          <w:tcPr>
            <w:tcW w:w="1984" w:type="dxa"/>
          </w:tcPr>
          <w:p w:rsidR="00EB666A" w:rsidRDefault="00EB666A" w:rsidP="00EB666A">
            <w:pPr>
              <w:jc w:val="center"/>
            </w:pPr>
            <w:r>
              <w:t>3</w:t>
            </w:r>
          </w:p>
          <w:p w:rsidR="00EB666A" w:rsidRDefault="00EB666A" w:rsidP="00EB666A">
            <w:pPr>
              <w:jc w:val="center"/>
            </w:pPr>
            <w:r>
              <w:t>квартіль</w:t>
            </w:r>
          </w:p>
          <w:p w:rsidR="00EB666A" w:rsidRDefault="00EB666A" w:rsidP="00EB666A">
            <w:pPr>
              <w:jc w:val="center"/>
            </w:pPr>
            <w:r>
              <w:t>23,48 – 29,87 нг/мл</w:t>
            </w:r>
          </w:p>
        </w:tc>
        <w:tc>
          <w:tcPr>
            <w:tcW w:w="2268" w:type="dxa"/>
          </w:tcPr>
          <w:p w:rsidR="00EB666A" w:rsidRDefault="00EB666A" w:rsidP="00EB666A">
            <w:pPr>
              <w:jc w:val="center"/>
            </w:pPr>
            <w:r>
              <w:t>4</w:t>
            </w:r>
          </w:p>
          <w:p w:rsidR="00EB666A" w:rsidRDefault="00EB666A" w:rsidP="00EB666A">
            <w:pPr>
              <w:jc w:val="center"/>
            </w:pPr>
            <w:r>
              <w:t>квартіль</w:t>
            </w:r>
          </w:p>
          <w:p w:rsidR="00EB666A" w:rsidRDefault="00EB666A" w:rsidP="00EB666A">
            <w:pPr>
              <w:jc w:val="center"/>
            </w:pPr>
            <w:r>
              <w:t>29,87 – 41,42 нг/мл</w:t>
            </w:r>
          </w:p>
        </w:tc>
      </w:tr>
      <w:tr w:rsidR="00EB666A" w:rsidTr="005B6344">
        <w:tc>
          <w:tcPr>
            <w:tcW w:w="1914" w:type="dxa"/>
          </w:tcPr>
          <w:p w:rsidR="00EB666A" w:rsidRPr="00CB585B" w:rsidRDefault="00EB666A" w:rsidP="00EB666A">
            <w:pPr>
              <w:jc w:val="center"/>
              <w:rPr>
                <w:lang w:val="en-US"/>
              </w:rPr>
            </w:pPr>
            <w:r>
              <w:rPr>
                <w:lang w:val="en-US"/>
              </w:rPr>
              <w:t>1</w:t>
            </w:r>
          </w:p>
        </w:tc>
        <w:tc>
          <w:tcPr>
            <w:tcW w:w="2163" w:type="dxa"/>
          </w:tcPr>
          <w:p w:rsidR="00EB666A" w:rsidRPr="00CB585B" w:rsidRDefault="00EB666A" w:rsidP="00EB666A">
            <w:pPr>
              <w:jc w:val="center"/>
              <w:rPr>
                <w:lang w:val="en-US"/>
              </w:rPr>
            </w:pPr>
            <w:r>
              <w:rPr>
                <w:lang w:val="en-US"/>
              </w:rPr>
              <w:t>2</w:t>
            </w:r>
          </w:p>
        </w:tc>
        <w:tc>
          <w:tcPr>
            <w:tcW w:w="1985" w:type="dxa"/>
          </w:tcPr>
          <w:p w:rsidR="00EB666A" w:rsidRPr="00CB585B" w:rsidRDefault="00EB666A" w:rsidP="00EB666A">
            <w:pPr>
              <w:jc w:val="center"/>
              <w:rPr>
                <w:lang w:val="en-US"/>
              </w:rPr>
            </w:pPr>
            <w:r>
              <w:rPr>
                <w:lang w:val="en-US"/>
              </w:rPr>
              <w:t>3</w:t>
            </w:r>
          </w:p>
        </w:tc>
        <w:tc>
          <w:tcPr>
            <w:tcW w:w="1984" w:type="dxa"/>
          </w:tcPr>
          <w:p w:rsidR="00EB666A" w:rsidRPr="00CB585B" w:rsidRDefault="00EB666A" w:rsidP="00EB666A">
            <w:pPr>
              <w:jc w:val="center"/>
              <w:rPr>
                <w:lang w:val="en-US"/>
              </w:rPr>
            </w:pPr>
            <w:r>
              <w:rPr>
                <w:lang w:val="en-US"/>
              </w:rPr>
              <w:t>4</w:t>
            </w:r>
          </w:p>
        </w:tc>
        <w:tc>
          <w:tcPr>
            <w:tcW w:w="2268" w:type="dxa"/>
          </w:tcPr>
          <w:p w:rsidR="00EB666A" w:rsidRPr="00CB585B" w:rsidRDefault="00EB666A" w:rsidP="00EB666A">
            <w:pPr>
              <w:jc w:val="center"/>
              <w:rPr>
                <w:lang w:val="en-US"/>
              </w:rPr>
            </w:pPr>
            <w:r>
              <w:rPr>
                <w:lang w:val="en-US"/>
              </w:rPr>
              <w:t>5</w:t>
            </w:r>
          </w:p>
        </w:tc>
      </w:tr>
      <w:tr w:rsidR="00EB666A" w:rsidTr="005B6344">
        <w:tc>
          <w:tcPr>
            <w:tcW w:w="1914" w:type="dxa"/>
          </w:tcPr>
          <w:p w:rsidR="00EB666A" w:rsidRDefault="00EB666A" w:rsidP="00EB666A">
            <w:pPr>
              <w:jc w:val="both"/>
            </w:pPr>
            <w:r>
              <w:t>КДО, мл</w:t>
            </w:r>
          </w:p>
        </w:tc>
        <w:tc>
          <w:tcPr>
            <w:tcW w:w="2163" w:type="dxa"/>
          </w:tcPr>
          <w:p w:rsidR="00EB666A" w:rsidRPr="00CB585B" w:rsidRDefault="00EB666A" w:rsidP="00EB666A">
            <w:pPr>
              <w:jc w:val="both"/>
            </w:pPr>
            <w:r>
              <w:rPr>
                <w:lang w:val="en-US"/>
              </w:rPr>
              <w:t>152,84</w:t>
            </w:r>
            <w:r>
              <w:t>±5,62</w:t>
            </w:r>
          </w:p>
        </w:tc>
        <w:tc>
          <w:tcPr>
            <w:tcW w:w="1985" w:type="dxa"/>
          </w:tcPr>
          <w:p w:rsidR="00EB666A" w:rsidRDefault="00EB666A" w:rsidP="00EB666A">
            <w:pPr>
              <w:jc w:val="both"/>
            </w:pPr>
            <w:r>
              <w:t>157,14±6,33</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pPr>
            <w:r>
              <w:t>160,08±4,01</w:t>
            </w:r>
          </w:p>
          <w:p w:rsidR="00EB666A" w:rsidRPr="00CA732D" w:rsidRDefault="00EB666A" w:rsidP="00EB666A">
            <w:pPr>
              <w:jc w:val="both"/>
            </w:pPr>
            <w:r w:rsidRPr="00CA732D">
              <w:t>р</w:t>
            </w:r>
            <w:r w:rsidRPr="00CA732D">
              <w:rPr>
                <w:vertAlign w:val="subscript"/>
              </w:rPr>
              <w:t>2та 3</w:t>
            </w:r>
            <w:r w:rsidRPr="00CA732D">
              <w:t>&gt;0,05</w:t>
            </w:r>
          </w:p>
          <w:p w:rsidR="00EB666A" w:rsidRDefault="00EB666A" w:rsidP="00EB666A">
            <w:pPr>
              <w:jc w:val="both"/>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165,12±3,82</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&gt;</w:t>
            </w:r>
            <w:r w:rsidRPr="00CA732D">
              <w:t>0,05</w:t>
            </w:r>
          </w:p>
          <w:p w:rsidR="00EB666A"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p w:rsidR="00EB666A" w:rsidRPr="00CA732D" w:rsidRDefault="00EB666A" w:rsidP="00EB666A">
            <w:pPr>
              <w:jc w:val="both"/>
              <w:rPr>
                <w:lang w:val="en-US"/>
              </w:rPr>
            </w:pPr>
          </w:p>
        </w:tc>
      </w:tr>
      <w:tr w:rsidR="00EB666A" w:rsidTr="005B6344">
        <w:tc>
          <w:tcPr>
            <w:tcW w:w="1914" w:type="dxa"/>
          </w:tcPr>
          <w:p w:rsidR="00EB666A" w:rsidRDefault="00EB666A" w:rsidP="00EB666A">
            <w:pPr>
              <w:jc w:val="both"/>
            </w:pPr>
            <w:r>
              <w:t>КСО, мл</w:t>
            </w:r>
          </w:p>
        </w:tc>
        <w:tc>
          <w:tcPr>
            <w:tcW w:w="2163" w:type="dxa"/>
          </w:tcPr>
          <w:p w:rsidR="00EB666A" w:rsidRDefault="00EB666A" w:rsidP="00EB666A">
            <w:pPr>
              <w:jc w:val="both"/>
            </w:pPr>
            <w:r>
              <w:t>86,54±4,37</w:t>
            </w:r>
          </w:p>
        </w:tc>
        <w:tc>
          <w:tcPr>
            <w:tcW w:w="1985" w:type="dxa"/>
          </w:tcPr>
          <w:p w:rsidR="00EB666A" w:rsidRDefault="00EB666A" w:rsidP="00EB666A">
            <w:pPr>
              <w:jc w:val="both"/>
            </w:pPr>
            <w:r>
              <w:t>89,11±5,01</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rPr>
                <w:lang w:val="en-US"/>
              </w:rPr>
            </w:pPr>
            <w:r>
              <w:t>93,64±4,64</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97,16±7,22</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&gt;</w:t>
            </w:r>
            <w:r w:rsidRPr="00CA732D">
              <w:t>0,05</w:t>
            </w:r>
          </w:p>
          <w:p w:rsidR="00EB666A" w:rsidRPr="00CA732D"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tc>
      </w:tr>
      <w:tr w:rsidR="00EB666A" w:rsidTr="005B6344">
        <w:tc>
          <w:tcPr>
            <w:tcW w:w="1914" w:type="dxa"/>
          </w:tcPr>
          <w:p w:rsidR="00EB666A" w:rsidRDefault="00EB666A" w:rsidP="00EB666A">
            <w:pPr>
              <w:jc w:val="both"/>
            </w:pPr>
            <w:r>
              <w:t>ФВ, %</w:t>
            </w:r>
          </w:p>
        </w:tc>
        <w:tc>
          <w:tcPr>
            <w:tcW w:w="2163" w:type="dxa"/>
          </w:tcPr>
          <w:p w:rsidR="00EB666A" w:rsidRDefault="00EB666A" w:rsidP="00EB666A">
            <w:pPr>
              <w:jc w:val="both"/>
            </w:pPr>
            <w:r>
              <w:t>41,82±1,38</w:t>
            </w:r>
          </w:p>
        </w:tc>
        <w:tc>
          <w:tcPr>
            <w:tcW w:w="1985" w:type="dxa"/>
          </w:tcPr>
          <w:p w:rsidR="00EB666A" w:rsidRDefault="00EB666A" w:rsidP="00EB666A">
            <w:pPr>
              <w:jc w:val="both"/>
            </w:pPr>
            <w:r>
              <w:t>39,19±1,56</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rPr>
                <w:lang w:val="en-US"/>
              </w:rPr>
            </w:pPr>
            <w:r>
              <w:t>40,59±2,12</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38,82±1,87</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&gt;</w:t>
            </w:r>
            <w:r w:rsidRPr="00CA732D">
              <w:t>0,05</w:t>
            </w:r>
          </w:p>
          <w:p w:rsidR="00EB666A"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p w:rsidR="00EB666A" w:rsidRPr="00CA732D" w:rsidRDefault="00EB666A" w:rsidP="00EB666A">
            <w:pPr>
              <w:jc w:val="both"/>
              <w:rPr>
                <w:lang w:val="en-US"/>
              </w:rPr>
            </w:pPr>
          </w:p>
        </w:tc>
      </w:tr>
      <w:tr w:rsidR="00EB666A" w:rsidTr="005B6344">
        <w:tc>
          <w:tcPr>
            <w:tcW w:w="1914" w:type="dxa"/>
          </w:tcPr>
          <w:p w:rsidR="00EB666A" w:rsidRDefault="00EB666A" w:rsidP="00EB666A">
            <w:pPr>
              <w:jc w:val="both"/>
            </w:pPr>
            <w:r>
              <w:t>ІММЛШ, г/м</w:t>
            </w:r>
            <w:r w:rsidRPr="00CB585B">
              <w:rPr>
                <w:vertAlign w:val="superscript"/>
              </w:rPr>
              <w:t>2</w:t>
            </w:r>
          </w:p>
        </w:tc>
        <w:tc>
          <w:tcPr>
            <w:tcW w:w="2163" w:type="dxa"/>
          </w:tcPr>
          <w:p w:rsidR="00EB666A" w:rsidRDefault="00EB666A" w:rsidP="00EB666A">
            <w:pPr>
              <w:jc w:val="both"/>
            </w:pPr>
            <w:r>
              <w:t>144,02±3,41</w:t>
            </w:r>
          </w:p>
        </w:tc>
        <w:tc>
          <w:tcPr>
            <w:tcW w:w="1985" w:type="dxa"/>
          </w:tcPr>
          <w:p w:rsidR="00EB666A" w:rsidRDefault="00EB666A" w:rsidP="00EB666A">
            <w:pPr>
              <w:jc w:val="both"/>
            </w:pPr>
            <w:r>
              <w:t>149,26±4,18 р</w:t>
            </w:r>
            <w:r w:rsidRPr="00523DA8">
              <w:rPr>
                <w:vertAlign w:val="subscript"/>
              </w:rPr>
              <w:t>1та 2</w:t>
            </w:r>
            <w:r>
              <w:t>&gt;0,05</w:t>
            </w:r>
          </w:p>
        </w:tc>
        <w:tc>
          <w:tcPr>
            <w:tcW w:w="1984" w:type="dxa"/>
          </w:tcPr>
          <w:p w:rsidR="00EB666A" w:rsidRDefault="00EB666A" w:rsidP="00EB666A">
            <w:pPr>
              <w:jc w:val="both"/>
              <w:rPr>
                <w:lang w:val="en-US"/>
              </w:rPr>
            </w:pPr>
            <w:r>
              <w:t>154,33±3,95</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162,39±5,14</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w:t>
            </w:r>
            <w:r w:rsidRPr="00CA732D">
              <w:t>0,05</w:t>
            </w:r>
          </w:p>
          <w:p w:rsidR="00EB666A"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p w:rsidR="00EB666A" w:rsidRPr="00CA732D" w:rsidRDefault="00EB666A" w:rsidP="00EB666A">
            <w:pPr>
              <w:jc w:val="both"/>
              <w:rPr>
                <w:lang w:val="en-US"/>
              </w:rPr>
            </w:pPr>
          </w:p>
        </w:tc>
      </w:tr>
      <w:tr w:rsidR="00EB666A" w:rsidTr="005B6344">
        <w:tc>
          <w:tcPr>
            <w:tcW w:w="1914" w:type="dxa"/>
          </w:tcPr>
          <w:p w:rsidR="00EB666A" w:rsidRPr="00CB585B" w:rsidRDefault="00EB666A" w:rsidP="00EB666A">
            <w:pPr>
              <w:jc w:val="both"/>
              <w:rPr>
                <w:lang w:val="en-US"/>
              </w:rPr>
            </w:pPr>
            <w:r>
              <w:t>Еа/Es</w:t>
            </w:r>
          </w:p>
        </w:tc>
        <w:tc>
          <w:tcPr>
            <w:tcW w:w="2163" w:type="dxa"/>
          </w:tcPr>
          <w:p w:rsidR="00EB666A" w:rsidRDefault="00EB666A" w:rsidP="00EB666A">
            <w:pPr>
              <w:jc w:val="both"/>
            </w:pPr>
            <w:r>
              <w:t>1,28±0,05</w:t>
            </w:r>
          </w:p>
        </w:tc>
        <w:tc>
          <w:tcPr>
            <w:tcW w:w="1985" w:type="dxa"/>
          </w:tcPr>
          <w:p w:rsidR="00EB666A" w:rsidRDefault="00EB666A" w:rsidP="00EB666A">
            <w:pPr>
              <w:jc w:val="both"/>
            </w:pPr>
            <w:r>
              <w:t>1,37±0,08</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rPr>
                <w:lang w:val="en-US"/>
              </w:rPr>
            </w:pPr>
            <w:r>
              <w:t>1,41±0,11</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2,26±0,07</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&lt;</w:t>
            </w:r>
            <w:r w:rsidRPr="00CA732D">
              <w:t>0,05</w:t>
            </w:r>
          </w:p>
          <w:p w:rsidR="00EB666A" w:rsidRPr="00CA732D" w:rsidRDefault="00EB666A" w:rsidP="00EB666A">
            <w:pPr>
              <w:jc w:val="both"/>
              <w:rPr>
                <w:lang w:val="en-US"/>
              </w:rPr>
            </w:pPr>
            <w:r w:rsidRPr="00CA732D">
              <w:t>р</w:t>
            </w:r>
            <w:r>
              <w:rPr>
                <w:vertAlign w:val="subscript"/>
                <w:lang w:val="en-US"/>
              </w:rPr>
              <w:t>3</w:t>
            </w:r>
            <w:r w:rsidRPr="00CA732D">
              <w:rPr>
                <w:vertAlign w:val="subscript"/>
              </w:rPr>
              <w:t>та 4</w:t>
            </w:r>
            <w:r>
              <w:rPr>
                <w:lang w:val="en-US"/>
              </w:rPr>
              <w:t>&lt;</w:t>
            </w:r>
            <w:r w:rsidRPr="00CA732D">
              <w:t>0,05</w:t>
            </w:r>
          </w:p>
        </w:tc>
      </w:tr>
    </w:tbl>
    <w:p w:rsidR="00EB666A" w:rsidRDefault="00EB666A" w:rsidP="00EB666A">
      <w:r>
        <w:br w:type="page"/>
      </w:r>
    </w:p>
    <w:p w:rsidR="00CE0F75" w:rsidRPr="00931F07" w:rsidRDefault="00CE0F75" w:rsidP="00CE0F75">
      <w:pPr>
        <w:spacing w:after="0" w:line="360" w:lineRule="auto"/>
        <w:ind w:firstLine="720"/>
        <w:jc w:val="both"/>
        <w:rPr>
          <w:rFonts w:eastAsia="Calibri"/>
        </w:rPr>
      </w:pPr>
      <w:r w:rsidRPr="00931F07">
        <w:rPr>
          <w:rFonts w:eastAsia="Calibri"/>
        </w:rPr>
        <w:lastRenderedPageBreak/>
        <w:t xml:space="preserve">У таблиці </w:t>
      </w:r>
      <w:r>
        <w:rPr>
          <w:rFonts w:eastAsia="Calibri"/>
        </w:rPr>
        <w:t>4</w:t>
      </w:r>
      <w:r w:rsidRPr="00931F07">
        <w:rPr>
          <w:rFonts w:eastAsia="Calibri"/>
        </w:rPr>
        <w:t>.2 надано інформацію щодо показників кардіогемодинаміки й міокардіально-артеріальної жорсткості у хворих з ГІМ та ожирінням залежно від квартілей галектину-3.</w:t>
      </w:r>
    </w:p>
    <w:p w:rsidR="00EB666A" w:rsidRDefault="00EB666A" w:rsidP="00EB666A">
      <w:pPr>
        <w:spacing w:after="0" w:line="360" w:lineRule="auto"/>
        <w:ind w:firstLine="720"/>
        <w:jc w:val="both"/>
      </w:pPr>
      <w:r w:rsidRPr="005B6FCC">
        <w:t xml:space="preserve">Як видно з таблиці </w:t>
      </w:r>
      <w:r w:rsidR="00CE0F75">
        <w:rPr>
          <w:lang w:val="ru-RU"/>
        </w:rPr>
        <w:t>4</w:t>
      </w:r>
      <w:r>
        <w:t>.2, порівняння параметрів КДО та КСО у 1 та 2 квартілі галектину-3 у хворих з ГІМ та ожирінням не виявило відмінностей (р&gt;0,05). Подібні результати отримані при співставленні ФВ та ІММЛШ у 1 та 2 квартілі галектину-3 у хворих з ГІМ та ожирінням (р</w:t>
      </w:r>
      <w:r w:rsidRPr="005B6FCC">
        <w:t>&gt;0,05</w:t>
      </w:r>
      <w:r>
        <w:t>). параметр міокардіально-артеріальної ригідності Еa/Es у 1 квартілі галектину-3 відповідав такому у 2 квартілі. Порівняння показників, що вивчаються між як 2 та 3 квартілями, так і 1 та 3 квартілем концентрації галектину-3 не виявили вірогідних відмінностей (р&gt;0,05). Зіставлення КДО між 1 і 4 квартілем виявило зміни у вигляді достовірного зростання даного параметра у 4 квартілі (р</w:t>
      </w:r>
      <w:r w:rsidRPr="005B6FCC">
        <w:t>&lt;</w:t>
      </w:r>
      <w:r>
        <w:t>0,05)</w:t>
      </w:r>
      <w:r w:rsidRPr="005B6FCC">
        <w:t>, при цьому пор</w:t>
      </w:r>
      <w:r>
        <w:t>і</w:t>
      </w:r>
      <w:r w:rsidRPr="005B6FCC">
        <w:t>вняння 1,2 та 3 кварт</w:t>
      </w:r>
      <w:r>
        <w:t>і</w:t>
      </w:r>
      <w:r w:rsidRPr="005B6FCC">
        <w:t>л</w:t>
      </w:r>
      <w:r>
        <w:t>ей з квартілем 4 відмінностей не знайшли (р&gt;0,05). Рівень КСО був вище у 4 квартілі порівняно з 1 квартілем (р</w:t>
      </w:r>
      <w:r w:rsidRPr="005B6FCC">
        <w:t>&lt;</w:t>
      </w:r>
      <w:r>
        <w:t>0,05), а у 2, 3 квартілях показник КСО повністю відповідав такому в 4 квартілі (р&gt;0,05). За рівнем ФВ визначено її достовірне зниження у 4 квартілі, порівняно з квартілем 1, у той час. коли зіставлення кварті ля 4 з 2 та 3 квартілями вірогідностей не виявили (р&gt;0,05). ІММЛШ у 1 та 2 квартілях достовірно не відрізнявся. Подібні результати отримано при порівнянні квартілей 2 і 3, 1 і 3. За параметром ІММЛШ встановлено його достовірне зростання у квартілі 4 при зіставленні з 1 квартілем. У хворих з ГІМ та ожирінням рівень ІММЛШ у 4 квартілі порівняно з 2 квартілем встановив тенденцію до зростання, яка не досягала рівня вірогідності (р=</w:t>
      </w:r>
      <w:r w:rsidRPr="005B6FCC">
        <w:t>0,05</w:t>
      </w:r>
      <w:r>
        <w:t>). Зіставлення 3 та 4 квартілей галектину-3 за показником ІММЛШ вірогідних відмінностей не виявили (р</w:t>
      </w:r>
      <w:r w:rsidRPr="005B6FCC">
        <w:t>&gt;0,05</w:t>
      </w:r>
      <w:r>
        <w:t xml:space="preserve">). показник Еa/Es у 4 квартілі галектину-3 достовірно перевищував такий у 1 квартілі і не відрізнявся у 2 та 3 квартілях, порівняно як з квартілем 4. так і при зіставленні 1, 2 і 3 квартілей. </w:t>
      </w:r>
    </w:p>
    <w:p w:rsidR="00EB666A" w:rsidRDefault="00EB666A" w:rsidP="00EB666A">
      <w:pPr>
        <w:spacing w:after="0" w:line="360" w:lineRule="auto"/>
        <w:ind w:firstLine="720"/>
        <w:jc w:val="both"/>
      </w:pPr>
      <w:r>
        <w:t xml:space="preserve">Таким чином, діапазон концентрації галектину-3 29,87 – 41,42 нг/мл, що відповідає 4 квартілю, асоціювався з дилатацією порожнини ЛШ, зниженням </w:t>
      </w:r>
      <w:r>
        <w:lastRenderedPageBreak/>
        <w:t>систолічної функції ЛШ. зростанням гіпертрофії ЛШ та міокардіально-артеріальної жорсткості.</w:t>
      </w:r>
    </w:p>
    <w:p w:rsidR="00EB666A" w:rsidRPr="00931F07" w:rsidRDefault="00EB666A" w:rsidP="00EB666A">
      <w:pPr>
        <w:spacing w:after="0" w:line="360" w:lineRule="auto"/>
        <w:ind w:firstLine="720"/>
        <w:jc w:val="both"/>
        <w:rPr>
          <w:rFonts w:eastAsia="Calibri"/>
        </w:rPr>
      </w:pPr>
      <w:r w:rsidRPr="00931F07">
        <w:rPr>
          <w:rFonts w:eastAsia="Calibri"/>
        </w:rPr>
        <w:t>Отримані дані не суперечать результатам світової медичної спільноти. Колектив співавторів під керівництвом Yakar Tuluce опублікував відомості щодо високої активностігалектину-3 у осіб з гіпертрофічною кардіоміопатією (ГКМП), що асоціюється зі зростанням гіпертрофії лівого шлуночка, проте не виявлено зв’язків з діастолічною і систолічною функціями ЛШ [132] . За даними [133] галектин-3 є незалежним маркером ремоделювання ЛШ у хворих з АГ. Підвищення концентрації галектину-3 супроводжується порушенням систолічної функції правого шлуночка [134].</w:t>
      </w:r>
    </w:p>
    <w:p w:rsidR="00EB666A" w:rsidRPr="00931F07" w:rsidRDefault="00EB666A" w:rsidP="00244BCA">
      <w:pPr>
        <w:spacing w:after="0" w:line="360" w:lineRule="auto"/>
        <w:ind w:left="7920"/>
        <w:jc w:val="both"/>
        <w:rPr>
          <w:i/>
        </w:rPr>
      </w:pPr>
      <w:r w:rsidRPr="00931F07">
        <w:rPr>
          <w:i/>
        </w:rPr>
        <w:t>Таблиця 4.3</w:t>
      </w:r>
    </w:p>
    <w:p w:rsidR="00EB666A" w:rsidRDefault="00EB666A" w:rsidP="00EB666A">
      <w:pPr>
        <w:spacing w:after="0" w:line="360" w:lineRule="auto"/>
        <w:jc w:val="center"/>
      </w:pPr>
      <w:r>
        <w:t>Параметри кардіогемодинаміки у хворих з гострим інфарктом міокарда та ожирінням згідно характеру атеросклеротичного ураження коронарних артерій</w:t>
      </w:r>
    </w:p>
    <w:tbl>
      <w:tblPr>
        <w:tblStyle w:val="ab"/>
        <w:tblW w:w="0" w:type="auto"/>
        <w:tblLook w:val="04A0" w:firstRow="1" w:lastRow="0" w:firstColumn="1" w:lastColumn="0" w:noHBand="0" w:noVBand="1"/>
      </w:tblPr>
      <w:tblGrid>
        <w:gridCol w:w="2802"/>
        <w:gridCol w:w="3402"/>
        <w:gridCol w:w="3827"/>
      </w:tblGrid>
      <w:tr w:rsidR="00EB666A" w:rsidTr="00244BCA">
        <w:tc>
          <w:tcPr>
            <w:tcW w:w="2802" w:type="dxa"/>
            <w:vMerge w:val="restart"/>
          </w:tcPr>
          <w:p w:rsidR="00EB666A" w:rsidRDefault="00EB666A" w:rsidP="00EB666A">
            <w:pPr>
              <w:jc w:val="center"/>
            </w:pPr>
          </w:p>
          <w:p w:rsidR="00EB666A" w:rsidRDefault="00EB666A" w:rsidP="00EB666A">
            <w:pPr>
              <w:jc w:val="center"/>
            </w:pPr>
            <w:r>
              <w:t>Показник, од. виміру</w:t>
            </w:r>
          </w:p>
        </w:tc>
        <w:tc>
          <w:tcPr>
            <w:tcW w:w="7229" w:type="dxa"/>
            <w:gridSpan w:val="2"/>
          </w:tcPr>
          <w:p w:rsidR="00EB666A" w:rsidRDefault="00EB666A" w:rsidP="00EB666A">
            <w:pPr>
              <w:jc w:val="center"/>
            </w:pPr>
            <w:r>
              <w:t>Хворі на ГІМ та ожиріння</w:t>
            </w:r>
          </w:p>
        </w:tc>
      </w:tr>
      <w:tr w:rsidR="00EB666A" w:rsidTr="00244BCA">
        <w:tc>
          <w:tcPr>
            <w:tcW w:w="2802" w:type="dxa"/>
            <w:vMerge/>
          </w:tcPr>
          <w:p w:rsidR="00EB666A" w:rsidRDefault="00EB666A" w:rsidP="00EB666A">
            <w:pPr>
              <w:jc w:val="center"/>
            </w:pPr>
          </w:p>
        </w:tc>
        <w:tc>
          <w:tcPr>
            <w:tcW w:w="3402" w:type="dxa"/>
          </w:tcPr>
          <w:p w:rsidR="00EB666A" w:rsidRPr="0071219D" w:rsidRDefault="00EB666A" w:rsidP="00EB666A">
            <w:pPr>
              <w:jc w:val="center"/>
              <w:rPr>
                <w:lang w:val="en-US"/>
              </w:rPr>
            </w:pPr>
            <w:r>
              <w:t xml:space="preserve">односудинне ураження КА, </w:t>
            </w:r>
            <w:r>
              <w:rPr>
                <w:lang w:val="en-US"/>
              </w:rPr>
              <w:t>n=13</w:t>
            </w:r>
          </w:p>
        </w:tc>
        <w:tc>
          <w:tcPr>
            <w:tcW w:w="3827" w:type="dxa"/>
          </w:tcPr>
          <w:p w:rsidR="00EB666A" w:rsidRPr="0071219D" w:rsidRDefault="00EB666A" w:rsidP="00EB666A">
            <w:pPr>
              <w:jc w:val="center"/>
              <w:rPr>
                <w:lang w:val="en-US"/>
              </w:rPr>
            </w:pPr>
            <w:r>
              <w:t xml:space="preserve">мультисудинне ураження КА, </w:t>
            </w:r>
            <w:r>
              <w:rPr>
                <w:lang w:val="en-US"/>
              </w:rPr>
              <w:t>n=18</w:t>
            </w:r>
          </w:p>
        </w:tc>
      </w:tr>
      <w:tr w:rsidR="00EB666A" w:rsidTr="00244BCA">
        <w:tc>
          <w:tcPr>
            <w:tcW w:w="2802" w:type="dxa"/>
          </w:tcPr>
          <w:p w:rsidR="00EB666A" w:rsidRDefault="00EB666A" w:rsidP="00EB666A">
            <w:pPr>
              <w:jc w:val="center"/>
            </w:pPr>
            <w:r>
              <w:t>КДО, мл</w:t>
            </w:r>
          </w:p>
        </w:tc>
        <w:tc>
          <w:tcPr>
            <w:tcW w:w="3402" w:type="dxa"/>
          </w:tcPr>
          <w:p w:rsidR="00EB666A" w:rsidRDefault="00EB666A" w:rsidP="00EB666A">
            <w:pPr>
              <w:jc w:val="center"/>
            </w:pPr>
            <w:r>
              <w:t>104,18±9,64</w:t>
            </w:r>
          </w:p>
        </w:tc>
        <w:tc>
          <w:tcPr>
            <w:tcW w:w="3827" w:type="dxa"/>
          </w:tcPr>
          <w:p w:rsidR="00EB666A" w:rsidRDefault="00EB666A" w:rsidP="00EB666A">
            <w:pPr>
              <w:jc w:val="center"/>
            </w:pPr>
            <w:r>
              <w:t>136,2±11,52</w:t>
            </w:r>
          </w:p>
          <w:p w:rsidR="00EB666A" w:rsidRDefault="00EB666A" w:rsidP="00EB666A">
            <w:pPr>
              <w:jc w:val="center"/>
            </w:pPr>
            <w:r>
              <w:t>р</w:t>
            </w:r>
            <w:r>
              <w:rPr>
                <w:lang w:val="en-US"/>
              </w:rPr>
              <w:t>&lt;</w:t>
            </w:r>
            <w:r>
              <w:t>0,05</w:t>
            </w:r>
          </w:p>
        </w:tc>
      </w:tr>
      <w:tr w:rsidR="00EB666A" w:rsidTr="00244BCA">
        <w:tc>
          <w:tcPr>
            <w:tcW w:w="2802" w:type="dxa"/>
          </w:tcPr>
          <w:p w:rsidR="00EB666A" w:rsidRDefault="00EB666A" w:rsidP="00EB666A">
            <w:pPr>
              <w:jc w:val="center"/>
            </w:pPr>
            <w:r>
              <w:t>КСО, мл</w:t>
            </w:r>
          </w:p>
        </w:tc>
        <w:tc>
          <w:tcPr>
            <w:tcW w:w="3402" w:type="dxa"/>
          </w:tcPr>
          <w:p w:rsidR="00EB666A" w:rsidRDefault="00EB666A" w:rsidP="00EB666A">
            <w:pPr>
              <w:jc w:val="center"/>
            </w:pPr>
            <w:r>
              <w:t>79,67±6,98</w:t>
            </w:r>
          </w:p>
        </w:tc>
        <w:tc>
          <w:tcPr>
            <w:tcW w:w="3827" w:type="dxa"/>
          </w:tcPr>
          <w:p w:rsidR="00EB666A" w:rsidRDefault="00EB666A" w:rsidP="00EB666A">
            <w:pPr>
              <w:jc w:val="center"/>
            </w:pPr>
            <w:r>
              <w:t>90,44±8,52</w:t>
            </w:r>
          </w:p>
          <w:p w:rsidR="00EB666A" w:rsidRDefault="00EB666A" w:rsidP="00EB666A">
            <w:pPr>
              <w:jc w:val="center"/>
            </w:pPr>
            <w:r>
              <w:t>р</w:t>
            </w:r>
            <w:r>
              <w:rPr>
                <w:lang w:val="en-US"/>
              </w:rPr>
              <w:t>&lt;</w:t>
            </w:r>
            <w:r>
              <w:t>0,05</w:t>
            </w:r>
          </w:p>
        </w:tc>
      </w:tr>
      <w:tr w:rsidR="00EB666A" w:rsidTr="00244BCA">
        <w:tc>
          <w:tcPr>
            <w:tcW w:w="2802" w:type="dxa"/>
          </w:tcPr>
          <w:p w:rsidR="00EB666A" w:rsidRDefault="00EB666A" w:rsidP="00EB666A">
            <w:pPr>
              <w:jc w:val="center"/>
            </w:pPr>
            <w:r>
              <w:t>КДР, см</w:t>
            </w:r>
          </w:p>
        </w:tc>
        <w:tc>
          <w:tcPr>
            <w:tcW w:w="3402" w:type="dxa"/>
          </w:tcPr>
          <w:p w:rsidR="00EB666A" w:rsidRDefault="00EB666A" w:rsidP="00EB666A">
            <w:pPr>
              <w:jc w:val="center"/>
            </w:pPr>
            <w:r>
              <w:t>5,45±0,81</w:t>
            </w:r>
          </w:p>
        </w:tc>
        <w:tc>
          <w:tcPr>
            <w:tcW w:w="3827" w:type="dxa"/>
          </w:tcPr>
          <w:p w:rsidR="00EB666A" w:rsidRDefault="00EB666A" w:rsidP="00EB666A">
            <w:pPr>
              <w:jc w:val="center"/>
            </w:pPr>
            <w:r>
              <w:t>5,61±0,24</w:t>
            </w:r>
          </w:p>
          <w:p w:rsidR="00EB666A" w:rsidRDefault="00EB666A" w:rsidP="00EB666A">
            <w:pPr>
              <w:jc w:val="center"/>
            </w:pPr>
            <w:r>
              <w:t>р&gt;0,05</w:t>
            </w:r>
          </w:p>
        </w:tc>
      </w:tr>
      <w:tr w:rsidR="00EB666A" w:rsidTr="00244BCA">
        <w:tc>
          <w:tcPr>
            <w:tcW w:w="2802" w:type="dxa"/>
          </w:tcPr>
          <w:p w:rsidR="00EB666A" w:rsidRDefault="00EB666A" w:rsidP="00EB666A">
            <w:pPr>
              <w:jc w:val="center"/>
            </w:pPr>
            <w:r>
              <w:t>КСР, см</w:t>
            </w:r>
          </w:p>
        </w:tc>
        <w:tc>
          <w:tcPr>
            <w:tcW w:w="3402" w:type="dxa"/>
          </w:tcPr>
          <w:p w:rsidR="00EB666A" w:rsidRDefault="00EB666A" w:rsidP="00EB666A">
            <w:pPr>
              <w:jc w:val="center"/>
            </w:pPr>
            <w:r>
              <w:t>4,53±0,28</w:t>
            </w:r>
          </w:p>
        </w:tc>
        <w:tc>
          <w:tcPr>
            <w:tcW w:w="3827" w:type="dxa"/>
          </w:tcPr>
          <w:p w:rsidR="00EB666A" w:rsidRDefault="00EB666A" w:rsidP="00EB666A">
            <w:pPr>
              <w:jc w:val="center"/>
            </w:pPr>
            <w:r>
              <w:t>4,64±0,17</w:t>
            </w:r>
          </w:p>
          <w:p w:rsidR="00EB666A" w:rsidRDefault="00EB666A" w:rsidP="00EB666A">
            <w:pPr>
              <w:jc w:val="center"/>
            </w:pPr>
            <w:r>
              <w:t>р&gt;0,05</w:t>
            </w:r>
          </w:p>
        </w:tc>
      </w:tr>
      <w:tr w:rsidR="00EB666A" w:rsidTr="00244BCA">
        <w:tc>
          <w:tcPr>
            <w:tcW w:w="2802" w:type="dxa"/>
          </w:tcPr>
          <w:p w:rsidR="00EB666A" w:rsidRDefault="00EB666A" w:rsidP="00EB666A">
            <w:pPr>
              <w:jc w:val="center"/>
            </w:pPr>
            <w:r>
              <w:t>ФВ, %</w:t>
            </w:r>
          </w:p>
        </w:tc>
        <w:tc>
          <w:tcPr>
            <w:tcW w:w="3402" w:type="dxa"/>
          </w:tcPr>
          <w:p w:rsidR="00EB666A" w:rsidRDefault="00EB666A" w:rsidP="00EB666A">
            <w:pPr>
              <w:jc w:val="center"/>
            </w:pPr>
            <w:r>
              <w:t>42,97±1,46</w:t>
            </w:r>
          </w:p>
        </w:tc>
        <w:tc>
          <w:tcPr>
            <w:tcW w:w="3827" w:type="dxa"/>
          </w:tcPr>
          <w:p w:rsidR="00EB666A" w:rsidRDefault="00EB666A" w:rsidP="00EB666A">
            <w:pPr>
              <w:jc w:val="center"/>
            </w:pPr>
            <w:r>
              <w:t>39,33±1,71</w:t>
            </w:r>
          </w:p>
          <w:p w:rsidR="00EB666A" w:rsidRDefault="00EB666A" w:rsidP="00EB666A">
            <w:pPr>
              <w:jc w:val="center"/>
            </w:pPr>
            <w:r>
              <w:t>р=0,05</w:t>
            </w:r>
          </w:p>
        </w:tc>
      </w:tr>
    </w:tbl>
    <w:p w:rsidR="00F35EB6" w:rsidRPr="00F407BB" w:rsidRDefault="00F35EB6" w:rsidP="00F35EB6">
      <w:pPr>
        <w:spacing w:after="0" w:line="360" w:lineRule="auto"/>
        <w:ind w:firstLine="720"/>
        <w:jc w:val="both"/>
        <w:rPr>
          <w:lang w:val="ru-RU"/>
        </w:rPr>
      </w:pPr>
      <w:r>
        <w:t xml:space="preserve">Наступним етапом у дизайні нашого дослідження було визначення змін показників структурно-функціонального стану міокарда ЛШ у хворих з ГІМ та ожирінням згідно характеру атеросклеротичного ураження коронарних судин. У таблиці 4.3 надано інформацію про групи хворих з ГІМ та ожирінням з одно- та мультисудинним ураженням артерій коронарного русла та параметри кардіогемодинаміки. Знайдено достовірне зростання параметра КДО у хворих на </w:t>
      </w:r>
      <w:r>
        <w:lastRenderedPageBreak/>
        <w:t>ГІМ на тлі супутнього ожиріння, що мали мультисудинне ураження коронарних артерій (КА) порівняно з хворими з одно судинним ураженням КА.</w:t>
      </w:r>
    </w:p>
    <w:p w:rsidR="00EB666A" w:rsidRDefault="00EB666A" w:rsidP="00EB666A">
      <w:pPr>
        <w:spacing w:after="0" w:line="360" w:lineRule="auto"/>
        <w:ind w:firstLine="720"/>
        <w:jc w:val="both"/>
      </w:pPr>
      <w:r>
        <w:t>Крім того, показник КСО у групі хворих з мультисудинним ураженням КА вірогідно перевищував такий у хворих з односудинним ураженням КА. За параметром КДР достовірних відмінностей виявлено не було при співставленні груп хворих з одно- та мультисудинним ураженням КА при ГІМ та ожирінні (</w:t>
      </w:r>
      <w:r>
        <w:rPr>
          <w:lang w:val="en-US"/>
        </w:rPr>
        <w:t>p</w:t>
      </w:r>
      <w:r w:rsidRPr="00943792">
        <w:t>&gt;0,05</w:t>
      </w:r>
      <w:r>
        <w:t>). Подібні результати отримано за показником КСР, який при мультисудинному ураженні відповідав такому у хворих з односудинним ураженням КА за умов коморбідного перебігу ГІМ та ожиріння. За параметром ФВ, що відображає систолічну функцію ЛШ, знайдено тенденцію до зростання при мультисудинному ураженні КА, яка не досягала рівня вірогідності (р=0,05).</w:t>
      </w:r>
    </w:p>
    <w:p w:rsidR="00EB666A" w:rsidRDefault="00EB666A" w:rsidP="00EB666A">
      <w:pPr>
        <w:spacing w:after="0" w:line="360" w:lineRule="auto"/>
        <w:ind w:firstLine="720"/>
        <w:jc w:val="both"/>
      </w:pPr>
      <w:r>
        <w:t>Дослідження показників, що вивчаються, у хворих з супутнім ожирінням згідно наявності ускладнень у гострому періоді ІМ за рахунок розвитку ГСН показало наявність змін у вигляді достовірного зростання КДО (</w:t>
      </w:r>
      <w:r>
        <w:rPr>
          <w:lang w:val="en-US"/>
        </w:rPr>
        <w:t>p</w:t>
      </w:r>
      <w:r w:rsidRPr="00C138CE">
        <w:t>&lt;0,05</w:t>
      </w:r>
      <w:r>
        <w:t>), КСО (</w:t>
      </w:r>
      <w:r>
        <w:rPr>
          <w:lang w:val="en-US"/>
        </w:rPr>
        <w:t>p</w:t>
      </w:r>
      <w:r w:rsidRPr="00C138CE">
        <w:t>&lt;0,05</w:t>
      </w:r>
      <w:r>
        <w:t>), КДР (</w:t>
      </w:r>
      <w:r>
        <w:rPr>
          <w:lang w:val="en-US"/>
        </w:rPr>
        <w:t>p</w:t>
      </w:r>
      <w:r w:rsidRPr="00C138CE">
        <w:t>&lt;0,05</w:t>
      </w:r>
      <w:r>
        <w:t>), ЛП (</w:t>
      </w:r>
      <w:r>
        <w:rPr>
          <w:lang w:val="en-US"/>
        </w:rPr>
        <w:t>p</w:t>
      </w:r>
      <w:r w:rsidRPr="00C138CE">
        <w:t>&lt;0,0</w:t>
      </w:r>
      <w:r>
        <w:t>1) порівняно з хворими з ожирінням, які не мали ускладнень ГІМ. Дані наведено у таблиці 4.4.</w:t>
      </w:r>
    </w:p>
    <w:p w:rsidR="00EB666A" w:rsidRDefault="00EB666A" w:rsidP="00EB666A">
      <w:pPr>
        <w:spacing w:after="0" w:line="360" w:lineRule="auto"/>
        <w:jc w:val="both"/>
      </w:pPr>
      <w:r>
        <w:t>За параметрами ТЗСЛШ, ТМШП та КСР вірогідних відмінностей отримано не було (</w:t>
      </w:r>
      <w:r>
        <w:rPr>
          <w:lang w:val="en-US"/>
        </w:rPr>
        <w:t>p</w:t>
      </w:r>
      <w:r w:rsidRPr="00106009">
        <w:t>&gt;</w:t>
      </w:r>
      <w:r w:rsidRPr="00C138CE">
        <w:t>0,05</w:t>
      </w:r>
      <w:r>
        <w:t xml:space="preserve">). Показник ФВ достовірно знижувався у хворих з ускладненим перебігом гострого періоду ІМ на тлі ожиріння порівняно з хворими, що не мали ускладнень ГІМ. </w:t>
      </w:r>
    </w:p>
    <w:p w:rsidR="00EB666A" w:rsidRDefault="00EB666A" w:rsidP="00F35EB6">
      <w:pPr>
        <w:spacing w:after="0" w:line="360" w:lineRule="auto"/>
        <w:ind w:firstLine="720"/>
        <w:jc w:val="both"/>
      </w:pPr>
      <w:r w:rsidRPr="00070F18">
        <w:t>Таким чином, дослідження показало, що у хворих з ГІМ та супутнім ожирінням порівняно з хворими, що мали нормальну масу тіла, знайдено зростання об’єму порожнини ЛШ, ступеня гіпертрофії міокарда ЛШ та міокардіально-артеріальної жорсткості разом зі зниженням інотропізму ЛШ, які сягають максимуму у 4 кварт</w:t>
      </w:r>
      <w:r w:rsidR="00075EE6">
        <w:t>ілі галектину-3 (діапазон 29,87–</w:t>
      </w:r>
      <w:r w:rsidRPr="00070F18">
        <w:t>41,42 нг/мл), а також за умов ускладненого перебігу гострого періоду інфаркту міокарда та мультисудинного ураження артерій коронарного русла.</w:t>
      </w:r>
      <w:r>
        <w:br w:type="page"/>
      </w:r>
    </w:p>
    <w:p w:rsidR="00EB666A" w:rsidRPr="00931F07" w:rsidRDefault="00EB666A" w:rsidP="00EB666A">
      <w:pPr>
        <w:spacing w:after="0" w:line="360" w:lineRule="auto"/>
        <w:ind w:left="7200" w:firstLine="720"/>
        <w:jc w:val="both"/>
        <w:rPr>
          <w:i/>
        </w:rPr>
      </w:pPr>
      <w:r w:rsidRPr="00931F07">
        <w:rPr>
          <w:i/>
        </w:rPr>
        <w:lastRenderedPageBreak/>
        <w:t>Таблиця 4.4</w:t>
      </w:r>
    </w:p>
    <w:p w:rsidR="00EB666A" w:rsidRDefault="00EB666A" w:rsidP="00EB666A">
      <w:pPr>
        <w:spacing w:after="0" w:line="360" w:lineRule="auto"/>
        <w:jc w:val="center"/>
      </w:pPr>
      <w:r>
        <w:t>Параметри структурно-функціонального стану лівого шлуночка у хворих з ожирінням залежно від наявності ускладненого перебігу гострого інфаркту міокарда</w:t>
      </w:r>
    </w:p>
    <w:tbl>
      <w:tblPr>
        <w:tblStyle w:val="ab"/>
        <w:tblW w:w="0" w:type="auto"/>
        <w:tblLook w:val="04A0" w:firstRow="1" w:lastRow="0" w:firstColumn="1" w:lastColumn="0" w:noHBand="0" w:noVBand="1"/>
      </w:tblPr>
      <w:tblGrid>
        <w:gridCol w:w="3190"/>
        <w:gridCol w:w="3190"/>
        <w:gridCol w:w="3934"/>
      </w:tblGrid>
      <w:tr w:rsidR="00EB666A" w:rsidTr="00F35EB6">
        <w:tc>
          <w:tcPr>
            <w:tcW w:w="3190" w:type="dxa"/>
            <w:vMerge w:val="restart"/>
          </w:tcPr>
          <w:p w:rsidR="00EB666A" w:rsidRDefault="00EB666A" w:rsidP="00244BCA">
            <w:pPr>
              <w:jc w:val="both"/>
            </w:pPr>
          </w:p>
          <w:p w:rsidR="00EB666A" w:rsidRDefault="00EB666A" w:rsidP="00244BCA">
            <w:pPr>
              <w:jc w:val="both"/>
            </w:pPr>
            <w:r>
              <w:t>Показник, од. виміру</w:t>
            </w:r>
          </w:p>
        </w:tc>
        <w:tc>
          <w:tcPr>
            <w:tcW w:w="7124" w:type="dxa"/>
            <w:gridSpan w:val="2"/>
          </w:tcPr>
          <w:p w:rsidR="00EB666A" w:rsidRDefault="00EB666A" w:rsidP="00244BCA">
            <w:pPr>
              <w:jc w:val="center"/>
            </w:pPr>
            <w:r>
              <w:t>Хворі на ГІМ та ожиріння</w:t>
            </w:r>
          </w:p>
        </w:tc>
      </w:tr>
      <w:tr w:rsidR="00EB666A" w:rsidTr="00F35EB6">
        <w:tc>
          <w:tcPr>
            <w:tcW w:w="3190" w:type="dxa"/>
            <w:vMerge/>
          </w:tcPr>
          <w:p w:rsidR="00EB666A" w:rsidRDefault="00EB666A" w:rsidP="00244BCA">
            <w:pPr>
              <w:jc w:val="center"/>
            </w:pPr>
          </w:p>
        </w:tc>
        <w:tc>
          <w:tcPr>
            <w:tcW w:w="3190" w:type="dxa"/>
          </w:tcPr>
          <w:p w:rsidR="00EB666A" w:rsidRPr="007F712E" w:rsidRDefault="00EB666A" w:rsidP="00244BCA">
            <w:pPr>
              <w:jc w:val="center"/>
            </w:pPr>
            <w:r>
              <w:t xml:space="preserve">Ускладнений перебіг ГІМ, </w:t>
            </w:r>
            <w:r>
              <w:rPr>
                <w:lang w:val="en-US"/>
              </w:rPr>
              <w:t>n=</w:t>
            </w:r>
            <w:r>
              <w:t>32</w:t>
            </w:r>
          </w:p>
        </w:tc>
        <w:tc>
          <w:tcPr>
            <w:tcW w:w="3934" w:type="dxa"/>
          </w:tcPr>
          <w:p w:rsidR="00EB666A" w:rsidRDefault="00EB666A" w:rsidP="00244BCA">
            <w:pPr>
              <w:jc w:val="center"/>
            </w:pPr>
            <w:r>
              <w:t xml:space="preserve">Неускладнений перебіг ГІМ, </w:t>
            </w:r>
            <w:r>
              <w:rPr>
                <w:lang w:val="en-US"/>
              </w:rPr>
              <w:t>n=</w:t>
            </w:r>
            <w:r>
              <w:t>43</w:t>
            </w:r>
          </w:p>
        </w:tc>
      </w:tr>
      <w:tr w:rsidR="00EB666A" w:rsidTr="00F35EB6">
        <w:tc>
          <w:tcPr>
            <w:tcW w:w="3190" w:type="dxa"/>
          </w:tcPr>
          <w:p w:rsidR="00EB666A" w:rsidRDefault="00EB666A" w:rsidP="00244BCA">
            <w:pPr>
              <w:jc w:val="center"/>
            </w:pPr>
            <w:r>
              <w:t>КДР, см</w:t>
            </w:r>
          </w:p>
        </w:tc>
        <w:tc>
          <w:tcPr>
            <w:tcW w:w="3190" w:type="dxa"/>
          </w:tcPr>
          <w:p w:rsidR="00EB666A" w:rsidRDefault="00EB666A" w:rsidP="00244BCA">
            <w:pPr>
              <w:jc w:val="center"/>
            </w:pPr>
            <w:r>
              <w:t>6,01±0,11</w:t>
            </w:r>
          </w:p>
        </w:tc>
        <w:tc>
          <w:tcPr>
            <w:tcW w:w="3934" w:type="dxa"/>
          </w:tcPr>
          <w:p w:rsidR="00EB666A" w:rsidRDefault="00EB666A" w:rsidP="00244BCA">
            <w:pPr>
              <w:jc w:val="center"/>
            </w:pPr>
            <w:r>
              <w:t>4,97±0,18</w:t>
            </w:r>
          </w:p>
          <w:p w:rsidR="00EB666A" w:rsidRDefault="00EB666A" w:rsidP="00244BCA">
            <w:pPr>
              <w:jc w:val="center"/>
            </w:pPr>
            <w:r>
              <w:rPr>
                <w:lang w:val="en-US"/>
              </w:rPr>
              <w:t>p</w:t>
            </w:r>
            <w:r w:rsidRPr="00C138CE">
              <w:t>&lt;0,05</w:t>
            </w:r>
          </w:p>
        </w:tc>
      </w:tr>
      <w:tr w:rsidR="00EB666A" w:rsidTr="00F35EB6">
        <w:tc>
          <w:tcPr>
            <w:tcW w:w="3190" w:type="dxa"/>
          </w:tcPr>
          <w:p w:rsidR="00EB666A" w:rsidRDefault="00EB666A" w:rsidP="00244BCA">
            <w:pPr>
              <w:jc w:val="center"/>
            </w:pPr>
            <w:r>
              <w:t>КСР, см</w:t>
            </w:r>
          </w:p>
        </w:tc>
        <w:tc>
          <w:tcPr>
            <w:tcW w:w="3190" w:type="dxa"/>
          </w:tcPr>
          <w:p w:rsidR="00EB666A" w:rsidRDefault="00EB666A" w:rsidP="00244BCA">
            <w:pPr>
              <w:jc w:val="center"/>
            </w:pPr>
            <w:r>
              <w:t>4,64±0,19</w:t>
            </w:r>
          </w:p>
        </w:tc>
        <w:tc>
          <w:tcPr>
            <w:tcW w:w="3934" w:type="dxa"/>
          </w:tcPr>
          <w:p w:rsidR="00EB666A" w:rsidRDefault="00EB666A" w:rsidP="00244BCA">
            <w:pPr>
              <w:jc w:val="center"/>
            </w:pPr>
            <w:r>
              <w:t>4,49±0,21</w:t>
            </w:r>
          </w:p>
          <w:p w:rsidR="00EB666A" w:rsidRDefault="00EB666A" w:rsidP="00244BCA">
            <w:pPr>
              <w:jc w:val="center"/>
            </w:pPr>
            <w:r>
              <w:rPr>
                <w:lang w:val="en-US"/>
              </w:rPr>
              <w:t>p</w:t>
            </w:r>
            <w:r w:rsidRPr="00106009">
              <w:t>&gt;</w:t>
            </w:r>
            <w:r w:rsidRPr="00C138CE">
              <w:t>0,05</w:t>
            </w:r>
          </w:p>
        </w:tc>
      </w:tr>
      <w:tr w:rsidR="00EB666A" w:rsidTr="00F35EB6">
        <w:tc>
          <w:tcPr>
            <w:tcW w:w="3190" w:type="dxa"/>
          </w:tcPr>
          <w:p w:rsidR="00EB666A" w:rsidRDefault="00EB666A" w:rsidP="00244BCA">
            <w:pPr>
              <w:jc w:val="center"/>
            </w:pPr>
            <w:r>
              <w:t>КДО, мл</w:t>
            </w:r>
          </w:p>
        </w:tc>
        <w:tc>
          <w:tcPr>
            <w:tcW w:w="3190" w:type="dxa"/>
          </w:tcPr>
          <w:p w:rsidR="00EB666A" w:rsidRDefault="00EB666A" w:rsidP="00244BCA">
            <w:pPr>
              <w:jc w:val="center"/>
            </w:pPr>
            <w:r>
              <w:t>142,12±9,38</w:t>
            </w:r>
          </w:p>
        </w:tc>
        <w:tc>
          <w:tcPr>
            <w:tcW w:w="3934" w:type="dxa"/>
          </w:tcPr>
          <w:p w:rsidR="00EB666A" w:rsidRDefault="00EB666A" w:rsidP="00244BCA">
            <w:pPr>
              <w:jc w:val="center"/>
            </w:pPr>
            <w:r>
              <w:t>103,91±7,53</w:t>
            </w:r>
          </w:p>
          <w:p w:rsidR="00EB666A" w:rsidRDefault="00EB666A" w:rsidP="00244BCA">
            <w:pPr>
              <w:jc w:val="center"/>
            </w:pPr>
            <w:r>
              <w:rPr>
                <w:lang w:val="en-US"/>
              </w:rPr>
              <w:t>p</w:t>
            </w:r>
            <w:r w:rsidRPr="00C138CE">
              <w:t>&lt;0,05</w:t>
            </w:r>
          </w:p>
        </w:tc>
      </w:tr>
      <w:tr w:rsidR="00EB666A" w:rsidTr="00F35EB6">
        <w:tc>
          <w:tcPr>
            <w:tcW w:w="3190" w:type="dxa"/>
          </w:tcPr>
          <w:p w:rsidR="00EB666A" w:rsidRDefault="00EB666A" w:rsidP="00244BCA">
            <w:pPr>
              <w:jc w:val="center"/>
            </w:pPr>
            <w:r>
              <w:t>КСО, мл</w:t>
            </w:r>
          </w:p>
        </w:tc>
        <w:tc>
          <w:tcPr>
            <w:tcW w:w="3190" w:type="dxa"/>
          </w:tcPr>
          <w:p w:rsidR="00EB666A" w:rsidRDefault="00EB666A" w:rsidP="00244BCA">
            <w:pPr>
              <w:jc w:val="center"/>
            </w:pPr>
            <w:r>
              <w:t>92,39±6,93</w:t>
            </w:r>
          </w:p>
        </w:tc>
        <w:tc>
          <w:tcPr>
            <w:tcW w:w="3934" w:type="dxa"/>
          </w:tcPr>
          <w:p w:rsidR="00EB666A" w:rsidRDefault="00EB666A" w:rsidP="00244BCA">
            <w:pPr>
              <w:jc w:val="center"/>
            </w:pPr>
            <w:r>
              <w:t>78,74±7,02</w:t>
            </w:r>
          </w:p>
          <w:p w:rsidR="00EB666A" w:rsidRDefault="00EB666A" w:rsidP="00244BCA">
            <w:pPr>
              <w:jc w:val="center"/>
            </w:pPr>
            <w:r>
              <w:rPr>
                <w:lang w:val="en-US"/>
              </w:rPr>
              <w:t>p</w:t>
            </w:r>
            <w:r w:rsidRPr="00C138CE">
              <w:t>&lt;0,05</w:t>
            </w:r>
          </w:p>
        </w:tc>
      </w:tr>
      <w:tr w:rsidR="00EB666A" w:rsidTr="00F35EB6">
        <w:tc>
          <w:tcPr>
            <w:tcW w:w="3190" w:type="dxa"/>
          </w:tcPr>
          <w:p w:rsidR="00EB666A" w:rsidRDefault="00EB666A" w:rsidP="00244BCA">
            <w:pPr>
              <w:jc w:val="center"/>
            </w:pPr>
            <w:r>
              <w:t>ТЗСЛШ, см</w:t>
            </w:r>
          </w:p>
        </w:tc>
        <w:tc>
          <w:tcPr>
            <w:tcW w:w="3190" w:type="dxa"/>
          </w:tcPr>
          <w:p w:rsidR="00EB666A" w:rsidRDefault="00EB666A" w:rsidP="00244BCA">
            <w:pPr>
              <w:jc w:val="center"/>
            </w:pPr>
            <w:r>
              <w:t>1,31±0,08</w:t>
            </w:r>
          </w:p>
        </w:tc>
        <w:tc>
          <w:tcPr>
            <w:tcW w:w="3934" w:type="dxa"/>
          </w:tcPr>
          <w:p w:rsidR="00EB666A" w:rsidRDefault="00EB666A" w:rsidP="00244BCA">
            <w:pPr>
              <w:jc w:val="center"/>
            </w:pPr>
            <w:r>
              <w:t>1,32±0,06</w:t>
            </w:r>
          </w:p>
          <w:p w:rsidR="00EB666A" w:rsidRDefault="00EB666A" w:rsidP="00244BCA">
            <w:pPr>
              <w:jc w:val="center"/>
            </w:pPr>
            <w:r>
              <w:rPr>
                <w:lang w:val="en-US"/>
              </w:rPr>
              <w:t>p</w:t>
            </w:r>
            <w:r w:rsidRPr="00106009">
              <w:t>&gt;</w:t>
            </w:r>
            <w:r w:rsidRPr="00C138CE">
              <w:t>0,05</w:t>
            </w:r>
          </w:p>
        </w:tc>
      </w:tr>
      <w:tr w:rsidR="00EB666A" w:rsidTr="00F35EB6">
        <w:tc>
          <w:tcPr>
            <w:tcW w:w="3190" w:type="dxa"/>
          </w:tcPr>
          <w:p w:rsidR="00EB666A" w:rsidRDefault="00EB666A" w:rsidP="00244BCA">
            <w:pPr>
              <w:jc w:val="center"/>
            </w:pPr>
            <w:r>
              <w:t>ТМШП, см</w:t>
            </w:r>
          </w:p>
        </w:tc>
        <w:tc>
          <w:tcPr>
            <w:tcW w:w="3190" w:type="dxa"/>
          </w:tcPr>
          <w:p w:rsidR="00EB666A" w:rsidRDefault="00EB666A" w:rsidP="00244BCA">
            <w:pPr>
              <w:jc w:val="center"/>
            </w:pPr>
            <w:r>
              <w:t>1,31±0,03</w:t>
            </w:r>
          </w:p>
        </w:tc>
        <w:tc>
          <w:tcPr>
            <w:tcW w:w="3934" w:type="dxa"/>
          </w:tcPr>
          <w:p w:rsidR="00EB666A" w:rsidRDefault="00EB666A" w:rsidP="00244BCA">
            <w:pPr>
              <w:jc w:val="center"/>
            </w:pPr>
            <w:r>
              <w:t>1,31±0,02</w:t>
            </w:r>
          </w:p>
          <w:p w:rsidR="00EB666A" w:rsidRDefault="00EB666A" w:rsidP="00244BCA">
            <w:pPr>
              <w:jc w:val="center"/>
            </w:pPr>
            <w:r>
              <w:rPr>
                <w:lang w:val="en-US"/>
              </w:rPr>
              <w:t>p</w:t>
            </w:r>
            <w:r w:rsidRPr="00106009">
              <w:t>&gt;</w:t>
            </w:r>
            <w:r w:rsidRPr="00C138CE">
              <w:t>0,05</w:t>
            </w:r>
          </w:p>
        </w:tc>
      </w:tr>
      <w:tr w:rsidR="00EB666A" w:rsidTr="00F35EB6">
        <w:tc>
          <w:tcPr>
            <w:tcW w:w="3190" w:type="dxa"/>
          </w:tcPr>
          <w:p w:rsidR="00EB666A" w:rsidRDefault="00EB666A" w:rsidP="00244BCA">
            <w:pPr>
              <w:jc w:val="center"/>
            </w:pPr>
            <w:r>
              <w:t>ЛП, см</w:t>
            </w:r>
          </w:p>
        </w:tc>
        <w:tc>
          <w:tcPr>
            <w:tcW w:w="3190" w:type="dxa"/>
          </w:tcPr>
          <w:p w:rsidR="00EB666A" w:rsidRDefault="00EB666A" w:rsidP="00244BCA">
            <w:pPr>
              <w:jc w:val="center"/>
            </w:pPr>
            <w:r>
              <w:t>4,05±0,15</w:t>
            </w:r>
          </w:p>
        </w:tc>
        <w:tc>
          <w:tcPr>
            <w:tcW w:w="3934" w:type="dxa"/>
          </w:tcPr>
          <w:p w:rsidR="00EB666A" w:rsidRDefault="00EB666A" w:rsidP="00244BCA">
            <w:pPr>
              <w:jc w:val="center"/>
            </w:pPr>
            <w:r>
              <w:t>3,48±0,11</w:t>
            </w:r>
          </w:p>
          <w:p w:rsidR="00EB666A" w:rsidRDefault="00EB666A" w:rsidP="00244BCA">
            <w:pPr>
              <w:jc w:val="center"/>
            </w:pPr>
            <w:r>
              <w:rPr>
                <w:lang w:val="en-US"/>
              </w:rPr>
              <w:t>p</w:t>
            </w:r>
            <w:r w:rsidRPr="00C138CE">
              <w:t>&lt;0,0</w:t>
            </w:r>
            <w:r>
              <w:t>1</w:t>
            </w:r>
          </w:p>
        </w:tc>
      </w:tr>
      <w:tr w:rsidR="00EB666A" w:rsidTr="00F35EB6">
        <w:tc>
          <w:tcPr>
            <w:tcW w:w="3190" w:type="dxa"/>
          </w:tcPr>
          <w:p w:rsidR="00EB666A" w:rsidRDefault="00EB666A" w:rsidP="00244BCA">
            <w:pPr>
              <w:jc w:val="center"/>
            </w:pPr>
            <w:r>
              <w:t>ФВ%</w:t>
            </w:r>
          </w:p>
        </w:tc>
        <w:tc>
          <w:tcPr>
            <w:tcW w:w="3190" w:type="dxa"/>
          </w:tcPr>
          <w:p w:rsidR="00EB666A" w:rsidRDefault="00EB666A" w:rsidP="00244BCA">
            <w:pPr>
              <w:jc w:val="center"/>
            </w:pPr>
            <w:r>
              <w:t>39,91±1,83</w:t>
            </w:r>
          </w:p>
        </w:tc>
        <w:tc>
          <w:tcPr>
            <w:tcW w:w="3934" w:type="dxa"/>
          </w:tcPr>
          <w:p w:rsidR="00EB666A" w:rsidRDefault="00EB666A" w:rsidP="00244BCA">
            <w:pPr>
              <w:jc w:val="center"/>
            </w:pPr>
            <w:r>
              <w:t>43,76±2,29</w:t>
            </w:r>
          </w:p>
          <w:p w:rsidR="00EB666A" w:rsidRDefault="00EB666A" w:rsidP="00244BCA">
            <w:pPr>
              <w:jc w:val="center"/>
            </w:pPr>
            <w:r>
              <w:rPr>
                <w:lang w:val="en-US"/>
              </w:rPr>
              <w:t>p</w:t>
            </w:r>
            <w:r w:rsidRPr="00C138CE">
              <w:t>&lt;0,05</w:t>
            </w:r>
          </w:p>
        </w:tc>
      </w:tr>
    </w:tbl>
    <w:p w:rsidR="00EB666A" w:rsidRDefault="00EB666A" w:rsidP="00EB666A">
      <w:pPr>
        <w:spacing w:after="0" w:line="360" w:lineRule="auto"/>
        <w:jc w:val="both"/>
      </w:pPr>
    </w:p>
    <w:p w:rsidR="00EB666A" w:rsidRDefault="00EB666A" w:rsidP="00EB666A">
      <w:pPr>
        <w:spacing w:after="0" w:line="360" w:lineRule="auto"/>
        <w:jc w:val="both"/>
      </w:pPr>
      <w:r>
        <w:t xml:space="preserve">У хворих з ГІМ та ожирінням за даними ангіографії коронарних артерій односудинне ураження мали 13 осіб (40,7%), мультисудинне ураження коронарного русла – 18 осіб (59,3%). Кількість уражених судин коливалось від 1 до 4. </w:t>
      </w:r>
    </w:p>
    <w:p w:rsidR="00EB666A" w:rsidRDefault="00EB666A" w:rsidP="00244BCA">
      <w:pPr>
        <w:spacing w:after="0" w:line="360" w:lineRule="auto"/>
        <w:ind w:firstLine="720"/>
        <w:jc w:val="both"/>
      </w:pPr>
      <w:r>
        <w:t xml:space="preserve">У 19 хворих на ГІМ з супутнім ожирінням згідно даних ангіографічного обстеження знайдено поєднане атеросклеротичне ураження артерій. Найбільш часто зустрічалося поєднання уражень у ПКА, ПМША та ОА, що спостерігалось у 8 випадках (25,8 %). 5 хворих (16,1%) мали атеросклеротичне ураження у ПКА та ПМША. Також виявлено поодинокі різноманітні поєднання: у 2 хворих (6,5 %) визначено ураження у ПКА та ОА, у 1 хворого (3,2%) – ураження ПМША та ОА, у 1 хворого (3,2%) – ураження стовбура ЛКА, ПМША та ОА. Ще у 2 хворих (6,5%)  знайдено атеросклеротичне ураження всіх магістральних коронарних артерій, а </w:t>
      </w:r>
      <w:r>
        <w:lastRenderedPageBreak/>
        <w:t>саме: ПКА, стовбура ЛКА, ПМША та ОА. Ізольоване ураження ПМША визначено у 10 (32,3%) хворих. 2 хворих мали односудинне ураження ПКА.</w:t>
      </w:r>
    </w:p>
    <w:p w:rsidR="00EB666A" w:rsidRDefault="00EB666A" w:rsidP="00EB666A">
      <w:pPr>
        <w:spacing w:after="0" w:line="360" w:lineRule="auto"/>
        <w:contextualSpacing/>
        <w:jc w:val="both"/>
      </w:pPr>
      <w:r>
        <w:t>Аналіз частоти ураження магістральних коронарних артерій показав, що найбільш часто атеросклеротичне ураження було знайдено у ПМША – 89% випадків. Друге місце посідає ПКА – 59,3%, близько половини хворих на ГІМ та ожиріння (48,1%)мали мали ураження ОА. Стовбур ЛКА залишався найменш часто ураженим у хворих на ГІМ з супутнім ожирінням – 11%.</w:t>
      </w:r>
    </w:p>
    <w:p w:rsidR="00EB666A" w:rsidRDefault="00EB666A" w:rsidP="00EB666A">
      <w:pPr>
        <w:spacing w:after="0" w:line="360" w:lineRule="auto"/>
        <w:contextualSpacing/>
        <w:jc w:val="both"/>
      </w:pPr>
      <w:r>
        <w:t>Що стосується коронарних артерій другого порядку, у групі досліджуваних хворих найбільш часто були уражені проксимальна та медіальна частини ПМША (41% та 52% відповідно), а також проксимальна частина ОА (37%).</w:t>
      </w:r>
    </w:p>
    <w:p w:rsidR="00EB666A" w:rsidRDefault="00EB666A" w:rsidP="00EB666A">
      <w:pPr>
        <w:spacing w:after="0" w:line="360" w:lineRule="auto"/>
        <w:contextualSpacing/>
        <w:jc w:val="both"/>
      </w:pPr>
      <w:r>
        <w:t>При вивченні результатів ангіографії виявлено, що у всіх магістральних артеріях знайдено як гемодинамічно значущі, так і гемодинамічно незначущі стенози. Дані представлено у таблиці 4.5.</w:t>
      </w:r>
    </w:p>
    <w:p w:rsidR="00EB666A" w:rsidRPr="00931F07" w:rsidRDefault="00EB666A" w:rsidP="00EB666A">
      <w:pPr>
        <w:spacing w:after="0" w:line="360" w:lineRule="auto"/>
        <w:ind w:left="708" w:firstLine="1"/>
        <w:contextualSpacing/>
        <w:jc w:val="right"/>
        <w:rPr>
          <w:i/>
        </w:rPr>
      </w:pPr>
      <w:r w:rsidRPr="00931F07">
        <w:rPr>
          <w:i/>
        </w:rPr>
        <w:t>Таблиця 4.5</w:t>
      </w:r>
    </w:p>
    <w:p w:rsidR="00EB666A" w:rsidRDefault="00EB666A" w:rsidP="00EB666A">
      <w:pPr>
        <w:spacing w:after="0" w:line="360" w:lineRule="auto"/>
        <w:ind w:left="-142" w:firstLine="1"/>
        <w:contextualSpacing/>
        <w:jc w:val="center"/>
      </w:pPr>
      <w:r>
        <w:t>Частота ураження коронарних артерій у хворих на гострий інфаркт міокарда та ожиріння</w:t>
      </w:r>
    </w:p>
    <w:tbl>
      <w:tblPr>
        <w:tblStyle w:val="ab"/>
        <w:tblW w:w="0" w:type="auto"/>
        <w:tblLook w:val="04A0" w:firstRow="1" w:lastRow="0" w:firstColumn="1" w:lastColumn="0" w:noHBand="0" w:noVBand="1"/>
      </w:tblPr>
      <w:tblGrid>
        <w:gridCol w:w="2660"/>
        <w:gridCol w:w="1843"/>
        <w:gridCol w:w="1842"/>
        <w:gridCol w:w="1843"/>
        <w:gridCol w:w="2126"/>
      </w:tblGrid>
      <w:tr w:rsidR="00EB666A" w:rsidTr="000848D3">
        <w:tc>
          <w:tcPr>
            <w:tcW w:w="2660" w:type="dxa"/>
          </w:tcPr>
          <w:p w:rsidR="00EB666A" w:rsidRDefault="00EB666A" w:rsidP="00EB666A">
            <w:pPr>
              <w:contextualSpacing/>
              <w:jc w:val="both"/>
            </w:pPr>
          </w:p>
        </w:tc>
        <w:tc>
          <w:tcPr>
            <w:tcW w:w="1843" w:type="dxa"/>
          </w:tcPr>
          <w:p w:rsidR="00EB666A" w:rsidRDefault="00EB666A" w:rsidP="00EB666A">
            <w:pPr>
              <w:contextualSpacing/>
              <w:jc w:val="center"/>
            </w:pPr>
            <w:r>
              <w:t>Стовбур ЛКА</w:t>
            </w:r>
          </w:p>
        </w:tc>
        <w:tc>
          <w:tcPr>
            <w:tcW w:w="1842" w:type="dxa"/>
          </w:tcPr>
          <w:p w:rsidR="00EB666A" w:rsidRDefault="00EB666A" w:rsidP="00EB666A">
            <w:pPr>
              <w:contextualSpacing/>
              <w:jc w:val="center"/>
            </w:pPr>
            <w:r>
              <w:t>ПМША</w:t>
            </w:r>
          </w:p>
        </w:tc>
        <w:tc>
          <w:tcPr>
            <w:tcW w:w="1843" w:type="dxa"/>
          </w:tcPr>
          <w:p w:rsidR="00EB666A" w:rsidRDefault="00EB666A" w:rsidP="00EB666A">
            <w:pPr>
              <w:contextualSpacing/>
              <w:jc w:val="center"/>
            </w:pPr>
            <w:r>
              <w:t>ОА</w:t>
            </w:r>
          </w:p>
        </w:tc>
        <w:tc>
          <w:tcPr>
            <w:tcW w:w="2126" w:type="dxa"/>
          </w:tcPr>
          <w:p w:rsidR="00EB666A" w:rsidRDefault="00EB666A" w:rsidP="00EB666A">
            <w:pPr>
              <w:contextualSpacing/>
              <w:jc w:val="center"/>
            </w:pPr>
            <w:r>
              <w:t>ПКА</w:t>
            </w:r>
          </w:p>
        </w:tc>
      </w:tr>
      <w:tr w:rsidR="00EB666A" w:rsidTr="000848D3">
        <w:tc>
          <w:tcPr>
            <w:tcW w:w="2660" w:type="dxa"/>
          </w:tcPr>
          <w:p w:rsidR="00EB666A" w:rsidRDefault="00EB666A" w:rsidP="00EB666A">
            <w:pPr>
              <w:contextualSpacing/>
              <w:jc w:val="both"/>
            </w:pPr>
            <w:r>
              <w:t>Гемодинамічно значущі стенози, %</w:t>
            </w:r>
          </w:p>
        </w:tc>
        <w:tc>
          <w:tcPr>
            <w:tcW w:w="1843" w:type="dxa"/>
          </w:tcPr>
          <w:p w:rsidR="00EB666A" w:rsidRDefault="00EB666A" w:rsidP="00EB666A">
            <w:pPr>
              <w:contextualSpacing/>
              <w:jc w:val="center"/>
            </w:pPr>
            <w:r>
              <w:t>33%</w:t>
            </w:r>
          </w:p>
        </w:tc>
        <w:tc>
          <w:tcPr>
            <w:tcW w:w="1842" w:type="dxa"/>
          </w:tcPr>
          <w:p w:rsidR="00EB666A" w:rsidRDefault="00EB666A" w:rsidP="00EB666A">
            <w:pPr>
              <w:contextualSpacing/>
              <w:jc w:val="center"/>
            </w:pPr>
            <w:r>
              <w:t>69,3%</w:t>
            </w:r>
          </w:p>
        </w:tc>
        <w:tc>
          <w:tcPr>
            <w:tcW w:w="1843" w:type="dxa"/>
          </w:tcPr>
          <w:p w:rsidR="00EB666A" w:rsidRDefault="00EB666A" w:rsidP="00EB666A">
            <w:pPr>
              <w:contextualSpacing/>
              <w:jc w:val="center"/>
            </w:pPr>
            <w:r>
              <w:t>42,1%</w:t>
            </w:r>
          </w:p>
        </w:tc>
        <w:tc>
          <w:tcPr>
            <w:tcW w:w="2126" w:type="dxa"/>
          </w:tcPr>
          <w:p w:rsidR="00EB666A" w:rsidRDefault="00EB666A" w:rsidP="00EB666A">
            <w:pPr>
              <w:contextualSpacing/>
              <w:jc w:val="center"/>
            </w:pPr>
            <w:r>
              <w:t>60,9%</w:t>
            </w:r>
          </w:p>
        </w:tc>
      </w:tr>
      <w:tr w:rsidR="00EB666A" w:rsidTr="000848D3">
        <w:tc>
          <w:tcPr>
            <w:tcW w:w="2660" w:type="dxa"/>
          </w:tcPr>
          <w:p w:rsidR="00EB666A" w:rsidRDefault="00EB666A" w:rsidP="00EB666A">
            <w:pPr>
              <w:contextualSpacing/>
              <w:jc w:val="both"/>
            </w:pPr>
            <w:r>
              <w:t>Гемодинамічно незначущі стенози, %</w:t>
            </w:r>
          </w:p>
        </w:tc>
        <w:tc>
          <w:tcPr>
            <w:tcW w:w="1843" w:type="dxa"/>
          </w:tcPr>
          <w:p w:rsidR="00EB666A" w:rsidRDefault="00EB666A" w:rsidP="00EB666A">
            <w:pPr>
              <w:contextualSpacing/>
              <w:jc w:val="center"/>
            </w:pPr>
            <w:r>
              <w:t>67%</w:t>
            </w:r>
          </w:p>
        </w:tc>
        <w:tc>
          <w:tcPr>
            <w:tcW w:w="1842" w:type="dxa"/>
          </w:tcPr>
          <w:p w:rsidR="00EB666A" w:rsidRDefault="00EB666A" w:rsidP="00EB666A">
            <w:pPr>
              <w:spacing w:line="360" w:lineRule="auto"/>
              <w:contextualSpacing/>
              <w:jc w:val="center"/>
            </w:pPr>
            <w:r>
              <w:t>30,7%</w:t>
            </w:r>
          </w:p>
        </w:tc>
        <w:tc>
          <w:tcPr>
            <w:tcW w:w="1843" w:type="dxa"/>
          </w:tcPr>
          <w:p w:rsidR="00EB666A" w:rsidRDefault="00EB666A" w:rsidP="00EB666A">
            <w:pPr>
              <w:contextualSpacing/>
              <w:jc w:val="center"/>
            </w:pPr>
            <w:r>
              <w:t>57,9%</w:t>
            </w:r>
          </w:p>
        </w:tc>
        <w:tc>
          <w:tcPr>
            <w:tcW w:w="2126" w:type="dxa"/>
          </w:tcPr>
          <w:p w:rsidR="00EB666A" w:rsidRDefault="00EB666A" w:rsidP="00EB666A">
            <w:pPr>
              <w:spacing w:line="360" w:lineRule="auto"/>
              <w:contextualSpacing/>
              <w:jc w:val="center"/>
            </w:pPr>
            <w:r>
              <w:t>39,1%</w:t>
            </w:r>
          </w:p>
        </w:tc>
      </w:tr>
    </w:tbl>
    <w:p w:rsidR="00EB666A" w:rsidRDefault="00EB666A" w:rsidP="00EB666A">
      <w:pPr>
        <w:spacing w:after="0"/>
        <w:contextualSpacing/>
        <w:jc w:val="both"/>
      </w:pPr>
    </w:p>
    <w:p w:rsidR="00EB666A" w:rsidRDefault="00EB666A" w:rsidP="00244BCA">
      <w:pPr>
        <w:spacing w:after="0" w:line="360" w:lineRule="auto"/>
        <w:ind w:firstLine="720"/>
        <w:contextualSpacing/>
        <w:jc w:val="both"/>
      </w:pPr>
      <w:r>
        <w:t>У ПМША та ПКА частіше констатовано гемодинамічно значущі стенози, в той час коли у ОА та стовбурі ЛКА частка гемодинамічно незначущих стенозів перевищувала таку для гемодинамічно значущих.</w:t>
      </w:r>
    </w:p>
    <w:p w:rsidR="00EB666A" w:rsidRDefault="00EB666A" w:rsidP="00244BCA">
      <w:pPr>
        <w:spacing w:after="0" w:line="360" w:lineRule="auto"/>
        <w:ind w:firstLine="720"/>
        <w:contextualSpacing/>
        <w:jc w:val="both"/>
      </w:pPr>
      <w:r>
        <w:t>Середня кількість уражених судин коронарного русла у хворих на ГІМ та ожиріння складала 2,07±0,19. Кількість уражених сегментів коливалась від 1 до 6 (в середньому 2,9±0,39).</w:t>
      </w:r>
    </w:p>
    <w:p w:rsidR="00EB666A" w:rsidRDefault="00EB666A" w:rsidP="00244BCA">
      <w:pPr>
        <w:spacing w:after="0" w:line="360" w:lineRule="auto"/>
        <w:ind w:firstLine="720"/>
        <w:contextualSpacing/>
        <w:jc w:val="both"/>
      </w:pPr>
      <w:r>
        <w:lastRenderedPageBreak/>
        <w:t>Найбільша вразливість ПМША супроводжувалася наявністю найбільш високих середніх значень стенозів – 77,3%. Результати наведено у таблиці 4.6.</w:t>
      </w:r>
    </w:p>
    <w:p w:rsidR="00EB666A" w:rsidRPr="00931F07" w:rsidRDefault="00EB666A" w:rsidP="00EB666A">
      <w:pPr>
        <w:spacing w:after="0" w:line="360" w:lineRule="auto"/>
        <w:ind w:left="2831"/>
        <w:contextualSpacing/>
        <w:jc w:val="right"/>
        <w:rPr>
          <w:i/>
        </w:rPr>
      </w:pPr>
      <w:r w:rsidRPr="00931F07">
        <w:rPr>
          <w:i/>
        </w:rPr>
        <w:t>Таблиця 4.6</w:t>
      </w:r>
    </w:p>
    <w:p w:rsidR="00EB666A" w:rsidRDefault="00EB666A" w:rsidP="00EB666A">
      <w:pPr>
        <w:spacing w:after="0" w:line="360" w:lineRule="auto"/>
        <w:contextualSpacing/>
        <w:jc w:val="center"/>
      </w:pPr>
      <w:r>
        <w:t>Середні значення стенозів у групі хворих на гострий інфаркт міокарда та ожиріння</w:t>
      </w:r>
    </w:p>
    <w:tbl>
      <w:tblPr>
        <w:tblStyle w:val="ab"/>
        <w:tblW w:w="0" w:type="auto"/>
        <w:tblLook w:val="04A0" w:firstRow="1" w:lastRow="0" w:firstColumn="1" w:lastColumn="0" w:noHBand="0" w:noVBand="1"/>
      </w:tblPr>
      <w:tblGrid>
        <w:gridCol w:w="2660"/>
        <w:gridCol w:w="1843"/>
        <w:gridCol w:w="1842"/>
        <w:gridCol w:w="1843"/>
        <w:gridCol w:w="2126"/>
      </w:tblGrid>
      <w:tr w:rsidR="00EB666A" w:rsidTr="000848D3">
        <w:tc>
          <w:tcPr>
            <w:tcW w:w="2660" w:type="dxa"/>
            <w:vMerge w:val="restart"/>
          </w:tcPr>
          <w:p w:rsidR="00EB666A" w:rsidRDefault="00EB666A" w:rsidP="00EB666A">
            <w:pPr>
              <w:contextualSpacing/>
              <w:jc w:val="center"/>
            </w:pPr>
          </w:p>
        </w:tc>
        <w:tc>
          <w:tcPr>
            <w:tcW w:w="7654" w:type="dxa"/>
            <w:gridSpan w:val="4"/>
          </w:tcPr>
          <w:p w:rsidR="00EB666A" w:rsidRPr="0059087B" w:rsidRDefault="00EB666A" w:rsidP="00EB666A">
            <w:pPr>
              <w:contextualSpacing/>
              <w:jc w:val="center"/>
            </w:pPr>
            <w:r>
              <w:t>Хворі на ГІМ та ожиріння (</w:t>
            </w:r>
            <w:r>
              <w:rPr>
                <w:lang w:val="en-US"/>
              </w:rPr>
              <w:t>n</w:t>
            </w:r>
            <w:r w:rsidRPr="0059087B">
              <w:t>=31)</w:t>
            </w:r>
          </w:p>
        </w:tc>
      </w:tr>
      <w:tr w:rsidR="00EB666A" w:rsidTr="000848D3">
        <w:tc>
          <w:tcPr>
            <w:tcW w:w="2660" w:type="dxa"/>
            <w:vMerge/>
          </w:tcPr>
          <w:p w:rsidR="00EB666A" w:rsidRDefault="00EB666A" w:rsidP="00EB666A">
            <w:pPr>
              <w:contextualSpacing/>
              <w:jc w:val="center"/>
            </w:pPr>
          </w:p>
        </w:tc>
        <w:tc>
          <w:tcPr>
            <w:tcW w:w="1843" w:type="dxa"/>
          </w:tcPr>
          <w:p w:rsidR="00EB666A" w:rsidRDefault="00EB666A" w:rsidP="00EB666A">
            <w:pPr>
              <w:contextualSpacing/>
              <w:jc w:val="center"/>
            </w:pPr>
            <w:r>
              <w:t>Стовбур ЛКА</w:t>
            </w:r>
          </w:p>
        </w:tc>
        <w:tc>
          <w:tcPr>
            <w:tcW w:w="1842" w:type="dxa"/>
          </w:tcPr>
          <w:p w:rsidR="00EB666A" w:rsidRDefault="00EB666A" w:rsidP="00EB666A">
            <w:pPr>
              <w:contextualSpacing/>
              <w:jc w:val="center"/>
            </w:pPr>
            <w:r>
              <w:t>ПМША</w:t>
            </w:r>
          </w:p>
        </w:tc>
        <w:tc>
          <w:tcPr>
            <w:tcW w:w="1843" w:type="dxa"/>
          </w:tcPr>
          <w:p w:rsidR="00EB666A" w:rsidRDefault="00EB666A" w:rsidP="00EB666A">
            <w:pPr>
              <w:contextualSpacing/>
              <w:jc w:val="center"/>
            </w:pPr>
            <w:r>
              <w:t>ОА</w:t>
            </w:r>
          </w:p>
        </w:tc>
        <w:tc>
          <w:tcPr>
            <w:tcW w:w="2126" w:type="dxa"/>
          </w:tcPr>
          <w:p w:rsidR="00EB666A" w:rsidRDefault="00EB666A" w:rsidP="00EB666A">
            <w:pPr>
              <w:contextualSpacing/>
              <w:jc w:val="center"/>
            </w:pPr>
            <w:r>
              <w:t>ПКА</w:t>
            </w:r>
          </w:p>
        </w:tc>
      </w:tr>
      <w:tr w:rsidR="00EB666A" w:rsidTr="000848D3">
        <w:tc>
          <w:tcPr>
            <w:tcW w:w="2660" w:type="dxa"/>
          </w:tcPr>
          <w:p w:rsidR="00EB666A" w:rsidRDefault="00EB666A" w:rsidP="00EB666A">
            <w:pPr>
              <w:contextualSpacing/>
              <w:jc w:val="center"/>
            </w:pPr>
            <w:r>
              <w:t>Середнє значення стеноза у групах, %</w:t>
            </w:r>
          </w:p>
        </w:tc>
        <w:tc>
          <w:tcPr>
            <w:tcW w:w="1843" w:type="dxa"/>
          </w:tcPr>
          <w:p w:rsidR="00EB666A" w:rsidRDefault="00EB666A" w:rsidP="00EB666A">
            <w:pPr>
              <w:contextualSpacing/>
              <w:jc w:val="center"/>
            </w:pPr>
            <w:r>
              <w:t>60%</w:t>
            </w:r>
          </w:p>
        </w:tc>
        <w:tc>
          <w:tcPr>
            <w:tcW w:w="1842" w:type="dxa"/>
          </w:tcPr>
          <w:p w:rsidR="00EB666A" w:rsidRDefault="00EB666A" w:rsidP="00EB666A">
            <w:pPr>
              <w:contextualSpacing/>
              <w:jc w:val="center"/>
            </w:pPr>
            <w:r>
              <w:t>77.3%</w:t>
            </w:r>
          </w:p>
        </w:tc>
        <w:tc>
          <w:tcPr>
            <w:tcW w:w="1843" w:type="dxa"/>
          </w:tcPr>
          <w:p w:rsidR="00EB666A" w:rsidRDefault="00EB666A" w:rsidP="00EB666A">
            <w:pPr>
              <w:contextualSpacing/>
              <w:jc w:val="center"/>
            </w:pPr>
            <w:r>
              <w:t>62,5%</w:t>
            </w:r>
          </w:p>
        </w:tc>
        <w:tc>
          <w:tcPr>
            <w:tcW w:w="2126" w:type="dxa"/>
          </w:tcPr>
          <w:p w:rsidR="00EB666A" w:rsidRDefault="00EB666A" w:rsidP="00EB666A">
            <w:pPr>
              <w:contextualSpacing/>
              <w:jc w:val="center"/>
            </w:pPr>
            <w:r>
              <w:t>68,2%</w:t>
            </w:r>
          </w:p>
        </w:tc>
      </w:tr>
      <w:tr w:rsidR="00EB666A" w:rsidTr="000848D3">
        <w:tc>
          <w:tcPr>
            <w:tcW w:w="2660" w:type="dxa"/>
          </w:tcPr>
          <w:p w:rsidR="00EB666A" w:rsidRDefault="00EB666A" w:rsidP="00EB666A">
            <w:pPr>
              <w:contextualSpacing/>
              <w:jc w:val="center"/>
            </w:pPr>
            <w:r>
              <w:t>Середнє значення гемодинамічно значущих стенозів, %</w:t>
            </w:r>
          </w:p>
        </w:tc>
        <w:tc>
          <w:tcPr>
            <w:tcW w:w="1843" w:type="dxa"/>
          </w:tcPr>
          <w:p w:rsidR="00EB666A" w:rsidRDefault="00EB666A" w:rsidP="00EB666A">
            <w:pPr>
              <w:contextualSpacing/>
              <w:jc w:val="center"/>
            </w:pPr>
            <w:r>
              <w:t>89%</w:t>
            </w:r>
          </w:p>
        </w:tc>
        <w:tc>
          <w:tcPr>
            <w:tcW w:w="1842" w:type="dxa"/>
          </w:tcPr>
          <w:p w:rsidR="00EB666A" w:rsidRDefault="00EB666A" w:rsidP="00EB666A">
            <w:pPr>
              <w:contextualSpacing/>
              <w:jc w:val="center"/>
            </w:pPr>
            <w:r>
              <w:t>89%</w:t>
            </w:r>
          </w:p>
        </w:tc>
        <w:tc>
          <w:tcPr>
            <w:tcW w:w="1843" w:type="dxa"/>
          </w:tcPr>
          <w:p w:rsidR="00EB666A" w:rsidRDefault="00EB666A" w:rsidP="00EB666A">
            <w:pPr>
              <w:contextualSpacing/>
              <w:jc w:val="center"/>
            </w:pPr>
            <w:r>
              <w:t>84,4%</w:t>
            </w:r>
          </w:p>
        </w:tc>
        <w:tc>
          <w:tcPr>
            <w:tcW w:w="2126" w:type="dxa"/>
          </w:tcPr>
          <w:p w:rsidR="00EB666A" w:rsidRDefault="00EB666A" w:rsidP="00EB666A">
            <w:pPr>
              <w:contextualSpacing/>
              <w:jc w:val="center"/>
            </w:pPr>
            <w:r>
              <w:t>87,4%</w:t>
            </w:r>
          </w:p>
        </w:tc>
      </w:tr>
      <w:tr w:rsidR="00EB666A" w:rsidTr="000848D3">
        <w:tc>
          <w:tcPr>
            <w:tcW w:w="2660" w:type="dxa"/>
          </w:tcPr>
          <w:p w:rsidR="00EB666A" w:rsidRDefault="00EB666A" w:rsidP="00EB666A">
            <w:pPr>
              <w:contextualSpacing/>
              <w:jc w:val="center"/>
            </w:pPr>
            <w:r>
              <w:t>Середнє значення гемодинамічно незначущих стенозів, %</w:t>
            </w:r>
          </w:p>
        </w:tc>
        <w:tc>
          <w:tcPr>
            <w:tcW w:w="1843" w:type="dxa"/>
          </w:tcPr>
          <w:p w:rsidR="00EB666A" w:rsidRDefault="00EB666A" w:rsidP="00EB666A">
            <w:pPr>
              <w:contextualSpacing/>
              <w:jc w:val="center"/>
            </w:pPr>
            <w:r>
              <w:t>45%</w:t>
            </w:r>
          </w:p>
        </w:tc>
        <w:tc>
          <w:tcPr>
            <w:tcW w:w="1842" w:type="dxa"/>
          </w:tcPr>
          <w:p w:rsidR="00EB666A" w:rsidRDefault="00EB666A" w:rsidP="00EB666A">
            <w:pPr>
              <w:contextualSpacing/>
              <w:jc w:val="center"/>
            </w:pPr>
            <w:r>
              <w:t>47,5%</w:t>
            </w:r>
          </w:p>
        </w:tc>
        <w:tc>
          <w:tcPr>
            <w:tcW w:w="1843" w:type="dxa"/>
          </w:tcPr>
          <w:p w:rsidR="00EB666A" w:rsidRDefault="00EB666A" w:rsidP="00EB666A">
            <w:pPr>
              <w:contextualSpacing/>
              <w:jc w:val="center"/>
            </w:pPr>
            <w:r>
              <w:t>48,2%</w:t>
            </w:r>
          </w:p>
        </w:tc>
        <w:tc>
          <w:tcPr>
            <w:tcW w:w="2126" w:type="dxa"/>
          </w:tcPr>
          <w:p w:rsidR="00EB666A" w:rsidRDefault="00EB666A" w:rsidP="00EB666A">
            <w:pPr>
              <w:contextualSpacing/>
              <w:jc w:val="center"/>
            </w:pPr>
            <w:r>
              <w:t>42,2%</w:t>
            </w:r>
          </w:p>
        </w:tc>
      </w:tr>
    </w:tbl>
    <w:p w:rsidR="00EB666A" w:rsidRDefault="00EB666A" w:rsidP="00EB666A">
      <w:pPr>
        <w:spacing w:after="0" w:line="360" w:lineRule="auto"/>
        <w:contextualSpacing/>
        <w:jc w:val="both"/>
      </w:pPr>
    </w:p>
    <w:p w:rsidR="00EB666A" w:rsidRDefault="00EB666A" w:rsidP="00D83F81">
      <w:pPr>
        <w:spacing w:after="0" w:line="360" w:lineRule="auto"/>
        <w:ind w:firstLine="720"/>
        <w:contextualSpacing/>
        <w:jc w:val="both"/>
      </w:pPr>
      <w:r>
        <w:t xml:space="preserve">Як видно з таблиці </w:t>
      </w:r>
      <w:r w:rsidR="000848D3">
        <w:rPr>
          <w:lang w:val="ru-RU"/>
        </w:rPr>
        <w:t>4.6</w:t>
      </w:r>
      <w:r>
        <w:t>, на другому місці як за частотою, так і за ступенем ураження знаходиться ПКА, середнє значення стенозу якої склало 68,2%. Деяким чином поступалися таким за ступенем стенозу ОА та стовбур ЛКА, де середні значення стенозу були на рівні 62,5% та 60% відповідно. Середнє значення гемодинамічно значущих стенозів суттєво не відрізнялись у хворих на ГІМ та ожиріння залежно від локалізації ураження і коливались в межах 84,4 – 89%. Подібні результати отримано при вивченні середнього значення гемодинамічно незначущих стенозів, які істотно не відрізнялись у хворих з різною локалізацією ураження.</w:t>
      </w:r>
    </w:p>
    <w:p w:rsidR="00EB666A" w:rsidRDefault="00EB666A" w:rsidP="00D83F81">
      <w:pPr>
        <w:spacing w:after="0" w:line="360" w:lineRule="auto"/>
        <w:ind w:firstLine="720"/>
        <w:contextualSpacing/>
        <w:jc w:val="both"/>
      </w:pPr>
      <w:r>
        <w:t>У таблиці 4.7 представлено дані щодо інформації про інфаркт-залежні коронарні артерії у хворих, що перенесли ГІМ на тлі супутнього ожиріння. Розвиток переважної більшості ГІМ, а саме 57,1%, було обумовлено оклюзією ПМША.</w:t>
      </w:r>
    </w:p>
    <w:p w:rsidR="00D83F81" w:rsidRDefault="00D83F81">
      <w:pPr>
        <w:rPr>
          <w:i/>
        </w:rPr>
      </w:pPr>
      <w:r>
        <w:rPr>
          <w:i/>
        </w:rPr>
        <w:br w:type="page"/>
      </w:r>
    </w:p>
    <w:p w:rsidR="00EB666A" w:rsidRPr="00931F07" w:rsidRDefault="00EB666A" w:rsidP="00EB666A">
      <w:pPr>
        <w:spacing w:after="0" w:line="360" w:lineRule="auto"/>
        <w:ind w:left="7079"/>
        <w:contextualSpacing/>
        <w:jc w:val="right"/>
        <w:rPr>
          <w:i/>
        </w:rPr>
      </w:pPr>
      <w:r w:rsidRPr="00931F07">
        <w:rPr>
          <w:i/>
        </w:rPr>
        <w:lastRenderedPageBreak/>
        <w:t>Таблиця 4.7</w:t>
      </w:r>
    </w:p>
    <w:p w:rsidR="00EB666A" w:rsidRDefault="00EB666A" w:rsidP="00EB666A">
      <w:pPr>
        <w:spacing w:after="0" w:line="360" w:lineRule="auto"/>
        <w:contextualSpacing/>
        <w:jc w:val="center"/>
      </w:pPr>
      <w:r>
        <w:t>Інфаркт-залежні коронарні артерії у хворих на гострий інфаркт міокарда та ожиріння</w:t>
      </w:r>
    </w:p>
    <w:tbl>
      <w:tblPr>
        <w:tblStyle w:val="ab"/>
        <w:tblW w:w="10456" w:type="dxa"/>
        <w:tblLook w:val="04A0" w:firstRow="1" w:lastRow="0" w:firstColumn="1" w:lastColumn="0" w:noHBand="0" w:noVBand="1"/>
      </w:tblPr>
      <w:tblGrid>
        <w:gridCol w:w="3115"/>
        <w:gridCol w:w="3939"/>
        <w:gridCol w:w="3402"/>
      </w:tblGrid>
      <w:tr w:rsidR="00EB666A" w:rsidTr="000848D3">
        <w:trPr>
          <w:trHeight w:val="514"/>
        </w:trPr>
        <w:tc>
          <w:tcPr>
            <w:tcW w:w="3115" w:type="dxa"/>
            <w:vMerge w:val="restart"/>
          </w:tcPr>
          <w:p w:rsidR="00EB666A" w:rsidRDefault="00EB666A" w:rsidP="00D83F81">
            <w:pPr>
              <w:contextualSpacing/>
              <w:jc w:val="both"/>
            </w:pPr>
          </w:p>
        </w:tc>
        <w:tc>
          <w:tcPr>
            <w:tcW w:w="7341" w:type="dxa"/>
            <w:gridSpan w:val="2"/>
          </w:tcPr>
          <w:p w:rsidR="00EB666A" w:rsidRDefault="00EB666A" w:rsidP="00D83F81">
            <w:pPr>
              <w:contextualSpacing/>
              <w:jc w:val="center"/>
            </w:pPr>
            <w:r>
              <w:t>Хворі на ГІМ та ожиріння (</w:t>
            </w:r>
            <w:r>
              <w:rPr>
                <w:lang w:val="en-US"/>
              </w:rPr>
              <w:t>n</w:t>
            </w:r>
            <w:r w:rsidRPr="0059087B">
              <w:t>=31)</w:t>
            </w:r>
          </w:p>
        </w:tc>
      </w:tr>
      <w:tr w:rsidR="00EB666A" w:rsidTr="000848D3">
        <w:trPr>
          <w:trHeight w:val="461"/>
        </w:trPr>
        <w:tc>
          <w:tcPr>
            <w:tcW w:w="3115" w:type="dxa"/>
            <w:vMerge/>
          </w:tcPr>
          <w:p w:rsidR="00EB666A" w:rsidRDefault="00EB666A" w:rsidP="00D83F81">
            <w:pPr>
              <w:contextualSpacing/>
              <w:jc w:val="both"/>
            </w:pPr>
          </w:p>
        </w:tc>
        <w:tc>
          <w:tcPr>
            <w:tcW w:w="3939" w:type="dxa"/>
          </w:tcPr>
          <w:p w:rsidR="00EB666A" w:rsidRDefault="00EB666A" w:rsidP="00D83F81">
            <w:pPr>
              <w:contextualSpacing/>
              <w:jc w:val="center"/>
            </w:pPr>
            <w:r>
              <w:t>Число випадків</w:t>
            </w:r>
          </w:p>
        </w:tc>
        <w:tc>
          <w:tcPr>
            <w:tcW w:w="3402" w:type="dxa"/>
          </w:tcPr>
          <w:p w:rsidR="00EB666A" w:rsidRDefault="00EB666A" w:rsidP="00D83F81">
            <w:pPr>
              <w:contextualSpacing/>
              <w:jc w:val="center"/>
            </w:pPr>
            <w:r>
              <w:t>%</w:t>
            </w:r>
          </w:p>
        </w:tc>
      </w:tr>
      <w:tr w:rsidR="00EB666A" w:rsidTr="000848D3">
        <w:trPr>
          <w:trHeight w:val="552"/>
        </w:trPr>
        <w:tc>
          <w:tcPr>
            <w:tcW w:w="3115" w:type="dxa"/>
          </w:tcPr>
          <w:p w:rsidR="00EB666A" w:rsidRDefault="00EB666A" w:rsidP="00D83F81">
            <w:pPr>
              <w:contextualSpacing/>
              <w:jc w:val="both"/>
            </w:pPr>
            <w:r>
              <w:t>ПМША</w:t>
            </w:r>
          </w:p>
        </w:tc>
        <w:tc>
          <w:tcPr>
            <w:tcW w:w="3939" w:type="dxa"/>
          </w:tcPr>
          <w:p w:rsidR="00EB666A" w:rsidRDefault="00EB666A" w:rsidP="00D83F81">
            <w:pPr>
              <w:contextualSpacing/>
              <w:jc w:val="center"/>
            </w:pPr>
            <w:r>
              <w:t>18</w:t>
            </w:r>
          </w:p>
        </w:tc>
        <w:tc>
          <w:tcPr>
            <w:tcW w:w="3402" w:type="dxa"/>
          </w:tcPr>
          <w:p w:rsidR="00EB666A" w:rsidRDefault="00EB666A" w:rsidP="00D83F81">
            <w:pPr>
              <w:contextualSpacing/>
              <w:jc w:val="center"/>
            </w:pPr>
            <w:r>
              <w:t>57,1%</w:t>
            </w:r>
          </w:p>
        </w:tc>
      </w:tr>
      <w:tr w:rsidR="00EB666A" w:rsidTr="000848D3">
        <w:trPr>
          <w:trHeight w:val="499"/>
        </w:trPr>
        <w:tc>
          <w:tcPr>
            <w:tcW w:w="3115" w:type="dxa"/>
          </w:tcPr>
          <w:p w:rsidR="00EB666A" w:rsidRDefault="00EB666A" w:rsidP="00D83F81">
            <w:pPr>
              <w:contextualSpacing/>
              <w:jc w:val="both"/>
            </w:pPr>
            <w:r>
              <w:t>ПКА</w:t>
            </w:r>
          </w:p>
        </w:tc>
        <w:tc>
          <w:tcPr>
            <w:tcW w:w="3939" w:type="dxa"/>
          </w:tcPr>
          <w:p w:rsidR="00EB666A" w:rsidRDefault="00EB666A" w:rsidP="00D83F81">
            <w:pPr>
              <w:contextualSpacing/>
              <w:jc w:val="center"/>
            </w:pPr>
            <w:r>
              <w:t>9</w:t>
            </w:r>
          </w:p>
        </w:tc>
        <w:tc>
          <w:tcPr>
            <w:tcW w:w="3402" w:type="dxa"/>
          </w:tcPr>
          <w:p w:rsidR="00EB666A" w:rsidRDefault="00EB666A" w:rsidP="00D83F81">
            <w:pPr>
              <w:contextualSpacing/>
              <w:jc w:val="center"/>
            </w:pPr>
            <w:r>
              <w:t>28,6%</w:t>
            </w:r>
          </w:p>
        </w:tc>
      </w:tr>
      <w:tr w:rsidR="00EB666A" w:rsidTr="000848D3">
        <w:trPr>
          <w:trHeight w:val="481"/>
        </w:trPr>
        <w:tc>
          <w:tcPr>
            <w:tcW w:w="3115" w:type="dxa"/>
          </w:tcPr>
          <w:p w:rsidR="00EB666A" w:rsidRDefault="00EB666A" w:rsidP="00D83F81">
            <w:pPr>
              <w:contextualSpacing/>
              <w:jc w:val="both"/>
            </w:pPr>
            <w:r>
              <w:t>Стовбур ЛКА</w:t>
            </w:r>
          </w:p>
        </w:tc>
        <w:tc>
          <w:tcPr>
            <w:tcW w:w="3939" w:type="dxa"/>
          </w:tcPr>
          <w:p w:rsidR="00EB666A" w:rsidRDefault="00EB666A" w:rsidP="00D83F81">
            <w:pPr>
              <w:contextualSpacing/>
              <w:jc w:val="center"/>
            </w:pPr>
            <w:r>
              <w:t>1</w:t>
            </w:r>
          </w:p>
        </w:tc>
        <w:tc>
          <w:tcPr>
            <w:tcW w:w="3402" w:type="dxa"/>
          </w:tcPr>
          <w:p w:rsidR="00EB666A" w:rsidRDefault="00EB666A" w:rsidP="00D83F81">
            <w:pPr>
              <w:contextualSpacing/>
              <w:jc w:val="center"/>
            </w:pPr>
            <w:r>
              <w:t>3,6%</w:t>
            </w:r>
          </w:p>
        </w:tc>
      </w:tr>
      <w:tr w:rsidR="00EB666A" w:rsidTr="000848D3">
        <w:trPr>
          <w:trHeight w:val="433"/>
        </w:trPr>
        <w:tc>
          <w:tcPr>
            <w:tcW w:w="3115" w:type="dxa"/>
          </w:tcPr>
          <w:p w:rsidR="00EB666A" w:rsidRDefault="00EB666A" w:rsidP="00D83F81">
            <w:pPr>
              <w:contextualSpacing/>
              <w:jc w:val="both"/>
            </w:pPr>
            <w:r>
              <w:t>ОА</w:t>
            </w:r>
          </w:p>
        </w:tc>
        <w:tc>
          <w:tcPr>
            <w:tcW w:w="3939" w:type="dxa"/>
          </w:tcPr>
          <w:p w:rsidR="00EB666A" w:rsidRDefault="00EB666A" w:rsidP="00D83F81">
            <w:pPr>
              <w:contextualSpacing/>
              <w:jc w:val="center"/>
            </w:pPr>
            <w:r>
              <w:t>3</w:t>
            </w:r>
          </w:p>
        </w:tc>
        <w:tc>
          <w:tcPr>
            <w:tcW w:w="3402" w:type="dxa"/>
          </w:tcPr>
          <w:p w:rsidR="00EB666A" w:rsidRDefault="00EB666A" w:rsidP="00D83F81">
            <w:pPr>
              <w:contextualSpacing/>
              <w:jc w:val="center"/>
            </w:pPr>
            <w:r>
              <w:t>10,7%</w:t>
            </w:r>
          </w:p>
        </w:tc>
      </w:tr>
    </w:tbl>
    <w:p w:rsidR="00D83F81" w:rsidRDefault="00D83F81" w:rsidP="00D83F81">
      <w:pPr>
        <w:spacing w:after="0" w:line="360" w:lineRule="auto"/>
        <w:ind w:firstLine="720"/>
        <w:contextualSpacing/>
        <w:jc w:val="both"/>
        <w:rPr>
          <w:lang w:val="en-US"/>
        </w:rPr>
      </w:pPr>
    </w:p>
    <w:p w:rsidR="00EB666A" w:rsidRDefault="00EB666A" w:rsidP="00D83F81">
      <w:pPr>
        <w:spacing w:after="0" w:line="360" w:lineRule="auto"/>
        <w:ind w:firstLine="720"/>
        <w:contextualSpacing/>
        <w:jc w:val="both"/>
      </w:pPr>
      <w:r>
        <w:t>Серед магістральних артерій менш часто інфаркт-залежними стали ПКА та ОА з поодинокими випадками для стовбура ЛКА.</w:t>
      </w:r>
    </w:p>
    <w:p w:rsidR="00EB666A" w:rsidRDefault="00EB666A" w:rsidP="00EB666A">
      <w:pPr>
        <w:spacing w:after="0" w:line="360" w:lineRule="auto"/>
        <w:contextualSpacing/>
        <w:jc w:val="both"/>
      </w:pPr>
      <w:r>
        <w:t>При аналізі локалізації ураження інфаркт-залежних коронарних артерій встановлено, що найбільш часто оклюзія була розташована у проксимальній та середній частинах артерій (60,7% та 25% відповідно), менш залученими у патологічний процес були дистальні частини судин – 14,3% випадків. Дані наведено у таблиці 4.8.</w:t>
      </w:r>
    </w:p>
    <w:p w:rsidR="00EB666A" w:rsidRPr="006B2E4D" w:rsidRDefault="00EB666A" w:rsidP="00EB666A">
      <w:pPr>
        <w:spacing w:after="0" w:line="360" w:lineRule="auto"/>
        <w:contextualSpacing/>
        <w:jc w:val="right"/>
        <w:rPr>
          <w:i/>
        </w:rPr>
      </w:pPr>
      <w:r w:rsidRPr="006B2E4D">
        <w:rPr>
          <w:i/>
        </w:rPr>
        <w:t>Таблиця 4.8</w:t>
      </w:r>
    </w:p>
    <w:p w:rsidR="00EB666A" w:rsidRDefault="00EB666A" w:rsidP="00EB666A">
      <w:pPr>
        <w:spacing w:after="0" w:line="360" w:lineRule="auto"/>
        <w:contextualSpacing/>
        <w:jc w:val="center"/>
      </w:pPr>
      <w:r>
        <w:t>Локалізація ураження в інфаркт-залежній коронарній артерії у хворих з гострим інфарктом міокарда та супутнім ожирінням</w:t>
      </w:r>
    </w:p>
    <w:p w:rsidR="00EB666A" w:rsidRDefault="00EB666A" w:rsidP="00EB666A">
      <w:pPr>
        <w:spacing w:after="0"/>
        <w:contextualSpacing/>
        <w:jc w:val="both"/>
      </w:pPr>
    </w:p>
    <w:tbl>
      <w:tblPr>
        <w:tblStyle w:val="ab"/>
        <w:tblW w:w="10314" w:type="dxa"/>
        <w:tblLook w:val="04A0" w:firstRow="1" w:lastRow="0" w:firstColumn="1" w:lastColumn="0" w:noHBand="0" w:noVBand="1"/>
      </w:tblPr>
      <w:tblGrid>
        <w:gridCol w:w="3115"/>
        <w:gridCol w:w="3939"/>
        <w:gridCol w:w="3260"/>
      </w:tblGrid>
      <w:tr w:rsidR="00EB666A" w:rsidTr="000848D3">
        <w:trPr>
          <w:trHeight w:val="494"/>
        </w:trPr>
        <w:tc>
          <w:tcPr>
            <w:tcW w:w="3115" w:type="dxa"/>
            <w:vMerge w:val="restart"/>
          </w:tcPr>
          <w:p w:rsidR="00EB666A" w:rsidRDefault="00EB666A" w:rsidP="00EB666A">
            <w:pPr>
              <w:contextualSpacing/>
              <w:jc w:val="both"/>
            </w:pPr>
            <w:r>
              <w:t>Локалізація в коронарних артеріях</w:t>
            </w:r>
          </w:p>
        </w:tc>
        <w:tc>
          <w:tcPr>
            <w:tcW w:w="7199" w:type="dxa"/>
            <w:gridSpan w:val="2"/>
          </w:tcPr>
          <w:p w:rsidR="00EB666A" w:rsidRDefault="00EB666A" w:rsidP="00EB666A">
            <w:pPr>
              <w:contextualSpacing/>
              <w:jc w:val="center"/>
            </w:pPr>
            <w:r>
              <w:t>Хворі на ГІМ та ожиріння (</w:t>
            </w:r>
            <w:r>
              <w:rPr>
                <w:lang w:val="en-US"/>
              </w:rPr>
              <w:t>n</w:t>
            </w:r>
            <w:r w:rsidRPr="0059087B">
              <w:t>=31)</w:t>
            </w:r>
          </w:p>
        </w:tc>
      </w:tr>
      <w:tr w:rsidR="00EB666A" w:rsidTr="000848D3">
        <w:trPr>
          <w:trHeight w:val="583"/>
        </w:trPr>
        <w:tc>
          <w:tcPr>
            <w:tcW w:w="3115" w:type="dxa"/>
            <w:vMerge/>
          </w:tcPr>
          <w:p w:rsidR="00EB666A" w:rsidRDefault="00EB666A" w:rsidP="00EB666A">
            <w:pPr>
              <w:contextualSpacing/>
              <w:jc w:val="both"/>
            </w:pPr>
          </w:p>
        </w:tc>
        <w:tc>
          <w:tcPr>
            <w:tcW w:w="3939" w:type="dxa"/>
          </w:tcPr>
          <w:p w:rsidR="00EB666A" w:rsidRDefault="00EB666A" w:rsidP="00EB666A">
            <w:pPr>
              <w:contextualSpacing/>
              <w:jc w:val="center"/>
            </w:pPr>
            <w:r>
              <w:t>Число випадків</w:t>
            </w:r>
          </w:p>
        </w:tc>
        <w:tc>
          <w:tcPr>
            <w:tcW w:w="3260" w:type="dxa"/>
          </w:tcPr>
          <w:p w:rsidR="00EB666A" w:rsidRDefault="00EB666A" w:rsidP="00EB666A">
            <w:pPr>
              <w:contextualSpacing/>
              <w:jc w:val="center"/>
            </w:pPr>
            <w:r>
              <w:t>%</w:t>
            </w:r>
          </w:p>
        </w:tc>
      </w:tr>
      <w:tr w:rsidR="00EB666A" w:rsidTr="000848D3">
        <w:trPr>
          <w:trHeight w:val="421"/>
        </w:trPr>
        <w:tc>
          <w:tcPr>
            <w:tcW w:w="3115" w:type="dxa"/>
          </w:tcPr>
          <w:p w:rsidR="00EB666A" w:rsidRDefault="00EB666A" w:rsidP="00EB666A">
            <w:pPr>
              <w:contextualSpacing/>
              <w:jc w:val="both"/>
            </w:pPr>
            <w:r>
              <w:t>Проксимальне</w:t>
            </w:r>
          </w:p>
        </w:tc>
        <w:tc>
          <w:tcPr>
            <w:tcW w:w="3939" w:type="dxa"/>
          </w:tcPr>
          <w:p w:rsidR="00EB666A" w:rsidRDefault="00EB666A" w:rsidP="00EB666A">
            <w:pPr>
              <w:contextualSpacing/>
              <w:jc w:val="center"/>
            </w:pPr>
            <w:r>
              <w:t>19</w:t>
            </w:r>
          </w:p>
        </w:tc>
        <w:tc>
          <w:tcPr>
            <w:tcW w:w="3260" w:type="dxa"/>
          </w:tcPr>
          <w:p w:rsidR="00EB666A" w:rsidRDefault="00EB666A" w:rsidP="00EB666A">
            <w:pPr>
              <w:contextualSpacing/>
              <w:jc w:val="center"/>
            </w:pPr>
            <w:r>
              <w:t>60,7%</w:t>
            </w:r>
          </w:p>
        </w:tc>
      </w:tr>
      <w:tr w:rsidR="00EB666A" w:rsidTr="000848D3">
        <w:trPr>
          <w:trHeight w:val="413"/>
        </w:trPr>
        <w:tc>
          <w:tcPr>
            <w:tcW w:w="3115" w:type="dxa"/>
          </w:tcPr>
          <w:p w:rsidR="00EB666A" w:rsidRDefault="00EB666A" w:rsidP="00EB666A">
            <w:pPr>
              <w:contextualSpacing/>
              <w:jc w:val="both"/>
            </w:pPr>
            <w:r>
              <w:t>Середнє</w:t>
            </w:r>
          </w:p>
        </w:tc>
        <w:tc>
          <w:tcPr>
            <w:tcW w:w="3939" w:type="dxa"/>
          </w:tcPr>
          <w:p w:rsidR="00EB666A" w:rsidRDefault="00EB666A" w:rsidP="00EB666A">
            <w:pPr>
              <w:contextualSpacing/>
              <w:jc w:val="center"/>
            </w:pPr>
            <w:r>
              <w:t>8</w:t>
            </w:r>
          </w:p>
        </w:tc>
        <w:tc>
          <w:tcPr>
            <w:tcW w:w="3260" w:type="dxa"/>
          </w:tcPr>
          <w:p w:rsidR="00EB666A" w:rsidRDefault="00EB666A" w:rsidP="00EB666A">
            <w:pPr>
              <w:contextualSpacing/>
              <w:jc w:val="center"/>
            </w:pPr>
            <w:r>
              <w:t>25%</w:t>
            </w:r>
          </w:p>
        </w:tc>
      </w:tr>
      <w:tr w:rsidR="00EB666A" w:rsidTr="000848D3">
        <w:trPr>
          <w:trHeight w:val="420"/>
        </w:trPr>
        <w:tc>
          <w:tcPr>
            <w:tcW w:w="3115" w:type="dxa"/>
          </w:tcPr>
          <w:p w:rsidR="00EB666A" w:rsidRDefault="00EB666A" w:rsidP="00EB666A">
            <w:pPr>
              <w:contextualSpacing/>
              <w:jc w:val="both"/>
            </w:pPr>
            <w:r>
              <w:t xml:space="preserve">Дистальне </w:t>
            </w:r>
          </w:p>
        </w:tc>
        <w:tc>
          <w:tcPr>
            <w:tcW w:w="3939" w:type="dxa"/>
          </w:tcPr>
          <w:p w:rsidR="00EB666A" w:rsidRDefault="00EB666A" w:rsidP="00EB666A">
            <w:pPr>
              <w:contextualSpacing/>
              <w:jc w:val="center"/>
            </w:pPr>
            <w:r>
              <w:t>4</w:t>
            </w:r>
          </w:p>
        </w:tc>
        <w:tc>
          <w:tcPr>
            <w:tcW w:w="3260" w:type="dxa"/>
          </w:tcPr>
          <w:p w:rsidR="00EB666A" w:rsidRDefault="00EB666A" w:rsidP="00EB666A">
            <w:pPr>
              <w:contextualSpacing/>
              <w:jc w:val="center"/>
            </w:pPr>
            <w:r>
              <w:t>14,3%</w:t>
            </w:r>
          </w:p>
        </w:tc>
      </w:tr>
    </w:tbl>
    <w:p w:rsidR="00EB666A" w:rsidRDefault="00EB666A" w:rsidP="00EB666A">
      <w:pPr>
        <w:spacing w:after="0" w:line="360" w:lineRule="auto"/>
        <w:contextualSpacing/>
        <w:jc w:val="both"/>
      </w:pPr>
      <w:r>
        <w:t xml:space="preserve">Отримані в нашому дослідженні результати щодо частоти ураження різних коронарних артерій свідчать, що у переважній більшості випадків судинна катастрофа відбувалася у ПМША та ПКА. Такі дані узгоджуються з даними світової медичної літератури </w:t>
      </w:r>
      <w:r w:rsidRPr="00F450D8">
        <w:t>[</w:t>
      </w:r>
      <w:r>
        <w:t>1-4</w:t>
      </w:r>
      <w:r w:rsidRPr="00F450D8">
        <w:t>]</w:t>
      </w:r>
      <w:r>
        <w:t>.</w:t>
      </w:r>
    </w:p>
    <w:p w:rsidR="00EB666A" w:rsidRDefault="00EB666A" w:rsidP="00EB666A">
      <w:pPr>
        <w:spacing w:after="0" w:line="360" w:lineRule="auto"/>
        <w:contextualSpacing/>
        <w:jc w:val="both"/>
      </w:pPr>
      <w:r>
        <w:lastRenderedPageBreak/>
        <w:t xml:space="preserve">Згідно дизайну дослідження, хворих було розподілено на групи за ступенем ожиріння. У таблиці 4.9 представлено дані ангіографії. </w:t>
      </w:r>
    </w:p>
    <w:p w:rsidR="00EB666A" w:rsidRPr="006B2E4D" w:rsidRDefault="00EB666A" w:rsidP="00EB666A">
      <w:pPr>
        <w:spacing w:after="0" w:line="360" w:lineRule="auto"/>
        <w:contextualSpacing/>
        <w:jc w:val="right"/>
        <w:rPr>
          <w:i/>
        </w:rPr>
      </w:pPr>
      <w:r w:rsidRPr="006B2E4D">
        <w:rPr>
          <w:i/>
        </w:rPr>
        <w:t>Таблиця 4.9</w:t>
      </w:r>
    </w:p>
    <w:p w:rsidR="00EB666A" w:rsidRDefault="00EB666A" w:rsidP="00EB666A">
      <w:pPr>
        <w:spacing w:after="0" w:line="360" w:lineRule="auto"/>
        <w:contextualSpacing/>
        <w:jc w:val="center"/>
      </w:pPr>
      <w:r>
        <w:t>Ураження коронарного русла у хворих з гострим інфарктом міокарда та різним ступенем ожиріння</w:t>
      </w:r>
    </w:p>
    <w:tbl>
      <w:tblPr>
        <w:tblStyle w:val="ab"/>
        <w:tblW w:w="0" w:type="auto"/>
        <w:tblLook w:val="04A0" w:firstRow="1" w:lastRow="0" w:firstColumn="1" w:lastColumn="0" w:noHBand="0" w:noVBand="1"/>
      </w:tblPr>
      <w:tblGrid>
        <w:gridCol w:w="1456"/>
        <w:gridCol w:w="1337"/>
        <w:gridCol w:w="1832"/>
        <w:gridCol w:w="1800"/>
        <w:gridCol w:w="1763"/>
        <w:gridCol w:w="2126"/>
      </w:tblGrid>
      <w:tr w:rsidR="00EB666A" w:rsidTr="000848D3">
        <w:trPr>
          <w:trHeight w:val="490"/>
        </w:trPr>
        <w:tc>
          <w:tcPr>
            <w:tcW w:w="1456" w:type="dxa"/>
            <w:vMerge w:val="restart"/>
          </w:tcPr>
          <w:p w:rsidR="00EB666A" w:rsidRDefault="00EB666A" w:rsidP="00EB666A">
            <w:pPr>
              <w:contextualSpacing/>
              <w:jc w:val="center"/>
            </w:pPr>
          </w:p>
        </w:tc>
        <w:tc>
          <w:tcPr>
            <w:tcW w:w="8858" w:type="dxa"/>
            <w:gridSpan w:val="5"/>
          </w:tcPr>
          <w:p w:rsidR="00EB666A" w:rsidRDefault="00EB666A" w:rsidP="00EB666A">
            <w:pPr>
              <w:contextualSpacing/>
              <w:jc w:val="center"/>
            </w:pPr>
            <w:r>
              <w:t>Хворі з ГІМ</w:t>
            </w:r>
          </w:p>
        </w:tc>
      </w:tr>
      <w:tr w:rsidR="00EB666A" w:rsidTr="000848D3">
        <w:tc>
          <w:tcPr>
            <w:tcW w:w="1456" w:type="dxa"/>
            <w:vMerge/>
          </w:tcPr>
          <w:p w:rsidR="00EB666A" w:rsidRDefault="00EB666A" w:rsidP="00EB666A">
            <w:pPr>
              <w:contextualSpacing/>
              <w:jc w:val="center"/>
            </w:pPr>
          </w:p>
        </w:tc>
        <w:tc>
          <w:tcPr>
            <w:tcW w:w="1337" w:type="dxa"/>
            <w:vMerge w:val="restart"/>
          </w:tcPr>
          <w:p w:rsidR="00EB666A" w:rsidRDefault="00EB666A" w:rsidP="00EB666A">
            <w:pPr>
              <w:contextualSpacing/>
              <w:jc w:val="center"/>
            </w:pPr>
            <w:r>
              <w:t>Кількість хворих (</w:t>
            </w:r>
            <w:r>
              <w:rPr>
                <w:lang w:val="en-US"/>
              </w:rPr>
              <w:t>n/%</w:t>
            </w:r>
            <w:r>
              <w:t>)</w:t>
            </w:r>
          </w:p>
        </w:tc>
        <w:tc>
          <w:tcPr>
            <w:tcW w:w="1832" w:type="dxa"/>
            <w:vMerge w:val="restart"/>
          </w:tcPr>
          <w:p w:rsidR="00EB666A" w:rsidRDefault="00EB666A" w:rsidP="00EB666A">
            <w:pPr>
              <w:contextualSpacing/>
              <w:jc w:val="center"/>
            </w:pPr>
          </w:p>
          <w:p w:rsidR="00EB666A" w:rsidRDefault="00EB666A" w:rsidP="00EB666A">
            <w:pPr>
              <w:contextualSpacing/>
              <w:jc w:val="center"/>
            </w:pPr>
          </w:p>
          <w:p w:rsidR="00EB666A" w:rsidRDefault="00EB666A" w:rsidP="00EB666A">
            <w:pPr>
              <w:contextualSpacing/>
              <w:jc w:val="center"/>
            </w:pPr>
            <w:r>
              <w:t>Односудинне ураження</w:t>
            </w:r>
          </w:p>
        </w:tc>
        <w:tc>
          <w:tcPr>
            <w:tcW w:w="1800" w:type="dxa"/>
            <w:vMerge w:val="restart"/>
          </w:tcPr>
          <w:p w:rsidR="00EB666A" w:rsidRDefault="00EB666A" w:rsidP="00EB666A">
            <w:pPr>
              <w:contextualSpacing/>
              <w:jc w:val="center"/>
            </w:pPr>
          </w:p>
          <w:p w:rsidR="00EB666A" w:rsidRDefault="00EB666A" w:rsidP="00EB666A">
            <w:pPr>
              <w:contextualSpacing/>
              <w:jc w:val="center"/>
            </w:pPr>
          </w:p>
          <w:p w:rsidR="00EB666A" w:rsidRDefault="00EB666A" w:rsidP="00EB666A">
            <w:pPr>
              <w:contextualSpacing/>
              <w:jc w:val="center"/>
            </w:pPr>
            <w:r>
              <w:t>Двохсудинне ураження</w:t>
            </w:r>
          </w:p>
        </w:tc>
        <w:tc>
          <w:tcPr>
            <w:tcW w:w="3889" w:type="dxa"/>
            <w:gridSpan w:val="2"/>
          </w:tcPr>
          <w:p w:rsidR="00EB666A" w:rsidRDefault="00EB666A" w:rsidP="00EB666A">
            <w:pPr>
              <w:contextualSpacing/>
              <w:jc w:val="center"/>
            </w:pPr>
            <w:r>
              <w:t>Мультисудинне ураження</w:t>
            </w:r>
          </w:p>
        </w:tc>
      </w:tr>
      <w:tr w:rsidR="00EB666A" w:rsidTr="000848D3">
        <w:tc>
          <w:tcPr>
            <w:tcW w:w="1456" w:type="dxa"/>
            <w:vMerge/>
          </w:tcPr>
          <w:p w:rsidR="00EB666A" w:rsidRDefault="00EB666A" w:rsidP="00EB666A">
            <w:pPr>
              <w:contextualSpacing/>
              <w:jc w:val="center"/>
            </w:pPr>
          </w:p>
        </w:tc>
        <w:tc>
          <w:tcPr>
            <w:tcW w:w="1337" w:type="dxa"/>
            <w:vMerge/>
          </w:tcPr>
          <w:p w:rsidR="00EB666A" w:rsidRDefault="00EB666A" w:rsidP="00EB666A">
            <w:pPr>
              <w:contextualSpacing/>
              <w:jc w:val="center"/>
            </w:pPr>
          </w:p>
        </w:tc>
        <w:tc>
          <w:tcPr>
            <w:tcW w:w="1832" w:type="dxa"/>
            <w:vMerge/>
          </w:tcPr>
          <w:p w:rsidR="00EB666A" w:rsidRDefault="00EB666A" w:rsidP="00EB666A">
            <w:pPr>
              <w:contextualSpacing/>
              <w:jc w:val="center"/>
            </w:pPr>
          </w:p>
        </w:tc>
        <w:tc>
          <w:tcPr>
            <w:tcW w:w="1800" w:type="dxa"/>
            <w:vMerge/>
          </w:tcPr>
          <w:p w:rsidR="00EB666A" w:rsidRDefault="00EB666A" w:rsidP="00EB666A">
            <w:pPr>
              <w:contextualSpacing/>
              <w:jc w:val="center"/>
            </w:pPr>
          </w:p>
        </w:tc>
        <w:tc>
          <w:tcPr>
            <w:tcW w:w="1763" w:type="dxa"/>
          </w:tcPr>
          <w:p w:rsidR="00EB666A" w:rsidRDefault="00EB666A" w:rsidP="00EB666A">
            <w:pPr>
              <w:contextualSpacing/>
              <w:jc w:val="center"/>
            </w:pPr>
            <w:r>
              <w:t>3х-судинне ураження</w:t>
            </w:r>
          </w:p>
        </w:tc>
        <w:tc>
          <w:tcPr>
            <w:tcW w:w="2126" w:type="dxa"/>
          </w:tcPr>
          <w:p w:rsidR="00EB666A" w:rsidRDefault="00EB666A" w:rsidP="00EB666A">
            <w:pPr>
              <w:contextualSpacing/>
              <w:jc w:val="center"/>
            </w:pPr>
            <w:r>
              <w:t>4х-судинне ураження</w:t>
            </w:r>
          </w:p>
        </w:tc>
      </w:tr>
      <w:tr w:rsidR="00EB666A" w:rsidTr="000848D3">
        <w:trPr>
          <w:trHeight w:val="569"/>
        </w:trPr>
        <w:tc>
          <w:tcPr>
            <w:tcW w:w="1456" w:type="dxa"/>
          </w:tcPr>
          <w:p w:rsidR="00EB666A" w:rsidRDefault="00EB666A" w:rsidP="00075EE6">
            <w:pPr>
              <w:contextualSpacing/>
              <w:jc w:val="center"/>
            </w:pPr>
            <w:r>
              <w:t xml:space="preserve">Ожиріння </w:t>
            </w:r>
            <w:r w:rsidR="00075EE6">
              <w:rPr>
                <w:lang w:val="en-US"/>
              </w:rPr>
              <w:t>I</w:t>
            </w:r>
            <w:r>
              <w:t xml:space="preserve"> ст.</w:t>
            </w:r>
          </w:p>
        </w:tc>
        <w:tc>
          <w:tcPr>
            <w:tcW w:w="1337" w:type="dxa"/>
          </w:tcPr>
          <w:p w:rsidR="00EB666A" w:rsidRDefault="00EB666A" w:rsidP="00EB666A">
            <w:pPr>
              <w:contextualSpacing/>
              <w:jc w:val="center"/>
            </w:pPr>
            <w:r>
              <w:t>10 / 32%</w:t>
            </w:r>
          </w:p>
        </w:tc>
        <w:tc>
          <w:tcPr>
            <w:tcW w:w="1832" w:type="dxa"/>
          </w:tcPr>
          <w:p w:rsidR="00EB666A" w:rsidRDefault="00EB666A" w:rsidP="00EB666A">
            <w:pPr>
              <w:contextualSpacing/>
              <w:jc w:val="center"/>
            </w:pPr>
            <w:r>
              <w:t>3 / 30%</w:t>
            </w:r>
          </w:p>
        </w:tc>
        <w:tc>
          <w:tcPr>
            <w:tcW w:w="1800" w:type="dxa"/>
          </w:tcPr>
          <w:p w:rsidR="00EB666A" w:rsidRDefault="00EB666A" w:rsidP="00EB666A">
            <w:pPr>
              <w:contextualSpacing/>
              <w:jc w:val="center"/>
            </w:pPr>
            <w:r>
              <w:t>4 / 40 %</w:t>
            </w:r>
          </w:p>
        </w:tc>
        <w:tc>
          <w:tcPr>
            <w:tcW w:w="1763" w:type="dxa"/>
          </w:tcPr>
          <w:p w:rsidR="00EB666A" w:rsidRDefault="00EB666A" w:rsidP="00EB666A">
            <w:pPr>
              <w:contextualSpacing/>
              <w:jc w:val="center"/>
            </w:pPr>
            <w:r>
              <w:t>3 / 30%</w:t>
            </w:r>
          </w:p>
        </w:tc>
        <w:tc>
          <w:tcPr>
            <w:tcW w:w="2126" w:type="dxa"/>
          </w:tcPr>
          <w:p w:rsidR="00EB666A" w:rsidRPr="00FA1760" w:rsidRDefault="00EB666A" w:rsidP="00EB666A">
            <w:pPr>
              <w:jc w:val="center"/>
            </w:pPr>
            <w:r w:rsidRPr="00FA1760">
              <w:t>—</w:t>
            </w:r>
          </w:p>
        </w:tc>
      </w:tr>
      <w:tr w:rsidR="00EB666A" w:rsidTr="000848D3">
        <w:tc>
          <w:tcPr>
            <w:tcW w:w="1456" w:type="dxa"/>
            <w:vMerge w:val="restart"/>
          </w:tcPr>
          <w:p w:rsidR="00EB666A" w:rsidRDefault="00EB666A" w:rsidP="00075EE6">
            <w:pPr>
              <w:contextualSpacing/>
              <w:jc w:val="center"/>
            </w:pPr>
            <w:r>
              <w:t xml:space="preserve">Ожиріння </w:t>
            </w:r>
            <w:r w:rsidR="00075EE6">
              <w:rPr>
                <w:lang w:val="en-US"/>
              </w:rPr>
              <w:t>II</w:t>
            </w:r>
            <w:r>
              <w:t xml:space="preserve"> ст.</w:t>
            </w:r>
          </w:p>
        </w:tc>
        <w:tc>
          <w:tcPr>
            <w:tcW w:w="1337" w:type="dxa"/>
            <w:vMerge w:val="restart"/>
          </w:tcPr>
          <w:p w:rsidR="00EB666A" w:rsidRDefault="00EB666A" w:rsidP="00EB666A">
            <w:pPr>
              <w:contextualSpacing/>
              <w:jc w:val="center"/>
            </w:pPr>
            <w:r>
              <w:t>21 / 68%</w:t>
            </w:r>
          </w:p>
        </w:tc>
        <w:tc>
          <w:tcPr>
            <w:tcW w:w="1832" w:type="dxa"/>
            <w:vMerge w:val="restart"/>
          </w:tcPr>
          <w:p w:rsidR="00EB666A" w:rsidRDefault="00EB666A" w:rsidP="00EB666A">
            <w:pPr>
              <w:contextualSpacing/>
              <w:jc w:val="center"/>
            </w:pPr>
            <w:r>
              <w:t>7 / 33%</w:t>
            </w:r>
          </w:p>
        </w:tc>
        <w:tc>
          <w:tcPr>
            <w:tcW w:w="1800" w:type="dxa"/>
            <w:vMerge w:val="restart"/>
          </w:tcPr>
          <w:p w:rsidR="00EB666A" w:rsidRDefault="00EB666A" w:rsidP="00EB666A">
            <w:pPr>
              <w:contextualSpacing/>
              <w:jc w:val="center"/>
            </w:pPr>
            <w:r>
              <w:t>6 / 29%</w:t>
            </w:r>
          </w:p>
        </w:tc>
        <w:tc>
          <w:tcPr>
            <w:tcW w:w="3889" w:type="dxa"/>
            <w:gridSpan w:val="2"/>
          </w:tcPr>
          <w:p w:rsidR="00EB666A" w:rsidRDefault="00EB666A" w:rsidP="00EB666A">
            <w:pPr>
              <w:contextualSpacing/>
              <w:jc w:val="center"/>
            </w:pPr>
            <w:r>
              <w:t>8 / 38%</w:t>
            </w:r>
          </w:p>
        </w:tc>
      </w:tr>
      <w:tr w:rsidR="00EB666A" w:rsidTr="000848D3">
        <w:tc>
          <w:tcPr>
            <w:tcW w:w="1456" w:type="dxa"/>
            <w:vMerge/>
          </w:tcPr>
          <w:p w:rsidR="00EB666A" w:rsidRDefault="00EB666A" w:rsidP="00EB666A">
            <w:pPr>
              <w:contextualSpacing/>
              <w:jc w:val="center"/>
            </w:pPr>
          </w:p>
        </w:tc>
        <w:tc>
          <w:tcPr>
            <w:tcW w:w="1337" w:type="dxa"/>
            <w:vMerge/>
          </w:tcPr>
          <w:p w:rsidR="00EB666A" w:rsidRDefault="00EB666A" w:rsidP="00EB666A">
            <w:pPr>
              <w:contextualSpacing/>
              <w:jc w:val="center"/>
            </w:pPr>
          </w:p>
        </w:tc>
        <w:tc>
          <w:tcPr>
            <w:tcW w:w="1832" w:type="dxa"/>
            <w:vMerge/>
          </w:tcPr>
          <w:p w:rsidR="00EB666A" w:rsidRDefault="00EB666A" w:rsidP="00EB666A">
            <w:pPr>
              <w:contextualSpacing/>
              <w:jc w:val="center"/>
            </w:pPr>
          </w:p>
        </w:tc>
        <w:tc>
          <w:tcPr>
            <w:tcW w:w="1800" w:type="dxa"/>
            <w:vMerge/>
          </w:tcPr>
          <w:p w:rsidR="00EB666A" w:rsidRDefault="00EB666A" w:rsidP="00EB666A">
            <w:pPr>
              <w:contextualSpacing/>
              <w:jc w:val="center"/>
            </w:pPr>
          </w:p>
        </w:tc>
        <w:tc>
          <w:tcPr>
            <w:tcW w:w="1763" w:type="dxa"/>
          </w:tcPr>
          <w:p w:rsidR="00EB666A" w:rsidRDefault="00EB666A" w:rsidP="00EB666A">
            <w:pPr>
              <w:contextualSpacing/>
              <w:jc w:val="center"/>
            </w:pPr>
            <w:r>
              <w:t>6 / 29%</w:t>
            </w:r>
          </w:p>
        </w:tc>
        <w:tc>
          <w:tcPr>
            <w:tcW w:w="2126" w:type="dxa"/>
          </w:tcPr>
          <w:p w:rsidR="00EB666A" w:rsidRDefault="00EB666A" w:rsidP="00EB666A">
            <w:pPr>
              <w:contextualSpacing/>
              <w:jc w:val="center"/>
            </w:pPr>
            <w:r>
              <w:t>2 / 9%</w:t>
            </w:r>
          </w:p>
        </w:tc>
      </w:tr>
    </w:tbl>
    <w:p w:rsidR="00EB666A" w:rsidRDefault="00EB666A" w:rsidP="00EB666A">
      <w:pPr>
        <w:spacing w:after="0"/>
        <w:contextualSpacing/>
        <w:jc w:val="both"/>
      </w:pPr>
    </w:p>
    <w:p w:rsidR="00EB666A" w:rsidRDefault="00EB666A" w:rsidP="00D83F81">
      <w:pPr>
        <w:spacing w:after="0" w:line="360" w:lineRule="auto"/>
        <w:ind w:firstLine="720"/>
        <w:contextualSpacing/>
        <w:jc w:val="both"/>
      </w:pPr>
      <w:r>
        <w:t xml:space="preserve">При співставленні частоти односудинного ураження у хворих з ГІМ, що мали ожиріння </w:t>
      </w:r>
      <w:r w:rsidR="00075EE6">
        <w:rPr>
          <w:lang w:val="en-US"/>
        </w:rPr>
        <w:t>I</w:t>
      </w:r>
      <w:r>
        <w:t xml:space="preserve"> або </w:t>
      </w:r>
      <w:r w:rsidR="00075EE6">
        <w:rPr>
          <w:lang w:val="en-US"/>
        </w:rPr>
        <w:t>II</w:t>
      </w:r>
      <w:r w:rsidR="00075EE6" w:rsidRPr="00075EE6">
        <w:rPr>
          <w:lang w:val="ru-RU"/>
        </w:rPr>
        <w:t>-</w:t>
      </w:r>
      <w:r w:rsidR="00075EE6">
        <w:rPr>
          <w:lang w:val="en-US"/>
        </w:rPr>
        <w:t>III</w:t>
      </w:r>
      <w:r>
        <w:t xml:space="preserve"> ступеня, істотних відмінностей виявлено не було. У хворих на ГІМ та ожиріння 1 ступеня, порівняно з хворими, що мали ожиріння </w:t>
      </w:r>
      <w:r w:rsidR="00075EE6">
        <w:rPr>
          <w:lang w:val="en-US"/>
        </w:rPr>
        <w:t>II</w:t>
      </w:r>
      <w:r w:rsidR="00075EE6" w:rsidRPr="00075EE6">
        <w:rPr>
          <w:lang w:val="ru-RU"/>
        </w:rPr>
        <w:t>-</w:t>
      </w:r>
      <w:r w:rsidR="00075EE6">
        <w:rPr>
          <w:lang w:val="en-US"/>
        </w:rPr>
        <w:t>III</w:t>
      </w:r>
      <w:r>
        <w:t xml:space="preserve"> ступеня, знайдено деяке зростання відсотка хворих з двохсудинним ураженням. Мультисудинне ураження істотно не відрізнялось у хворих з різним ступенем ожиріння, що супроводжувало ГІМ. Деяке зростання відсотка хворих з мультисудинним залученням до атеросклеротичного процессу у хворих з ожирінням </w:t>
      </w:r>
      <w:r w:rsidR="00075EE6">
        <w:rPr>
          <w:lang w:val="en-US"/>
        </w:rPr>
        <w:t>II</w:t>
      </w:r>
      <w:r w:rsidR="00075EE6" w:rsidRPr="00075EE6">
        <w:t>-</w:t>
      </w:r>
      <w:r w:rsidR="00075EE6">
        <w:rPr>
          <w:lang w:val="en-US"/>
        </w:rPr>
        <w:t>III</w:t>
      </w:r>
      <w:r>
        <w:t xml:space="preserve"> ступеня при зіставленні з ожирінням </w:t>
      </w:r>
      <w:r w:rsidR="00075EE6">
        <w:rPr>
          <w:lang w:val="en-US"/>
        </w:rPr>
        <w:t>I</w:t>
      </w:r>
      <w:r>
        <w:t xml:space="preserve"> ступеня при ГІМ (38% проти 30%) обумовлено наявністю чотирьохсудинного ураження у 9% хворих, яке відсутнє у хворих на ГІМ на тлі ожиріння </w:t>
      </w:r>
      <w:r w:rsidR="00075EE6">
        <w:rPr>
          <w:lang w:val="en-US"/>
        </w:rPr>
        <w:t>I</w:t>
      </w:r>
      <w:r>
        <w:t xml:space="preserve"> ступеня.</w:t>
      </w:r>
    </w:p>
    <w:p w:rsidR="00EB666A" w:rsidRDefault="00EB666A" w:rsidP="00EB666A">
      <w:pPr>
        <w:spacing w:after="0" w:line="360" w:lineRule="auto"/>
        <w:contextualSpacing/>
        <w:jc w:val="both"/>
      </w:pPr>
      <w:r>
        <w:t xml:space="preserve">У хворих з ГІМ та ожирінням </w:t>
      </w:r>
      <w:r w:rsidR="00075EE6">
        <w:rPr>
          <w:lang w:val="en-US"/>
        </w:rPr>
        <w:t>I</w:t>
      </w:r>
      <w:r>
        <w:t xml:space="preserve"> ступеня середня кількість гемодинамічно значущих та незначущих стенозів була співставна з аналоговими значеннями у хворих на ГІМ та ожиріння </w:t>
      </w:r>
      <w:r w:rsidR="00075EE6">
        <w:rPr>
          <w:lang w:val="en-US"/>
        </w:rPr>
        <w:t>II</w:t>
      </w:r>
      <w:r w:rsidR="00075EE6" w:rsidRPr="00075EE6">
        <w:rPr>
          <w:lang w:val="ru-RU"/>
        </w:rPr>
        <w:t>-</w:t>
      </w:r>
      <w:r w:rsidR="00075EE6">
        <w:rPr>
          <w:lang w:val="en-US"/>
        </w:rPr>
        <w:t>III</w:t>
      </w:r>
      <w:r>
        <w:t xml:space="preserve"> ступеня. Результати наведено у таблиці 4.10.</w:t>
      </w:r>
      <w:r>
        <w:br w:type="page"/>
      </w:r>
    </w:p>
    <w:p w:rsidR="00EB666A" w:rsidRPr="00425356" w:rsidRDefault="00EB666A" w:rsidP="00EB666A">
      <w:pPr>
        <w:spacing w:after="0"/>
        <w:contextualSpacing/>
        <w:jc w:val="right"/>
        <w:rPr>
          <w:i/>
        </w:rPr>
      </w:pPr>
      <w:r w:rsidRPr="00425356">
        <w:rPr>
          <w:i/>
        </w:rPr>
        <w:lastRenderedPageBreak/>
        <w:t>Таблиця 4.10</w:t>
      </w:r>
    </w:p>
    <w:p w:rsidR="00EB666A" w:rsidRDefault="00EB666A" w:rsidP="00EB666A">
      <w:pPr>
        <w:spacing w:after="0" w:line="360" w:lineRule="auto"/>
        <w:contextualSpacing/>
        <w:jc w:val="center"/>
      </w:pPr>
      <w:r>
        <w:t>Середнє значення стенозів та кількість уражених судин та/або сегментів у хворих з гострим інфарктом міокарда та різним ступенем ожиріння</w:t>
      </w:r>
    </w:p>
    <w:tbl>
      <w:tblPr>
        <w:tblStyle w:val="ab"/>
        <w:tblW w:w="0" w:type="auto"/>
        <w:tblLook w:val="04A0" w:firstRow="1" w:lastRow="0" w:firstColumn="1" w:lastColumn="0" w:noHBand="0" w:noVBand="1"/>
      </w:tblPr>
      <w:tblGrid>
        <w:gridCol w:w="3115"/>
        <w:gridCol w:w="3656"/>
        <w:gridCol w:w="3543"/>
      </w:tblGrid>
      <w:tr w:rsidR="00EB666A" w:rsidTr="000848D3">
        <w:tc>
          <w:tcPr>
            <w:tcW w:w="3115" w:type="dxa"/>
            <w:vMerge w:val="restart"/>
          </w:tcPr>
          <w:p w:rsidR="00EB666A" w:rsidRDefault="00EB666A" w:rsidP="00EB666A">
            <w:pPr>
              <w:contextualSpacing/>
              <w:jc w:val="both"/>
            </w:pPr>
          </w:p>
          <w:p w:rsidR="00EB666A" w:rsidRDefault="00EB666A" w:rsidP="00EB666A">
            <w:pPr>
              <w:contextualSpacing/>
              <w:jc w:val="center"/>
            </w:pPr>
            <w:r>
              <w:t>Показник</w:t>
            </w:r>
          </w:p>
        </w:tc>
        <w:tc>
          <w:tcPr>
            <w:tcW w:w="7199" w:type="dxa"/>
            <w:gridSpan w:val="2"/>
          </w:tcPr>
          <w:p w:rsidR="00EB666A" w:rsidRDefault="00EB666A" w:rsidP="00EB666A">
            <w:pPr>
              <w:contextualSpacing/>
              <w:jc w:val="center"/>
            </w:pPr>
            <w:r>
              <w:t>Хворі на ГІМ</w:t>
            </w:r>
          </w:p>
        </w:tc>
      </w:tr>
      <w:tr w:rsidR="00EB666A" w:rsidTr="000848D3">
        <w:trPr>
          <w:trHeight w:val="585"/>
        </w:trPr>
        <w:tc>
          <w:tcPr>
            <w:tcW w:w="3115" w:type="dxa"/>
            <w:vMerge/>
          </w:tcPr>
          <w:p w:rsidR="00EB666A" w:rsidRDefault="00EB666A" w:rsidP="00EB666A">
            <w:pPr>
              <w:contextualSpacing/>
              <w:jc w:val="both"/>
            </w:pPr>
          </w:p>
        </w:tc>
        <w:tc>
          <w:tcPr>
            <w:tcW w:w="3656" w:type="dxa"/>
          </w:tcPr>
          <w:p w:rsidR="00EB666A" w:rsidRDefault="00EB666A" w:rsidP="00EB666A">
            <w:pPr>
              <w:contextualSpacing/>
              <w:jc w:val="center"/>
            </w:pPr>
            <w:r>
              <w:t xml:space="preserve">Ожиріння </w:t>
            </w:r>
            <w:r>
              <w:rPr>
                <w:lang w:val="en-US"/>
              </w:rPr>
              <w:t>I</w:t>
            </w:r>
            <w:r>
              <w:t xml:space="preserve"> ст.</w:t>
            </w:r>
          </w:p>
        </w:tc>
        <w:tc>
          <w:tcPr>
            <w:tcW w:w="3543" w:type="dxa"/>
          </w:tcPr>
          <w:p w:rsidR="00EB666A" w:rsidRDefault="00EB666A" w:rsidP="00EB666A">
            <w:pPr>
              <w:contextualSpacing/>
              <w:jc w:val="center"/>
            </w:pPr>
            <w:r>
              <w:t xml:space="preserve">Ожиріння </w:t>
            </w:r>
            <w:r>
              <w:rPr>
                <w:lang w:val="en-US"/>
              </w:rPr>
              <w:t>II-III</w:t>
            </w:r>
            <w:r>
              <w:t xml:space="preserve"> ст.</w:t>
            </w:r>
          </w:p>
        </w:tc>
      </w:tr>
      <w:tr w:rsidR="00EB666A" w:rsidTr="000848D3">
        <w:tc>
          <w:tcPr>
            <w:tcW w:w="3115" w:type="dxa"/>
          </w:tcPr>
          <w:p w:rsidR="00EB666A" w:rsidRDefault="00EB666A" w:rsidP="00EB666A">
            <w:pPr>
              <w:contextualSpacing/>
              <w:jc w:val="center"/>
            </w:pPr>
            <w:r>
              <w:t>Середня кількість гемодинамічно значущих стенозів</w:t>
            </w:r>
          </w:p>
        </w:tc>
        <w:tc>
          <w:tcPr>
            <w:tcW w:w="3656" w:type="dxa"/>
          </w:tcPr>
          <w:p w:rsidR="00EB666A" w:rsidRDefault="00EB666A" w:rsidP="00EB666A">
            <w:pPr>
              <w:contextualSpacing/>
              <w:jc w:val="center"/>
            </w:pPr>
            <w:r>
              <w:t>1,7±0,24</w:t>
            </w:r>
          </w:p>
        </w:tc>
        <w:tc>
          <w:tcPr>
            <w:tcW w:w="3543" w:type="dxa"/>
          </w:tcPr>
          <w:p w:rsidR="00EB666A" w:rsidRDefault="00EB666A" w:rsidP="00EB666A">
            <w:pPr>
              <w:contextualSpacing/>
              <w:jc w:val="center"/>
            </w:pPr>
            <w:r>
              <w:t>2,01±0,53</w:t>
            </w:r>
          </w:p>
          <w:p w:rsidR="00EB666A" w:rsidRPr="00CB0145" w:rsidRDefault="00EB666A" w:rsidP="00EB666A">
            <w:pPr>
              <w:contextualSpacing/>
              <w:jc w:val="center"/>
              <w:rPr>
                <w:lang w:val="en-US"/>
              </w:rPr>
            </w:pPr>
            <w:r>
              <w:rPr>
                <w:lang w:val="en-US"/>
              </w:rPr>
              <w:t>p&gt;0</w:t>
            </w:r>
            <w:r>
              <w:t>,</w:t>
            </w:r>
            <w:r>
              <w:rPr>
                <w:lang w:val="en-US"/>
              </w:rPr>
              <w:t>05</w:t>
            </w:r>
          </w:p>
        </w:tc>
      </w:tr>
      <w:tr w:rsidR="00EB666A" w:rsidTr="000848D3">
        <w:tc>
          <w:tcPr>
            <w:tcW w:w="3115" w:type="dxa"/>
          </w:tcPr>
          <w:p w:rsidR="00EB666A" w:rsidRDefault="00EB666A" w:rsidP="00EB666A">
            <w:pPr>
              <w:contextualSpacing/>
              <w:jc w:val="center"/>
            </w:pPr>
            <w:r>
              <w:t>Середня кількість гемодинамічно незначущих стенозів</w:t>
            </w:r>
          </w:p>
        </w:tc>
        <w:tc>
          <w:tcPr>
            <w:tcW w:w="3656" w:type="dxa"/>
          </w:tcPr>
          <w:p w:rsidR="00EB666A" w:rsidRDefault="00EB666A" w:rsidP="00EB666A">
            <w:pPr>
              <w:contextualSpacing/>
              <w:jc w:val="center"/>
            </w:pPr>
            <w:r>
              <w:t>1,14±0,55</w:t>
            </w:r>
          </w:p>
        </w:tc>
        <w:tc>
          <w:tcPr>
            <w:tcW w:w="3543" w:type="dxa"/>
          </w:tcPr>
          <w:p w:rsidR="00EB666A" w:rsidRDefault="00EB666A" w:rsidP="00EB666A">
            <w:pPr>
              <w:contextualSpacing/>
              <w:jc w:val="center"/>
            </w:pPr>
            <w:r>
              <w:t>1,2±0,32</w:t>
            </w:r>
          </w:p>
          <w:p w:rsidR="00EB666A" w:rsidRDefault="00EB666A" w:rsidP="00EB666A">
            <w:pPr>
              <w:contextualSpacing/>
              <w:jc w:val="center"/>
            </w:pPr>
            <w:r>
              <w:rPr>
                <w:lang w:val="en-US"/>
              </w:rPr>
              <w:t>p&gt;0</w:t>
            </w:r>
            <w:r>
              <w:t>,</w:t>
            </w:r>
            <w:r>
              <w:rPr>
                <w:lang w:val="en-US"/>
              </w:rPr>
              <w:t>05</w:t>
            </w:r>
          </w:p>
        </w:tc>
      </w:tr>
      <w:tr w:rsidR="00EB666A" w:rsidTr="000848D3">
        <w:trPr>
          <w:trHeight w:val="863"/>
        </w:trPr>
        <w:tc>
          <w:tcPr>
            <w:tcW w:w="3115" w:type="dxa"/>
          </w:tcPr>
          <w:p w:rsidR="00EB666A" w:rsidRDefault="00EB666A" w:rsidP="00EB666A">
            <w:pPr>
              <w:contextualSpacing/>
              <w:jc w:val="center"/>
            </w:pPr>
            <w:r>
              <w:t>Середня кількість уражених судин</w:t>
            </w:r>
          </w:p>
        </w:tc>
        <w:tc>
          <w:tcPr>
            <w:tcW w:w="3656" w:type="dxa"/>
          </w:tcPr>
          <w:p w:rsidR="00EB666A" w:rsidRDefault="00EB666A" w:rsidP="00EB666A">
            <w:pPr>
              <w:contextualSpacing/>
              <w:jc w:val="center"/>
            </w:pPr>
            <w:r>
              <w:t>2,02±0,38</w:t>
            </w:r>
          </w:p>
        </w:tc>
        <w:tc>
          <w:tcPr>
            <w:tcW w:w="3543" w:type="dxa"/>
          </w:tcPr>
          <w:p w:rsidR="00EB666A" w:rsidRDefault="00EB666A" w:rsidP="00EB666A">
            <w:pPr>
              <w:contextualSpacing/>
              <w:jc w:val="center"/>
            </w:pPr>
            <w:r>
              <w:t>2,1±0,24</w:t>
            </w:r>
          </w:p>
          <w:p w:rsidR="00EB666A" w:rsidRDefault="00EB666A" w:rsidP="00EB666A">
            <w:pPr>
              <w:contextualSpacing/>
              <w:jc w:val="center"/>
            </w:pPr>
            <w:r>
              <w:rPr>
                <w:lang w:val="en-US"/>
              </w:rPr>
              <w:t>p&gt;0</w:t>
            </w:r>
            <w:r>
              <w:t>,</w:t>
            </w:r>
            <w:r>
              <w:rPr>
                <w:lang w:val="en-US"/>
              </w:rPr>
              <w:t>05</w:t>
            </w:r>
          </w:p>
        </w:tc>
      </w:tr>
      <w:tr w:rsidR="00EB666A" w:rsidTr="000848D3">
        <w:trPr>
          <w:trHeight w:val="915"/>
        </w:trPr>
        <w:tc>
          <w:tcPr>
            <w:tcW w:w="3115" w:type="dxa"/>
          </w:tcPr>
          <w:p w:rsidR="00EB666A" w:rsidRDefault="00EB666A" w:rsidP="00EB666A">
            <w:pPr>
              <w:contextualSpacing/>
              <w:jc w:val="center"/>
            </w:pPr>
            <w:r>
              <w:t>Середня кількість уражених сегментів</w:t>
            </w:r>
          </w:p>
        </w:tc>
        <w:tc>
          <w:tcPr>
            <w:tcW w:w="3656" w:type="dxa"/>
          </w:tcPr>
          <w:p w:rsidR="00EB666A" w:rsidRDefault="00EB666A" w:rsidP="00EB666A">
            <w:pPr>
              <w:contextualSpacing/>
              <w:jc w:val="center"/>
            </w:pPr>
            <w:r>
              <w:t>2,9±0,45</w:t>
            </w:r>
          </w:p>
        </w:tc>
        <w:tc>
          <w:tcPr>
            <w:tcW w:w="3543" w:type="dxa"/>
          </w:tcPr>
          <w:p w:rsidR="00EB666A" w:rsidRDefault="00EB666A" w:rsidP="00EB666A">
            <w:pPr>
              <w:contextualSpacing/>
              <w:jc w:val="center"/>
            </w:pPr>
            <w:r>
              <w:t>3,14±0,79</w:t>
            </w:r>
          </w:p>
          <w:p w:rsidR="00EB666A" w:rsidRDefault="00EB666A" w:rsidP="00EB666A">
            <w:pPr>
              <w:contextualSpacing/>
              <w:jc w:val="center"/>
            </w:pPr>
            <w:r>
              <w:rPr>
                <w:lang w:val="en-US"/>
              </w:rPr>
              <w:t>p&gt;0</w:t>
            </w:r>
            <w:r>
              <w:t>,</w:t>
            </w:r>
            <w:r>
              <w:rPr>
                <w:lang w:val="en-US"/>
              </w:rPr>
              <w:t>05</w:t>
            </w:r>
          </w:p>
        </w:tc>
      </w:tr>
    </w:tbl>
    <w:p w:rsidR="00EB666A" w:rsidRPr="005B6FCC" w:rsidRDefault="00EB666A" w:rsidP="00D83F81">
      <w:pPr>
        <w:spacing w:after="0" w:line="360" w:lineRule="auto"/>
        <w:ind w:firstLine="720"/>
        <w:contextualSpacing/>
        <w:jc w:val="both"/>
      </w:pPr>
      <w:r>
        <w:t xml:space="preserve">Середня кількість уражених судин та/або сегментів у хворих на ГІМ на тлі ожиріння </w:t>
      </w:r>
      <w:r w:rsidR="00075EE6">
        <w:rPr>
          <w:lang w:val="en-US"/>
        </w:rPr>
        <w:t>I</w:t>
      </w:r>
      <w:r>
        <w:t xml:space="preserve"> ступеня відповідала такій у хворих на ГІМ та ожиріння </w:t>
      </w:r>
      <w:r w:rsidR="00075EE6">
        <w:rPr>
          <w:lang w:val="en-US"/>
        </w:rPr>
        <w:t>II</w:t>
      </w:r>
      <w:r w:rsidR="00075EE6" w:rsidRPr="00075EE6">
        <w:rPr>
          <w:lang w:val="ru-RU"/>
        </w:rPr>
        <w:t>-</w:t>
      </w:r>
      <w:r w:rsidR="00075EE6">
        <w:rPr>
          <w:lang w:val="en-US"/>
        </w:rPr>
        <w:t>III</w:t>
      </w:r>
      <w:r>
        <w:t xml:space="preserve"> ступеня. Тобто хворі з ГІМ та різним ступенем тяжкості ожиріння не мали достовірної різниці за параметрами ангіографічного обстеження коронарного русла, а саме кількістю гемодинамічно значущих та незначущих стенозів, середньою кількістю уражених судин та/або сегментів.</w:t>
      </w:r>
    </w:p>
    <w:p w:rsidR="00EB666A" w:rsidRDefault="00EB666A" w:rsidP="00EB666A">
      <w:pPr>
        <w:spacing w:after="0" w:line="360" w:lineRule="auto"/>
        <w:ind w:firstLine="720"/>
        <w:jc w:val="both"/>
      </w:pPr>
      <w:r w:rsidRPr="00D66554">
        <w:t xml:space="preserve">З метою оцінки змін параметрів, що відображають ураження коронарних артерій за даними КВГ у хворих з ГІМ та ожирінням, ми розподілили дані про вище згадувані показники згідно квартілей галектину-3. </w:t>
      </w:r>
      <w:r>
        <w:t>Ре</w:t>
      </w:r>
      <w:r w:rsidR="000848D3">
        <w:t>зультати представлені у таблиці</w:t>
      </w:r>
      <w:r w:rsidR="000848D3">
        <w:rPr>
          <w:lang w:val="ru-RU"/>
        </w:rPr>
        <w:t> 4</w:t>
      </w:r>
      <w:r>
        <w:t>.11</w:t>
      </w:r>
      <w:r w:rsidRPr="005F1DC2">
        <w:t>.</w:t>
      </w:r>
    </w:p>
    <w:p w:rsidR="00EB666A" w:rsidRDefault="00EB666A" w:rsidP="00EB666A">
      <w:pPr>
        <w:spacing w:after="0" w:line="360" w:lineRule="auto"/>
        <w:ind w:firstLine="567"/>
        <w:jc w:val="both"/>
      </w:pPr>
      <w:r>
        <w:t xml:space="preserve">У хворих з ГІМ та ожирінням при порівнянні 1 квартіля рівня галектину-3 та 2 квартіля достовірних відмінностей знайдено не було за кількістю уражених судин. Подібні результати отримано при зіставленні 2 та 3 квартілей рівня галектину-3, а також 3 та 4 квартілей концентрації галектину-3. Порівняння кількості ураження судин у хворих з ГІМ та ожирінням 1 квартіля рівнів галектину-3 і 3 квартіля </w:t>
      </w:r>
      <w:r>
        <w:lastRenderedPageBreak/>
        <w:t>виявило відмінності у вигляді достовірного зростання даного параметра у 3 квартілі рівнів галектину-3 (р</w:t>
      </w:r>
      <w:r w:rsidRPr="001F43EA">
        <w:t>&lt;0,01</w:t>
      </w:r>
      <w:r>
        <w:t>). Що стосується зіставлення 1 та 4 квартілей концентрації галектину-3, знайдено  вірогідні відмінності у бік зростання кількості уражених судин у 4 квартілі рівнів галектину-3 (р</w:t>
      </w:r>
      <w:r w:rsidRPr="001F43EA">
        <w:t>&lt;0,01</w:t>
      </w:r>
      <w:r>
        <w:t>).</w:t>
      </w:r>
    </w:p>
    <w:p w:rsidR="00EB666A" w:rsidRPr="006C0A1F" w:rsidRDefault="00EB666A" w:rsidP="00EB666A">
      <w:pPr>
        <w:spacing w:after="0" w:line="360" w:lineRule="auto"/>
        <w:ind w:left="7200"/>
        <w:jc w:val="right"/>
        <w:rPr>
          <w:i/>
        </w:rPr>
      </w:pPr>
      <w:r w:rsidRPr="006C0A1F">
        <w:rPr>
          <w:i/>
        </w:rPr>
        <w:t>Таблиця 4.11</w:t>
      </w:r>
    </w:p>
    <w:p w:rsidR="00EB666A" w:rsidRDefault="00EB666A" w:rsidP="00EB666A">
      <w:pPr>
        <w:spacing w:after="0" w:line="360" w:lineRule="auto"/>
        <w:ind w:firstLine="567"/>
        <w:jc w:val="center"/>
      </w:pPr>
      <w:r>
        <w:t>Стан коронарних артерій у хворих з гострим інфарктом міокарда та ожирінням залежно від концентрації галектину-3</w:t>
      </w:r>
    </w:p>
    <w:tbl>
      <w:tblPr>
        <w:tblStyle w:val="ab"/>
        <w:tblW w:w="0" w:type="auto"/>
        <w:tblLook w:val="04A0" w:firstRow="1" w:lastRow="0" w:firstColumn="1" w:lastColumn="0" w:noHBand="0" w:noVBand="1"/>
      </w:tblPr>
      <w:tblGrid>
        <w:gridCol w:w="1914"/>
        <w:gridCol w:w="2305"/>
        <w:gridCol w:w="1985"/>
        <w:gridCol w:w="1984"/>
        <w:gridCol w:w="2126"/>
      </w:tblGrid>
      <w:tr w:rsidR="00EB666A" w:rsidTr="000848D3">
        <w:tc>
          <w:tcPr>
            <w:tcW w:w="1914" w:type="dxa"/>
            <w:vMerge w:val="restart"/>
          </w:tcPr>
          <w:p w:rsidR="00EB666A" w:rsidRDefault="00EB666A" w:rsidP="00D83F81">
            <w:pPr>
              <w:spacing w:line="276" w:lineRule="auto"/>
            </w:pPr>
          </w:p>
          <w:p w:rsidR="00EB666A" w:rsidRDefault="00EB666A" w:rsidP="00D83F81">
            <w:pPr>
              <w:spacing w:line="276" w:lineRule="auto"/>
            </w:pPr>
            <w:r>
              <w:t>Показник, одиниця виміру</w:t>
            </w:r>
          </w:p>
        </w:tc>
        <w:tc>
          <w:tcPr>
            <w:tcW w:w="8400" w:type="dxa"/>
            <w:gridSpan w:val="4"/>
          </w:tcPr>
          <w:p w:rsidR="00EB666A" w:rsidRDefault="00EB666A" w:rsidP="00D83F81">
            <w:pPr>
              <w:spacing w:line="276" w:lineRule="auto"/>
            </w:pPr>
            <w:r>
              <w:t>Концентрація галектину-3 у хворих з ГІМ та ожирінням</w:t>
            </w:r>
          </w:p>
        </w:tc>
      </w:tr>
      <w:tr w:rsidR="00EB666A" w:rsidTr="005B6344">
        <w:tc>
          <w:tcPr>
            <w:tcW w:w="1914" w:type="dxa"/>
            <w:vMerge/>
          </w:tcPr>
          <w:p w:rsidR="00EB666A" w:rsidRDefault="00EB666A" w:rsidP="00D83F81">
            <w:pPr>
              <w:spacing w:line="276" w:lineRule="auto"/>
            </w:pPr>
          </w:p>
        </w:tc>
        <w:tc>
          <w:tcPr>
            <w:tcW w:w="2305" w:type="dxa"/>
          </w:tcPr>
          <w:p w:rsidR="00EB666A" w:rsidRDefault="00EB666A" w:rsidP="00D83F81">
            <w:pPr>
              <w:spacing w:line="276" w:lineRule="auto"/>
              <w:jc w:val="center"/>
            </w:pPr>
            <w:r>
              <w:t>1 квартіль</w:t>
            </w:r>
          </w:p>
          <w:p w:rsidR="00EB666A" w:rsidRDefault="00EB666A" w:rsidP="00D83F81">
            <w:pPr>
              <w:spacing w:line="276" w:lineRule="auto"/>
              <w:jc w:val="center"/>
            </w:pPr>
            <w:r>
              <w:t>8,81 – 16,48 нг/мл</w:t>
            </w:r>
          </w:p>
        </w:tc>
        <w:tc>
          <w:tcPr>
            <w:tcW w:w="1985" w:type="dxa"/>
          </w:tcPr>
          <w:p w:rsidR="00EB666A" w:rsidRDefault="00EB666A" w:rsidP="00D83F81">
            <w:pPr>
              <w:spacing w:line="276" w:lineRule="auto"/>
              <w:jc w:val="center"/>
            </w:pPr>
            <w:r>
              <w:t>2 квартіль</w:t>
            </w:r>
          </w:p>
          <w:p w:rsidR="00EB666A" w:rsidRDefault="00EB666A" w:rsidP="00D83F81">
            <w:pPr>
              <w:spacing w:line="276" w:lineRule="auto"/>
              <w:jc w:val="center"/>
            </w:pPr>
            <w:r>
              <w:t>16,49 – 23,47 нг/мл</w:t>
            </w:r>
          </w:p>
        </w:tc>
        <w:tc>
          <w:tcPr>
            <w:tcW w:w="1984" w:type="dxa"/>
          </w:tcPr>
          <w:p w:rsidR="00EB666A" w:rsidRDefault="00EB666A" w:rsidP="00D83F81">
            <w:pPr>
              <w:spacing w:line="276" w:lineRule="auto"/>
              <w:jc w:val="center"/>
            </w:pPr>
            <w:r>
              <w:t>3 квартіль</w:t>
            </w:r>
          </w:p>
          <w:p w:rsidR="00EB666A" w:rsidRDefault="00EB666A" w:rsidP="00D83F81">
            <w:pPr>
              <w:spacing w:line="276" w:lineRule="auto"/>
              <w:jc w:val="center"/>
            </w:pPr>
            <w:r>
              <w:t>23,48 – 29,87 нг/мл</w:t>
            </w:r>
          </w:p>
        </w:tc>
        <w:tc>
          <w:tcPr>
            <w:tcW w:w="2126" w:type="dxa"/>
          </w:tcPr>
          <w:p w:rsidR="00EB666A" w:rsidRDefault="00EB666A" w:rsidP="00D83F81">
            <w:pPr>
              <w:spacing w:line="276" w:lineRule="auto"/>
              <w:jc w:val="center"/>
            </w:pPr>
            <w:r>
              <w:t>4 квартіль</w:t>
            </w:r>
          </w:p>
          <w:p w:rsidR="00EB666A" w:rsidRDefault="00EB666A" w:rsidP="00D83F81">
            <w:pPr>
              <w:spacing w:line="276" w:lineRule="auto"/>
              <w:jc w:val="center"/>
            </w:pPr>
            <w:r>
              <w:t>29,87 – 41,42 нг/мл</w:t>
            </w:r>
          </w:p>
        </w:tc>
      </w:tr>
      <w:tr w:rsidR="00EB666A" w:rsidTr="005B6344">
        <w:tc>
          <w:tcPr>
            <w:tcW w:w="1914" w:type="dxa"/>
            <w:vMerge/>
          </w:tcPr>
          <w:p w:rsidR="00EB666A" w:rsidRDefault="00EB666A" w:rsidP="00D83F81">
            <w:pPr>
              <w:spacing w:line="276" w:lineRule="auto"/>
            </w:pPr>
          </w:p>
        </w:tc>
        <w:tc>
          <w:tcPr>
            <w:tcW w:w="2305" w:type="dxa"/>
          </w:tcPr>
          <w:p w:rsidR="00EB666A" w:rsidRPr="00523DA8" w:rsidRDefault="00EB666A" w:rsidP="00D83F81">
            <w:pPr>
              <w:spacing w:line="276" w:lineRule="auto"/>
              <w:jc w:val="center"/>
              <w:rPr>
                <w:sz w:val="24"/>
                <w:szCs w:val="24"/>
              </w:rPr>
            </w:pPr>
            <w:r w:rsidRPr="00523DA8">
              <w:rPr>
                <w:sz w:val="24"/>
                <w:szCs w:val="24"/>
              </w:rPr>
              <w:t>1</w:t>
            </w:r>
          </w:p>
        </w:tc>
        <w:tc>
          <w:tcPr>
            <w:tcW w:w="1985" w:type="dxa"/>
          </w:tcPr>
          <w:p w:rsidR="00EB666A" w:rsidRPr="00523DA8" w:rsidRDefault="00EB666A" w:rsidP="00D83F81">
            <w:pPr>
              <w:spacing w:line="276" w:lineRule="auto"/>
              <w:jc w:val="center"/>
              <w:rPr>
                <w:sz w:val="24"/>
                <w:szCs w:val="24"/>
              </w:rPr>
            </w:pPr>
            <w:r w:rsidRPr="00523DA8">
              <w:rPr>
                <w:sz w:val="24"/>
                <w:szCs w:val="24"/>
              </w:rPr>
              <w:t>2</w:t>
            </w:r>
          </w:p>
        </w:tc>
        <w:tc>
          <w:tcPr>
            <w:tcW w:w="1984" w:type="dxa"/>
          </w:tcPr>
          <w:p w:rsidR="00EB666A" w:rsidRPr="00523DA8" w:rsidRDefault="00EB666A" w:rsidP="00D83F81">
            <w:pPr>
              <w:spacing w:line="276" w:lineRule="auto"/>
              <w:jc w:val="center"/>
              <w:rPr>
                <w:sz w:val="24"/>
                <w:szCs w:val="24"/>
              </w:rPr>
            </w:pPr>
            <w:r w:rsidRPr="00523DA8">
              <w:rPr>
                <w:sz w:val="24"/>
                <w:szCs w:val="24"/>
              </w:rPr>
              <w:t>3</w:t>
            </w:r>
          </w:p>
        </w:tc>
        <w:tc>
          <w:tcPr>
            <w:tcW w:w="2126" w:type="dxa"/>
          </w:tcPr>
          <w:p w:rsidR="00EB666A" w:rsidRPr="00523DA8" w:rsidRDefault="00EB666A" w:rsidP="00D83F81">
            <w:pPr>
              <w:spacing w:line="276" w:lineRule="auto"/>
              <w:jc w:val="center"/>
              <w:rPr>
                <w:sz w:val="24"/>
                <w:szCs w:val="24"/>
              </w:rPr>
            </w:pPr>
            <w:r w:rsidRPr="00523DA8">
              <w:rPr>
                <w:sz w:val="24"/>
                <w:szCs w:val="24"/>
              </w:rPr>
              <w:t>4</w:t>
            </w:r>
          </w:p>
        </w:tc>
      </w:tr>
      <w:tr w:rsidR="00EB666A" w:rsidTr="005B6344">
        <w:tc>
          <w:tcPr>
            <w:tcW w:w="1914" w:type="dxa"/>
          </w:tcPr>
          <w:p w:rsidR="00EB666A" w:rsidRDefault="00EB666A" w:rsidP="00D83F81">
            <w:pPr>
              <w:spacing w:line="276" w:lineRule="auto"/>
            </w:pPr>
            <w:r>
              <w:t>Кількість уражених судин</w:t>
            </w:r>
          </w:p>
        </w:tc>
        <w:tc>
          <w:tcPr>
            <w:tcW w:w="2305" w:type="dxa"/>
          </w:tcPr>
          <w:p w:rsidR="00EB666A" w:rsidRDefault="00EB666A" w:rsidP="00D83F81">
            <w:pPr>
              <w:spacing w:line="276" w:lineRule="auto"/>
            </w:pPr>
          </w:p>
          <w:p w:rsidR="00EB666A" w:rsidRDefault="00EB666A" w:rsidP="00D83F81">
            <w:pPr>
              <w:spacing w:line="276" w:lineRule="auto"/>
            </w:pPr>
            <w:r>
              <w:t>1,25±0,16</w:t>
            </w:r>
          </w:p>
        </w:tc>
        <w:tc>
          <w:tcPr>
            <w:tcW w:w="1985" w:type="dxa"/>
          </w:tcPr>
          <w:p w:rsidR="00EB666A" w:rsidRDefault="00EB666A" w:rsidP="00D83F81">
            <w:pPr>
              <w:spacing w:line="276" w:lineRule="auto"/>
            </w:pPr>
            <w:r>
              <w:t>1,83±0,40</w:t>
            </w:r>
          </w:p>
          <w:p w:rsidR="00EB666A" w:rsidRPr="00523DA8" w:rsidRDefault="00EB666A" w:rsidP="00D83F81">
            <w:pPr>
              <w:spacing w:line="276" w:lineRule="auto"/>
            </w:pPr>
            <w:r>
              <w:t>р</w:t>
            </w:r>
            <w:r w:rsidRPr="00523DA8">
              <w:rPr>
                <w:vertAlign w:val="subscript"/>
              </w:rPr>
              <w:t>1та 2</w:t>
            </w:r>
            <w:r>
              <w:t>&gt;0,05</w:t>
            </w:r>
          </w:p>
        </w:tc>
        <w:tc>
          <w:tcPr>
            <w:tcW w:w="1984" w:type="dxa"/>
          </w:tcPr>
          <w:p w:rsidR="00EB666A" w:rsidRDefault="00EB666A" w:rsidP="00D83F81">
            <w:pPr>
              <w:spacing w:line="276" w:lineRule="auto"/>
            </w:pPr>
            <w:r>
              <w:t>2,43±0,37</w:t>
            </w:r>
          </w:p>
          <w:p w:rsidR="00EB666A" w:rsidRPr="00523DA8" w:rsidRDefault="00EB666A" w:rsidP="00D83F81">
            <w:pPr>
              <w:spacing w:line="276" w:lineRule="auto"/>
            </w:pPr>
            <w:r>
              <w:t>р</w:t>
            </w:r>
            <w:r w:rsidRPr="00523DA8">
              <w:rPr>
                <w:vertAlign w:val="subscript"/>
              </w:rPr>
              <w:t xml:space="preserve">1та </w:t>
            </w:r>
            <w:r>
              <w:rPr>
                <w:vertAlign w:val="subscript"/>
              </w:rPr>
              <w:t>3</w:t>
            </w:r>
            <w:r>
              <w:t>&lt;0,01</w:t>
            </w:r>
          </w:p>
          <w:p w:rsidR="00EB666A" w:rsidRPr="00523DA8" w:rsidRDefault="00EB666A" w:rsidP="00D83F81">
            <w:pPr>
              <w:spacing w:line="276" w:lineRule="auto"/>
            </w:pPr>
            <w:r>
              <w:t>р</w:t>
            </w:r>
            <w:r>
              <w:rPr>
                <w:vertAlign w:val="subscript"/>
              </w:rPr>
              <w:t>2</w:t>
            </w:r>
            <w:r w:rsidRPr="00523DA8">
              <w:rPr>
                <w:vertAlign w:val="subscript"/>
              </w:rPr>
              <w:t xml:space="preserve">та </w:t>
            </w:r>
            <w:r>
              <w:rPr>
                <w:vertAlign w:val="subscript"/>
              </w:rPr>
              <w:t>3</w:t>
            </w:r>
            <w:r>
              <w:t>&gt;0,05</w:t>
            </w:r>
          </w:p>
        </w:tc>
        <w:tc>
          <w:tcPr>
            <w:tcW w:w="2126" w:type="dxa"/>
          </w:tcPr>
          <w:p w:rsidR="00EB666A" w:rsidRDefault="00EB666A" w:rsidP="00D83F81">
            <w:pPr>
              <w:spacing w:line="276" w:lineRule="auto"/>
            </w:pPr>
            <w:r>
              <w:t>2,86±0,40</w:t>
            </w:r>
          </w:p>
          <w:p w:rsidR="00EB666A" w:rsidRPr="00523DA8" w:rsidRDefault="00EB666A" w:rsidP="00D83F81">
            <w:pPr>
              <w:spacing w:line="276" w:lineRule="auto"/>
            </w:pPr>
            <w:r>
              <w:t>р</w:t>
            </w:r>
            <w:r w:rsidRPr="00523DA8">
              <w:rPr>
                <w:vertAlign w:val="subscript"/>
              </w:rPr>
              <w:t xml:space="preserve">1та </w:t>
            </w:r>
            <w:r>
              <w:rPr>
                <w:vertAlign w:val="subscript"/>
              </w:rPr>
              <w:t>4</w:t>
            </w:r>
            <w:r>
              <w:t>&lt;0,01</w:t>
            </w:r>
          </w:p>
          <w:p w:rsidR="00EB666A" w:rsidRDefault="00EB666A" w:rsidP="00D83F81">
            <w:pPr>
              <w:spacing w:line="276" w:lineRule="auto"/>
            </w:pPr>
            <w:r>
              <w:t>р</w:t>
            </w:r>
            <w:r>
              <w:rPr>
                <w:vertAlign w:val="subscript"/>
              </w:rPr>
              <w:t>3</w:t>
            </w:r>
            <w:r w:rsidRPr="00523DA8">
              <w:rPr>
                <w:vertAlign w:val="subscript"/>
              </w:rPr>
              <w:t xml:space="preserve">та </w:t>
            </w:r>
            <w:r>
              <w:rPr>
                <w:vertAlign w:val="subscript"/>
              </w:rPr>
              <w:t>4</w:t>
            </w:r>
            <w:r>
              <w:t>&gt;0,05</w:t>
            </w:r>
          </w:p>
        </w:tc>
      </w:tr>
      <w:tr w:rsidR="00EB666A" w:rsidTr="005B6344">
        <w:tc>
          <w:tcPr>
            <w:tcW w:w="1914" w:type="dxa"/>
          </w:tcPr>
          <w:p w:rsidR="00EB666A" w:rsidRDefault="00EB666A" w:rsidP="00D83F81">
            <w:pPr>
              <w:spacing w:line="276" w:lineRule="auto"/>
            </w:pPr>
            <w:r>
              <w:t>Кількість уражених сегментів</w:t>
            </w:r>
          </w:p>
        </w:tc>
        <w:tc>
          <w:tcPr>
            <w:tcW w:w="2305" w:type="dxa"/>
          </w:tcPr>
          <w:p w:rsidR="00EB666A" w:rsidRDefault="00EB666A" w:rsidP="00D83F81">
            <w:pPr>
              <w:spacing w:line="276" w:lineRule="auto"/>
            </w:pPr>
          </w:p>
          <w:p w:rsidR="00EB666A" w:rsidRDefault="00EB666A" w:rsidP="00D83F81">
            <w:pPr>
              <w:spacing w:line="276" w:lineRule="auto"/>
            </w:pPr>
            <w:r>
              <w:t>1,50±0,19</w:t>
            </w:r>
          </w:p>
        </w:tc>
        <w:tc>
          <w:tcPr>
            <w:tcW w:w="1985" w:type="dxa"/>
          </w:tcPr>
          <w:p w:rsidR="00EB666A" w:rsidRDefault="00EB666A" w:rsidP="00D83F81">
            <w:pPr>
              <w:spacing w:line="276" w:lineRule="auto"/>
            </w:pPr>
            <w:r>
              <w:t>3,17±1,01</w:t>
            </w:r>
          </w:p>
          <w:p w:rsidR="00EB666A" w:rsidRDefault="00EB666A" w:rsidP="00D83F81">
            <w:pPr>
              <w:spacing w:line="276" w:lineRule="auto"/>
            </w:pPr>
            <w:r>
              <w:t>р</w:t>
            </w:r>
            <w:r w:rsidRPr="00523DA8">
              <w:rPr>
                <w:vertAlign w:val="subscript"/>
              </w:rPr>
              <w:t>1та 2</w:t>
            </w:r>
            <w:r>
              <w:rPr>
                <w:vertAlign w:val="subscript"/>
              </w:rPr>
              <w:t xml:space="preserve"> </w:t>
            </w:r>
            <w:r>
              <w:t>= 0,07</w:t>
            </w:r>
          </w:p>
        </w:tc>
        <w:tc>
          <w:tcPr>
            <w:tcW w:w="1984" w:type="dxa"/>
          </w:tcPr>
          <w:p w:rsidR="00EB666A" w:rsidRDefault="00EB666A" w:rsidP="00D83F81">
            <w:pPr>
              <w:spacing w:line="276" w:lineRule="auto"/>
            </w:pPr>
            <w:r>
              <w:t>3,29±0,71</w:t>
            </w:r>
          </w:p>
          <w:p w:rsidR="00EB666A" w:rsidRDefault="00EB666A" w:rsidP="00D83F81">
            <w:pPr>
              <w:spacing w:line="276" w:lineRule="auto"/>
            </w:pPr>
            <w:r>
              <w:t>р</w:t>
            </w:r>
            <w:r>
              <w:rPr>
                <w:vertAlign w:val="subscript"/>
              </w:rPr>
              <w:t>2</w:t>
            </w:r>
            <w:r w:rsidRPr="00523DA8">
              <w:rPr>
                <w:vertAlign w:val="subscript"/>
              </w:rPr>
              <w:t xml:space="preserve">та </w:t>
            </w:r>
            <w:r>
              <w:rPr>
                <w:vertAlign w:val="subscript"/>
              </w:rPr>
              <w:t>3</w:t>
            </w:r>
            <w:r>
              <w:t>&gt;0,05</w:t>
            </w:r>
          </w:p>
          <w:p w:rsidR="00EB666A" w:rsidRPr="00523DA8" w:rsidRDefault="00EB666A" w:rsidP="00D83F81">
            <w:pPr>
              <w:spacing w:line="276" w:lineRule="auto"/>
            </w:pPr>
            <w:r>
              <w:t>р</w:t>
            </w:r>
            <w:r>
              <w:rPr>
                <w:vertAlign w:val="subscript"/>
              </w:rPr>
              <w:t>1</w:t>
            </w:r>
            <w:r w:rsidRPr="00523DA8">
              <w:rPr>
                <w:vertAlign w:val="subscript"/>
              </w:rPr>
              <w:t xml:space="preserve">та </w:t>
            </w:r>
            <w:r>
              <w:rPr>
                <w:vertAlign w:val="subscript"/>
              </w:rPr>
              <w:t xml:space="preserve">3 </w:t>
            </w:r>
            <w:r>
              <w:t>&lt;0,05</w:t>
            </w:r>
          </w:p>
        </w:tc>
        <w:tc>
          <w:tcPr>
            <w:tcW w:w="2126" w:type="dxa"/>
          </w:tcPr>
          <w:p w:rsidR="00EB666A" w:rsidRDefault="00EB666A" w:rsidP="00D83F81">
            <w:pPr>
              <w:spacing w:line="276" w:lineRule="auto"/>
            </w:pPr>
            <w:r>
              <w:t>4,01±0,82</w:t>
            </w:r>
          </w:p>
          <w:p w:rsidR="00EB666A" w:rsidRPr="00523DA8" w:rsidRDefault="00EB666A" w:rsidP="00D83F81">
            <w:pPr>
              <w:spacing w:line="276" w:lineRule="auto"/>
            </w:pPr>
            <w:r>
              <w:t>р</w:t>
            </w:r>
            <w:r w:rsidRPr="00523DA8">
              <w:rPr>
                <w:vertAlign w:val="subscript"/>
              </w:rPr>
              <w:t xml:space="preserve">1та </w:t>
            </w:r>
            <w:r>
              <w:rPr>
                <w:vertAlign w:val="subscript"/>
              </w:rPr>
              <w:t>4</w:t>
            </w:r>
            <w:r>
              <w:t>&lt;0,01</w:t>
            </w:r>
          </w:p>
          <w:p w:rsidR="00EB666A" w:rsidRDefault="00EB666A" w:rsidP="00D83F81">
            <w:pPr>
              <w:spacing w:line="276" w:lineRule="auto"/>
            </w:pPr>
            <w:r>
              <w:t>р</w:t>
            </w:r>
            <w:r>
              <w:rPr>
                <w:vertAlign w:val="subscript"/>
              </w:rPr>
              <w:t>3</w:t>
            </w:r>
            <w:r w:rsidRPr="00523DA8">
              <w:rPr>
                <w:vertAlign w:val="subscript"/>
              </w:rPr>
              <w:t xml:space="preserve">та </w:t>
            </w:r>
            <w:r>
              <w:rPr>
                <w:vertAlign w:val="subscript"/>
              </w:rPr>
              <w:t>4</w:t>
            </w:r>
            <w:r>
              <w:t>&gt;0,05</w:t>
            </w:r>
          </w:p>
        </w:tc>
      </w:tr>
      <w:tr w:rsidR="00EB666A" w:rsidTr="005B6344">
        <w:tc>
          <w:tcPr>
            <w:tcW w:w="1914" w:type="dxa"/>
          </w:tcPr>
          <w:p w:rsidR="00EB666A" w:rsidRPr="003D10AB" w:rsidRDefault="00EB666A" w:rsidP="00D83F81">
            <w:pPr>
              <w:spacing w:line="276" w:lineRule="auto"/>
            </w:pPr>
            <w:r>
              <w:t>Шкала Генсіні, бали</w:t>
            </w:r>
          </w:p>
        </w:tc>
        <w:tc>
          <w:tcPr>
            <w:tcW w:w="2305" w:type="dxa"/>
          </w:tcPr>
          <w:p w:rsidR="00EB666A" w:rsidRDefault="00EB666A" w:rsidP="00D83F81">
            <w:pPr>
              <w:spacing w:line="276" w:lineRule="auto"/>
            </w:pPr>
          </w:p>
          <w:p w:rsidR="00EB666A" w:rsidRDefault="00EB666A" w:rsidP="00D83F81">
            <w:pPr>
              <w:spacing w:line="276" w:lineRule="auto"/>
            </w:pPr>
            <w:r>
              <w:t>22,13±0,88</w:t>
            </w:r>
          </w:p>
          <w:p w:rsidR="00EB666A" w:rsidRDefault="00EB666A" w:rsidP="00D83F81">
            <w:pPr>
              <w:spacing w:line="276" w:lineRule="auto"/>
            </w:pPr>
          </w:p>
        </w:tc>
        <w:tc>
          <w:tcPr>
            <w:tcW w:w="1985" w:type="dxa"/>
          </w:tcPr>
          <w:p w:rsidR="00EB666A" w:rsidRDefault="00EB666A" w:rsidP="00D83F81">
            <w:pPr>
              <w:spacing w:line="276" w:lineRule="auto"/>
            </w:pPr>
            <w:r>
              <w:t>33±2,91</w:t>
            </w:r>
          </w:p>
          <w:p w:rsidR="00EB666A" w:rsidRDefault="00EB666A" w:rsidP="00D83F81">
            <w:pPr>
              <w:spacing w:line="276" w:lineRule="auto"/>
            </w:pPr>
            <w:r>
              <w:t>р</w:t>
            </w:r>
            <w:r w:rsidRPr="00523DA8">
              <w:rPr>
                <w:vertAlign w:val="subscript"/>
              </w:rPr>
              <w:t>1та 2</w:t>
            </w:r>
            <w:r>
              <w:rPr>
                <w:vertAlign w:val="subscript"/>
              </w:rPr>
              <w:t xml:space="preserve"> </w:t>
            </w:r>
            <w:r>
              <w:t>= 0,06</w:t>
            </w:r>
          </w:p>
        </w:tc>
        <w:tc>
          <w:tcPr>
            <w:tcW w:w="1984" w:type="dxa"/>
          </w:tcPr>
          <w:p w:rsidR="00EB666A" w:rsidRDefault="00EB666A" w:rsidP="00D83F81">
            <w:pPr>
              <w:spacing w:line="276" w:lineRule="auto"/>
              <w:jc w:val="both"/>
            </w:pPr>
            <w:r>
              <w:t>56±5,27</w:t>
            </w:r>
          </w:p>
          <w:p w:rsidR="00EB666A" w:rsidRDefault="00EB666A" w:rsidP="00D83F81">
            <w:pPr>
              <w:spacing w:line="276" w:lineRule="auto"/>
            </w:pPr>
            <w:r>
              <w:t>р</w:t>
            </w:r>
            <w:r>
              <w:rPr>
                <w:vertAlign w:val="subscript"/>
              </w:rPr>
              <w:t>2</w:t>
            </w:r>
            <w:r w:rsidRPr="00523DA8">
              <w:rPr>
                <w:vertAlign w:val="subscript"/>
              </w:rPr>
              <w:t xml:space="preserve">та </w:t>
            </w:r>
            <w:r>
              <w:rPr>
                <w:vertAlign w:val="subscript"/>
              </w:rPr>
              <w:t>3</w:t>
            </w:r>
            <w:r>
              <w:t>&lt;0,05</w:t>
            </w:r>
          </w:p>
          <w:p w:rsidR="00EB666A" w:rsidRDefault="00EB666A" w:rsidP="00D83F81">
            <w:pPr>
              <w:spacing w:line="276" w:lineRule="auto"/>
            </w:pPr>
            <w:r>
              <w:t>р</w:t>
            </w:r>
            <w:r>
              <w:rPr>
                <w:vertAlign w:val="subscript"/>
              </w:rPr>
              <w:t>1</w:t>
            </w:r>
            <w:r w:rsidRPr="00523DA8">
              <w:rPr>
                <w:vertAlign w:val="subscript"/>
              </w:rPr>
              <w:t xml:space="preserve">та </w:t>
            </w:r>
            <w:r>
              <w:rPr>
                <w:vertAlign w:val="subscript"/>
              </w:rPr>
              <w:t xml:space="preserve">3 </w:t>
            </w:r>
            <w:r>
              <w:t>&lt;0,01</w:t>
            </w:r>
          </w:p>
        </w:tc>
        <w:tc>
          <w:tcPr>
            <w:tcW w:w="2126" w:type="dxa"/>
          </w:tcPr>
          <w:p w:rsidR="00EB666A" w:rsidRDefault="00EB666A" w:rsidP="00D83F81">
            <w:pPr>
              <w:spacing w:line="276" w:lineRule="auto"/>
            </w:pPr>
            <w:r>
              <w:t>76,57±6,34</w:t>
            </w:r>
          </w:p>
          <w:p w:rsidR="00EB666A" w:rsidRPr="00523DA8" w:rsidRDefault="00EB666A" w:rsidP="00D83F81">
            <w:pPr>
              <w:spacing w:line="276" w:lineRule="auto"/>
            </w:pPr>
            <w:r>
              <w:t>р</w:t>
            </w:r>
            <w:r w:rsidRPr="00523DA8">
              <w:rPr>
                <w:vertAlign w:val="subscript"/>
              </w:rPr>
              <w:t xml:space="preserve">1та </w:t>
            </w:r>
            <w:r>
              <w:rPr>
                <w:vertAlign w:val="subscript"/>
              </w:rPr>
              <w:t>4</w:t>
            </w:r>
            <w:r>
              <w:t>&lt;0,01</w:t>
            </w:r>
          </w:p>
          <w:p w:rsidR="00EB666A" w:rsidRPr="00523DA8" w:rsidRDefault="00EB666A" w:rsidP="00D83F81">
            <w:pPr>
              <w:spacing w:line="276" w:lineRule="auto"/>
            </w:pPr>
            <w:r>
              <w:t>р</w:t>
            </w:r>
            <w:r>
              <w:rPr>
                <w:vertAlign w:val="subscript"/>
              </w:rPr>
              <w:t>3</w:t>
            </w:r>
            <w:r w:rsidRPr="00523DA8">
              <w:rPr>
                <w:vertAlign w:val="subscript"/>
              </w:rPr>
              <w:t xml:space="preserve">та </w:t>
            </w:r>
            <w:r>
              <w:rPr>
                <w:vertAlign w:val="subscript"/>
              </w:rPr>
              <w:t>4</w:t>
            </w:r>
            <w:r>
              <w:t>&lt;0,05</w:t>
            </w:r>
          </w:p>
        </w:tc>
      </w:tr>
    </w:tbl>
    <w:p w:rsidR="00EB666A" w:rsidRDefault="00EB666A" w:rsidP="00EB666A">
      <w:pPr>
        <w:spacing w:after="0" w:line="360" w:lineRule="auto"/>
        <w:ind w:firstLine="567"/>
        <w:jc w:val="both"/>
      </w:pPr>
    </w:p>
    <w:p w:rsidR="00EB666A" w:rsidRPr="00070F18" w:rsidRDefault="00EB666A" w:rsidP="00EB666A">
      <w:pPr>
        <w:spacing w:after="0" w:line="360" w:lineRule="auto"/>
        <w:ind w:firstLine="567"/>
        <w:jc w:val="both"/>
      </w:pPr>
      <w:r w:rsidRPr="00070F18">
        <w:t>Отримано тенденцію до зростання кількості уражених сегментів у хворих з ГІМ та ожирінням у 2 квартілі рівнів галектину-3, порівняно з 1 квартілем даного параметра, яка не досягала вірогідності (р=0,07).</w:t>
      </w:r>
    </w:p>
    <w:p w:rsidR="00EB666A" w:rsidRPr="0092296F" w:rsidRDefault="00EB666A" w:rsidP="00EB666A">
      <w:pPr>
        <w:spacing w:after="0" w:line="360" w:lineRule="auto"/>
        <w:ind w:firstLine="567"/>
        <w:jc w:val="both"/>
      </w:pPr>
      <w:r>
        <w:t>Кількість уражених сегментів у 3 та 4 квартілях достовірно перевищувала таку у 1 квартілі рівнів галектину-3 (р</w:t>
      </w:r>
      <w:r w:rsidRPr="001F43EA">
        <w:t>&lt;0,0</w:t>
      </w:r>
      <w:r>
        <w:t>5 та р</w:t>
      </w:r>
      <w:r w:rsidRPr="001F43EA">
        <w:t>&lt;0,01</w:t>
      </w:r>
      <w:r>
        <w:t xml:space="preserve"> відповідно). При зіставленні кількості уражених сегментів як 2 та 3 квартіля, так і 3 та 4 квартіля вірогідних змін не виявлено (р</w:t>
      </w:r>
      <w:r w:rsidRPr="0092296F">
        <w:t>&gt;0,05).</w:t>
      </w:r>
    </w:p>
    <w:p w:rsidR="00EB666A" w:rsidRDefault="00EB666A" w:rsidP="00EB666A">
      <w:pPr>
        <w:spacing w:after="0" w:line="360" w:lineRule="auto"/>
        <w:ind w:firstLine="567"/>
        <w:jc w:val="both"/>
      </w:pPr>
      <w:r w:rsidRPr="0092296F">
        <w:t xml:space="preserve">Бали шкали </w:t>
      </w:r>
      <w:r>
        <w:t>Генсіні</w:t>
      </w:r>
      <w:r w:rsidRPr="0092296F">
        <w:t xml:space="preserve">, що відображають тяжкість атеросклеротичного ураження коронарних судин, були вище у хворих з ГІМ та ожирінням у 2 квартілі </w:t>
      </w:r>
      <w:r>
        <w:t>концентрації</w:t>
      </w:r>
      <w:r w:rsidRPr="0092296F">
        <w:t xml:space="preserve"> </w:t>
      </w:r>
      <w:r w:rsidRPr="0092296F">
        <w:lastRenderedPageBreak/>
        <w:t>галектину-3 порівняно з 1 квартілем, проте отримані зміни відображ</w:t>
      </w:r>
      <w:r>
        <w:t>ають тенденцію, яка не досягала рівня вірогідності (р=0,06). Порівняння кількості балів шкали Генсіні у хворих з 2 і 3, 3 і 4 квартілями встановило достовірне їх зростання пропорційно збільшення квартіля рівнів галектину-3 (р</w:t>
      </w:r>
      <w:r w:rsidRPr="001F43EA">
        <w:t>&lt;0,0</w:t>
      </w:r>
      <w:r>
        <w:t xml:space="preserve">5). Визначено, що у хворих з ГІМ та ожирінням як у 3. так і у 4 квартілі бали </w:t>
      </w:r>
      <w:r w:rsidRPr="0092296F">
        <w:t xml:space="preserve">шкали </w:t>
      </w:r>
      <w:r>
        <w:t>Генсіні вірогідно перевищували такі у 1 квартілі рівнів галектину-3. (р</w:t>
      </w:r>
      <w:r w:rsidRPr="001F43EA">
        <w:t>&lt;0,01</w:t>
      </w:r>
      <w:r>
        <w:t>).</w:t>
      </w:r>
    </w:p>
    <w:p w:rsidR="00EB666A" w:rsidRDefault="00EB666A" w:rsidP="00EB666A">
      <w:pPr>
        <w:spacing w:after="0" w:line="360" w:lineRule="auto"/>
        <w:ind w:firstLine="567"/>
        <w:jc w:val="both"/>
      </w:pPr>
      <w:r>
        <w:t>Таким чином, зростання концентрації галектину-3 до 23,48 – 41,42 нг/мл, що відповідає 3-4 квартілям рівнів галектину-3 у хворих з ГІМ та ожирінням, асоціювалось зі збільшенням кількості уражених судин та сегментів разом з високими балами шкали Генсіні, що свідчить на користь зростання тяжкості атеросклеротичного ураження коронарних артерій на тлі високої концентрації галектину-3 у хворих на ГІМ з супутнім ожирінням.</w:t>
      </w:r>
    </w:p>
    <w:p w:rsidR="00EB666A" w:rsidRDefault="00EB666A" w:rsidP="000848D3">
      <w:pPr>
        <w:spacing w:after="0" w:line="360" w:lineRule="auto"/>
        <w:ind w:firstLine="567"/>
        <w:contextualSpacing/>
        <w:jc w:val="both"/>
      </w:pPr>
      <w:r>
        <w:t>З метою оцінки наявності та характеру зв’</w:t>
      </w:r>
      <w:r w:rsidRPr="005B6FCC">
        <w:t>язків між концентрацією галектину-3 та параметрами, що відображують ураження КА</w:t>
      </w:r>
      <w:r w:rsidR="000848D3">
        <w:t xml:space="preserve"> (кількість уражених судин/</w:t>
      </w:r>
      <w:r>
        <w:t>сегментів, бали шкали Генсіні) у хворих на ГІМ та ожиріння, використано кореляції.</w:t>
      </w:r>
    </w:p>
    <w:p w:rsidR="00EB666A" w:rsidRDefault="00EB666A" w:rsidP="000848D3">
      <w:pPr>
        <w:spacing w:after="0" w:line="360" w:lineRule="auto"/>
        <w:ind w:firstLine="567"/>
        <w:contextualSpacing/>
        <w:jc w:val="both"/>
      </w:pPr>
      <w:r>
        <w:t>На рис. 4.1 представлено зв’</w:t>
      </w:r>
      <w:r w:rsidRPr="005B6FCC">
        <w:t>язк</w:t>
      </w:r>
      <w:r>
        <w:t>и між параметрами, що вивчаються. У хворих на ГІМ та ожиріння знайдено прямий зв’</w:t>
      </w:r>
      <w:r w:rsidRPr="005B6FCC">
        <w:t>я</w:t>
      </w:r>
      <w:r>
        <w:t>зок між концентрацією галектину-3 та шкалою Генсіні (r=0,7</w:t>
      </w:r>
      <w:r w:rsidRPr="005B6FCC">
        <w:t xml:space="preserve">2; </w:t>
      </w:r>
      <w:r>
        <w:rPr>
          <w:lang w:val="en-US"/>
        </w:rPr>
        <w:t>p</w:t>
      </w:r>
      <w:r w:rsidRPr="005B6FCC">
        <w:t xml:space="preserve">&lt;0,05), кількістю уражених судин </w:t>
      </w:r>
      <w:r>
        <w:t>(r=0,69</w:t>
      </w:r>
      <w:r w:rsidRPr="005B6FCC">
        <w:t xml:space="preserve">; </w:t>
      </w:r>
      <w:r>
        <w:rPr>
          <w:lang w:val="en-US"/>
        </w:rPr>
        <w:t>p</w:t>
      </w:r>
      <w:r w:rsidRPr="005B6FCC">
        <w:t>&lt;0,05</w:t>
      </w:r>
      <w:r>
        <w:t>), кількістю уражених сегментів (r=0,71</w:t>
      </w:r>
      <w:r w:rsidRPr="005B6FCC">
        <w:t xml:space="preserve">; </w:t>
      </w:r>
      <w:r>
        <w:rPr>
          <w:lang w:val="en-US"/>
        </w:rPr>
        <w:t>p</w:t>
      </w:r>
      <w:r w:rsidRPr="005B6FCC">
        <w:t>&lt;0,05</w:t>
      </w:r>
      <w:r>
        <w:t xml:space="preserve">). </w:t>
      </w:r>
    </w:p>
    <w:p w:rsidR="00EB666A" w:rsidRDefault="00EB666A" w:rsidP="00EB666A">
      <w:pPr>
        <w:spacing w:after="0" w:line="360" w:lineRule="auto"/>
        <w:contextualSpacing/>
        <w:jc w:val="both"/>
      </w:pPr>
      <w:r>
        <w:t>П</w:t>
      </w:r>
      <w:r w:rsidRPr="005B6FCC">
        <w:t xml:space="preserve">риймаючи до уваги дані про те, що зростання квартілей галектину-3 до 3-4 у хворих з ГІМ та ожирінням асоціювалось зі збільшенням кількості уражених судин та сегментів разом з високими балами шкали </w:t>
      </w:r>
      <w:r w:rsidRPr="00066266">
        <w:t>Генсіні</w:t>
      </w:r>
      <w:r w:rsidRPr="005B6FCC">
        <w:t>, наступним етапом дослідження був аналіз характеру зв’язків між показниками, що відображують стан коронарних артерій, та вмістом галектину-3 згідно його квартілей.</w:t>
      </w:r>
    </w:p>
    <w:p w:rsidR="00EB666A" w:rsidRDefault="00EB666A" w:rsidP="00EB666A">
      <w:r>
        <w:br w:type="page"/>
      </w:r>
    </w:p>
    <w:p w:rsidR="00EB666A" w:rsidRDefault="00EB666A" w:rsidP="00EB666A">
      <w:pPr>
        <w:spacing w:after="0" w:line="360" w:lineRule="auto"/>
        <w:contextualSpacing/>
        <w:jc w:val="both"/>
      </w:pPr>
    </w:p>
    <w:p w:rsidR="00FE0AC2" w:rsidRDefault="00654476" w:rsidP="00EB666A">
      <w:pPr>
        <w:spacing w:after="0" w:line="360" w:lineRule="auto"/>
        <w:contextualSpacing/>
        <w:jc w:val="both"/>
        <w:rPr>
          <w:lang w:val="en-US"/>
        </w:rPr>
      </w:pPr>
      <w:r>
        <w:pict>
          <v:group id="_x0000_s1446" editas="canvas" style="width:439pt;height:372.15pt;mso-position-horizontal-relative:char;mso-position-vertical-relative:line" coordorigin="1777,3952" coordsize="6758,5728">
            <o:lock v:ext="edit" aspectratio="t"/>
            <v:shape id="_x0000_s1447" type="#_x0000_t75" style="position:absolute;left:1777;top:3952;width:6758;height:5728" o:preferrelative="f">
              <v:fill o:detectmouseclick="t"/>
              <v:path o:extrusionok="t" o:connecttype="none"/>
              <o:lock v:ext="edit" text="t"/>
            </v:shape>
            <v:oval id="_x0000_s1448" style="position:absolute;left:3509;top:4074;width:2967;height:1536" strokeweight="1.5pt">
              <v:textbox style="mso-next-textbox:#_x0000_s1448">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9A6B40" w:rsidRDefault="00EA6E07" w:rsidP="00075EE6">
                    <w:pPr>
                      <w:spacing w:after="0"/>
                      <w:jc w:val="center"/>
                    </w:pPr>
                    <w:r>
                      <w:t>судин</w:t>
                    </w:r>
                  </w:p>
                </w:txbxContent>
              </v:textbox>
            </v:oval>
            <v:oval id="_x0000_s1449" style="position:absolute;left:3940;top:6109;width:2263;height:820" strokeweight="1.5pt">
              <v:textbox style="mso-next-textbox:#_x0000_s1449">
                <w:txbxContent>
                  <w:p w:rsidR="00EA6E07" w:rsidRPr="009A6B40" w:rsidRDefault="00EA6E07" w:rsidP="00EB666A">
                    <w:pPr>
                      <w:jc w:val="center"/>
                    </w:pPr>
                    <w:r>
                      <w:t>Галектин – 3</w:t>
                    </w:r>
                  </w:p>
                </w:txbxContent>
              </v:textbox>
            </v:oval>
            <v:shapetype id="_x0000_t32" coordsize="21600,21600" o:spt="32" o:oned="t" path="m,l21600,21600e" filled="f">
              <v:path arrowok="t" fillok="f" o:connecttype="none"/>
              <o:lock v:ext="edit" shapetype="t"/>
            </v:shapetype>
            <v:shape id="_x0000_s1450" type="#_x0000_t32" style="position:absolute;left:5060;top:5610;width:11;height:499" o:connectortype="straight" strokeweight="1.25pt"/>
            <v:shape id="_x0000_s1451" type="#_x0000_t32" style="position:absolute;left:3155;top:6804;width:1096;height:579;flip:y" o:connectortype="straight" strokeweight="1.25pt"/>
            <v:shape id="_x0000_s1452" type="#_x0000_t32" style="position:absolute;left:5871;top:6820;width:1238;height:515" o:connectortype="straight" strokeweight="1.25pt"/>
            <v:oval id="_x0000_s1453" style="position:absolute;left:5960;top:7347;width:2297;height:1502" strokeweight="1.5pt">
              <v:textbox style="mso-next-textbox:#_x0000_s1453">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454" style="position:absolute;left:2058;top:7394;width:2193;height:1455" strokeweight="1.5pt">
              <v:textbox style="mso-next-textbox:#_x0000_s1454">
                <w:txbxContent>
                  <w:p w:rsidR="00EA6E07" w:rsidRDefault="00EA6E07" w:rsidP="00EB666A">
                    <w:pPr>
                      <w:jc w:val="center"/>
                    </w:pPr>
                    <w:r>
                      <w:t>Шкала</w:t>
                    </w:r>
                  </w:p>
                  <w:p w:rsidR="00EA6E07" w:rsidRDefault="00EA6E07" w:rsidP="00EB666A">
                    <w:pPr>
                      <w:jc w:val="center"/>
                    </w:pPr>
                    <w:r>
                      <w:t>Генсіні</w:t>
                    </w:r>
                  </w:p>
                </w:txbxContent>
              </v:textbox>
            </v:oval>
            <v:shapetype id="_x0000_t202" coordsize="21600,21600" o:spt="202" path="m,l,21600r21600,l21600,xe">
              <v:stroke joinstyle="miter"/>
              <v:path gradientshapeok="t" o:connecttype="rect"/>
            </v:shapetype>
            <v:shape id="_x0000_s1455" type="#_x0000_t202" style="position:absolute;left:5141;top:5686;width:1566;height:343" strokecolor="white [3212]">
              <v:textbox style="mso-next-textbox:#_x0000_s1455">
                <w:txbxContent>
                  <w:p w:rsidR="00EA6E07" w:rsidRDefault="00EA6E07" w:rsidP="00EB666A">
                    <w:r>
                      <w:t>r=0,69</w:t>
                    </w:r>
                    <w:r>
                      <w:rPr>
                        <w:lang w:val="en-US"/>
                      </w:rPr>
                      <w:t>; p&lt;0,05</w:t>
                    </w:r>
                  </w:p>
                </w:txbxContent>
              </v:textbox>
            </v:shape>
            <v:shape id="_x0000_s1456" type="#_x0000_t202" style="position:absolute;left:2058;top:6641;width:1648;height:429" strokecolor="white [3212]">
              <v:textbox style="mso-next-textbox:#_x0000_s1456">
                <w:txbxContent>
                  <w:p w:rsidR="00EA6E07" w:rsidRDefault="00EA6E07" w:rsidP="00EB666A">
                    <w:pPr>
                      <w:jc w:val="center"/>
                    </w:pPr>
                    <w:r>
                      <w:t>r=0,7</w:t>
                    </w:r>
                    <w:r>
                      <w:rPr>
                        <w:lang w:val="en-US"/>
                      </w:rPr>
                      <w:t>2; p&lt;0,05</w:t>
                    </w:r>
                  </w:p>
                </w:txbxContent>
              </v:textbox>
            </v:shape>
            <v:shape id="_x0000_s1457" type="#_x0000_t202" style="position:absolute;left:6534;top:6600;width:1645;height:470" strokecolor="white [3212]">
              <v:textbox style="mso-next-textbox:#_x0000_s1457">
                <w:txbxContent>
                  <w:p w:rsidR="00EA6E07" w:rsidRPr="00E63191" w:rsidRDefault="00EA6E07" w:rsidP="00EB666A">
                    <w:r>
                      <w:t>r=0,71</w:t>
                    </w:r>
                    <w:r>
                      <w:rPr>
                        <w:lang w:val="en-US"/>
                      </w:rPr>
                      <w:t>; p&lt;0,05</w:t>
                    </w:r>
                  </w:p>
                </w:txbxContent>
              </v:textbox>
            </v:shape>
            <w10:wrap type="none"/>
            <w10:anchorlock/>
          </v:group>
        </w:pict>
      </w:r>
    </w:p>
    <w:p w:rsidR="00EB666A" w:rsidRPr="00574F0B" w:rsidRDefault="00EB666A" w:rsidP="00EB666A">
      <w:pPr>
        <w:spacing w:after="0" w:line="360" w:lineRule="auto"/>
        <w:contextualSpacing/>
        <w:jc w:val="both"/>
      </w:pPr>
      <w:r>
        <w:t>Рис.4.1 Кореляційні зв’</w:t>
      </w:r>
      <w:r w:rsidRPr="005B6FCC">
        <w:t xml:space="preserve">язки між галектином-3 та кількістю та кількістю уражених судин/сегментів, шкалою </w:t>
      </w:r>
      <w:r>
        <w:t>Генсіні у хворих з ГІМ та ожирінням.</w:t>
      </w:r>
    </w:p>
    <w:p w:rsidR="00EB666A" w:rsidRDefault="00EB666A" w:rsidP="00EB666A">
      <w:pPr>
        <w:spacing w:after="0"/>
        <w:contextualSpacing/>
        <w:jc w:val="both"/>
      </w:pPr>
    </w:p>
    <w:p w:rsidR="00EB666A" w:rsidRDefault="00EB666A" w:rsidP="00EB666A">
      <w:pPr>
        <w:spacing w:after="0" w:line="360" w:lineRule="auto"/>
        <w:ind w:firstLine="720"/>
        <w:jc w:val="both"/>
      </w:pPr>
      <w:r w:rsidRPr="00D66554">
        <w:t>У хворих з ГІМ та ожирінням, що увійшли до 1 та 2 квартілей концентрації галектину-3, знайдено прямі зв</w:t>
      </w:r>
      <w:r>
        <w:t>΄</w:t>
      </w:r>
      <w:r w:rsidRPr="00D66554">
        <w:t>язки середньої сили між галектином-3 та кількістю уражених судин (</w:t>
      </w:r>
      <w:r>
        <w:t>r</w:t>
      </w:r>
      <w:r w:rsidRPr="00D66554">
        <w:t xml:space="preserve">=0,45; </w:t>
      </w:r>
      <w:r>
        <w:t>p</w:t>
      </w:r>
      <w:r w:rsidRPr="00D66554">
        <w:t xml:space="preserve">&lt;0,05 для 1 квартіля та </w:t>
      </w:r>
      <w:r>
        <w:t>r</w:t>
      </w:r>
      <w:r w:rsidRPr="00D66554">
        <w:t xml:space="preserve">=0,51; </w:t>
      </w:r>
      <w:r>
        <w:t>p</w:t>
      </w:r>
      <w:r w:rsidRPr="00D66554">
        <w:t>&lt;0,05 для 2 квартіля), кількістю уражених сегментів (</w:t>
      </w:r>
      <w:r>
        <w:t>r</w:t>
      </w:r>
      <w:r w:rsidRPr="00D66554">
        <w:t xml:space="preserve">=0,49; </w:t>
      </w:r>
      <w:r>
        <w:t>p</w:t>
      </w:r>
      <w:r w:rsidRPr="00D66554">
        <w:t xml:space="preserve">&lt;0,05 та </w:t>
      </w:r>
      <w:r>
        <w:t>r</w:t>
      </w:r>
      <w:r w:rsidRPr="00D66554">
        <w:t xml:space="preserve">=0,53; </w:t>
      </w:r>
      <w:r>
        <w:t>p</w:t>
      </w:r>
      <w:r w:rsidRPr="00D66554">
        <w:t xml:space="preserve">&lt;0,05 відповідно), а також з балами шкали </w:t>
      </w:r>
      <w:r>
        <w:t>Генсіні</w:t>
      </w:r>
      <w:r w:rsidRPr="00D66554">
        <w:t xml:space="preserve"> (</w:t>
      </w:r>
      <w:r>
        <w:t>r</w:t>
      </w:r>
      <w:r w:rsidRPr="00D66554">
        <w:t xml:space="preserve">=0,56; </w:t>
      </w:r>
      <w:r>
        <w:t>p</w:t>
      </w:r>
      <w:r w:rsidRPr="00D66554">
        <w:t xml:space="preserve">&lt;0,05 та </w:t>
      </w:r>
      <w:r>
        <w:t>r</w:t>
      </w:r>
      <w:r w:rsidRPr="00D66554">
        <w:t xml:space="preserve">=0,58; </w:t>
      </w:r>
      <w:r>
        <w:t>p</w:t>
      </w:r>
      <w:r w:rsidRPr="00D66554">
        <w:t>&lt;0</w:t>
      </w:r>
      <w:r w:rsidR="00075EE6">
        <w:t>,05). Дані представлено на рис. </w:t>
      </w:r>
      <w:r>
        <w:t>4</w:t>
      </w:r>
      <w:r w:rsidRPr="00D66554">
        <w:t xml:space="preserve">.2. </w:t>
      </w:r>
    </w:p>
    <w:p w:rsidR="00EB666A" w:rsidRDefault="00EB666A" w:rsidP="00EB666A">
      <w:r>
        <w:br w:type="page"/>
      </w:r>
    </w:p>
    <w:p w:rsidR="00EB666A" w:rsidRPr="003405A7" w:rsidRDefault="00EB666A" w:rsidP="00EB666A">
      <w:pPr>
        <w:spacing w:after="0" w:line="360" w:lineRule="auto"/>
        <w:ind w:firstLine="720"/>
        <w:jc w:val="both"/>
      </w:pPr>
      <w:r>
        <w:lastRenderedPageBreak/>
        <w:t>1 квартіль</w:t>
      </w:r>
    </w:p>
    <w:p w:rsidR="00EB666A" w:rsidRDefault="00654476" w:rsidP="00EB666A">
      <w:pPr>
        <w:spacing w:after="0" w:line="360" w:lineRule="auto"/>
        <w:ind w:firstLine="720"/>
        <w:jc w:val="both"/>
      </w:pPr>
      <w:r>
        <w:pict>
          <v:group id="_x0000_s1434" editas="canvas" style="width:436.2pt;height:278.9pt;mso-position-horizontal-relative:char;mso-position-vertical-relative:line" coordorigin="1777,3754" coordsize="6715,4293">
            <o:lock v:ext="edit" aspectratio="t"/>
            <v:shape id="_x0000_s1435" type="#_x0000_t75" style="position:absolute;left:1777;top:3754;width:6715;height:4293" o:preferrelative="f">
              <v:fill o:detectmouseclick="t"/>
              <v:path o:extrusionok="t" o:connecttype="none"/>
              <o:lock v:ext="edit" text="t"/>
            </v:shape>
            <v:oval id="_x0000_s1436" style="position:absolute;left:3509;top:4074;width:2967;height:1106" strokeweight="1.5pt">
              <v:textbox style="mso-next-textbox:#_x0000_s1436">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437" style="position:absolute;left:3874;top:5686;width:2263;height:616" strokeweight="1.5pt">
              <v:textbox style="mso-next-textbox:#_x0000_s1437">
                <w:txbxContent>
                  <w:p w:rsidR="00EA6E07" w:rsidRPr="009A6B40" w:rsidRDefault="00EA6E07" w:rsidP="00EB666A">
                    <w:pPr>
                      <w:jc w:val="center"/>
                    </w:pPr>
                    <w:r>
                      <w:t>Галектин – 3</w:t>
                    </w:r>
                  </w:p>
                </w:txbxContent>
              </v:textbox>
            </v:oval>
            <v:shape id="_x0000_s1438" type="#_x0000_t32" style="position:absolute;left:5025;top:5180;width:12;height:499" o:connectortype="straight" strokeweight="1.25pt"/>
            <v:shape id="_x0000_s1439" type="#_x0000_t32" style="position:absolute;left:3226;top:6224;width:979;height:531;flip:y" o:connectortype="straight" strokeweight="1.25pt"/>
            <v:shape id="_x0000_s1440" type="#_x0000_t32" style="position:absolute;left:5805;top:6224;width:1124;height:531" o:connectortype="straight" strokeweight="1.25pt"/>
            <v:oval id="_x0000_s1441" style="position:absolute;left:5459;top:6766;width:2941;height:935" strokeweight="1.5pt">
              <v:textbox style="mso-next-textbox:#_x0000_s1441">
                <w:txbxContent>
                  <w:p w:rsidR="00EA6E07" w:rsidRPr="00FE0AC2" w:rsidRDefault="00EA6E07" w:rsidP="00075EE6">
                    <w:pPr>
                      <w:jc w:val="center"/>
                      <w:rPr>
                        <w:sz w:val="27"/>
                        <w:szCs w:val="27"/>
                      </w:rPr>
                    </w:pPr>
                    <w:r w:rsidRPr="00FE0AC2">
                      <w:rPr>
                        <w:sz w:val="27"/>
                        <w:szCs w:val="27"/>
                      </w:rPr>
                      <w:t>Кількість</w:t>
                    </w:r>
                    <w:r>
                      <w:rPr>
                        <w:sz w:val="27"/>
                        <w:szCs w:val="27"/>
                        <w:lang w:val="ru-RU"/>
                      </w:rPr>
                      <w:t xml:space="preserve"> </w:t>
                    </w:r>
                    <w:r w:rsidRPr="00FE0AC2">
                      <w:rPr>
                        <w:sz w:val="27"/>
                        <w:szCs w:val="27"/>
                      </w:rPr>
                      <w:t>уражених</w:t>
                    </w:r>
                    <w:r>
                      <w:rPr>
                        <w:sz w:val="27"/>
                        <w:szCs w:val="27"/>
                        <w:lang w:val="ru-RU"/>
                      </w:rPr>
                      <w:t xml:space="preserve"> </w:t>
                    </w:r>
                    <w:r w:rsidRPr="00FE0AC2">
                      <w:rPr>
                        <w:sz w:val="27"/>
                        <w:szCs w:val="27"/>
                      </w:rPr>
                      <w:t>сегментів</w:t>
                    </w:r>
                  </w:p>
                </w:txbxContent>
              </v:textbox>
            </v:oval>
            <v:oval id="_x0000_s1442" style="position:absolute;left:1777;top:6766;width:2897;height:1073" strokeweight="1.5pt">
              <v:textbox style="mso-next-textbox:#_x0000_s1442">
                <w:txbxContent>
                  <w:p w:rsidR="00EA6E07" w:rsidRDefault="00EA6E07" w:rsidP="00EB666A">
                    <w:pPr>
                      <w:jc w:val="center"/>
                    </w:pPr>
                    <w:r>
                      <w:t>Шкала</w:t>
                    </w:r>
                  </w:p>
                  <w:p w:rsidR="00EA6E07" w:rsidRDefault="00EA6E07" w:rsidP="00EB666A">
                    <w:pPr>
                      <w:jc w:val="center"/>
                    </w:pPr>
                    <w:r>
                      <w:t>Генсіні</w:t>
                    </w:r>
                  </w:p>
                </w:txbxContent>
              </v:textbox>
            </v:oval>
            <v:shape id="_x0000_s1443" type="#_x0000_t202" style="position:absolute;left:5141;top:5268;width:1566;height:343" strokecolor="white [3212]">
              <v:textbox style="mso-next-textbox:#_x0000_s1443">
                <w:txbxContent>
                  <w:p w:rsidR="00EA6E07" w:rsidRDefault="00EA6E07" w:rsidP="00EB666A">
                    <w:r>
                      <w:t>r=0,45</w:t>
                    </w:r>
                    <w:r>
                      <w:rPr>
                        <w:lang w:val="en-US"/>
                      </w:rPr>
                      <w:t>; p&lt;0,05</w:t>
                    </w:r>
                  </w:p>
                </w:txbxContent>
              </v:textbox>
            </v:shape>
            <v:shape id="_x0000_s1444" type="#_x0000_t202" style="position:absolute;left:1971;top:5962;width:1648;height:454" strokecolor="white [3212]">
              <v:textbox style="mso-next-textbox:#_x0000_s1444">
                <w:txbxContent>
                  <w:p w:rsidR="00EA6E07" w:rsidRDefault="00EA6E07" w:rsidP="00EB666A">
                    <w:pPr>
                      <w:jc w:val="center"/>
                    </w:pPr>
                    <w:r>
                      <w:t>r=0,56</w:t>
                    </w:r>
                    <w:r>
                      <w:rPr>
                        <w:lang w:val="en-US"/>
                      </w:rPr>
                      <w:t>; p&lt;0,05</w:t>
                    </w:r>
                  </w:p>
                </w:txbxContent>
              </v:textbox>
            </v:shape>
            <v:shape id="_x0000_s1445" type="#_x0000_t202" style="position:absolute;left:6293;top:5962;width:1642;height:353" strokecolor="white [3212]">
              <v:textbox style="mso-next-textbox:#_x0000_s1445">
                <w:txbxContent>
                  <w:p w:rsidR="00EA6E07" w:rsidRPr="00E63191" w:rsidRDefault="00EA6E07" w:rsidP="00EB666A">
                    <w:r>
                      <w:t>r=0,49</w:t>
                    </w:r>
                    <w:r>
                      <w:rPr>
                        <w:lang w:val="en-US"/>
                      </w:rPr>
                      <w:t>; p&lt;0,05</w:t>
                    </w:r>
                  </w:p>
                </w:txbxContent>
              </v:textbox>
            </v:shape>
            <w10:wrap type="none"/>
            <w10:anchorlock/>
          </v:group>
        </w:pict>
      </w:r>
    </w:p>
    <w:p w:rsidR="00EB666A" w:rsidRDefault="00EB666A" w:rsidP="00EB666A">
      <w:pPr>
        <w:spacing w:after="0" w:line="360" w:lineRule="auto"/>
        <w:ind w:firstLine="720"/>
        <w:jc w:val="both"/>
      </w:pPr>
      <w:r>
        <w:t>2 квартіль</w:t>
      </w:r>
    </w:p>
    <w:p w:rsidR="00FE0AC2" w:rsidRDefault="00654476" w:rsidP="00D83F81">
      <w:pPr>
        <w:spacing w:after="0" w:line="360" w:lineRule="auto"/>
        <w:ind w:firstLine="720"/>
        <w:jc w:val="both"/>
        <w:rPr>
          <w:lang w:val="en-US"/>
        </w:rPr>
      </w:pPr>
      <w:r>
        <w:pict>
          <v:group id="_x0000_s1422" editas="canvas" style="width:436.2pt;height:282.25pt;mso-position-horizontal-relative:char;mso-position-vertical-relative:line" coordorigin="1777,3816" coordsize="6715,4344">
            <o:lock v:ext="edit" aspectratio="t"/>
            <v:shape id="_x0000_s1423" type="#_x0000_t75" style="position:absolute;left:1777;top:3816;width:6715;height:4344" o:preferrelative="f">
              <v:fill o:detectmouseclick="t"/>
              <v:path o:extrusionok="t" o:connecttype="none"/>
              <o:lock v:ext="edit" text="t"/>
            </v:shape>
            <v:oval id="_x0000_s1424" style="position:absolute;left:3509;top:3952;width:2967;height:1158" strokeweight="1.5pt">
              <v:textbox style="mso-next-textbox:#_x0000_s1424">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425" style="position:absolute;left:4018;top:5610;width:2263;height:532" strokeweight="1.5pt">
              <v:textbox style="mso-next-textbox:#_x0000_s1425">
                <w:txbxContent>
                  <w:p w:rsidR="00EA6E07" w:rsidRPr="009A6B40" w:rsidRDefault="00EA6E07" w:rsidP="00EB666A">
                    <w:pPr>
                      <w:jc w:val="center"/>
                    </w:pPr>
                    <w:r>
                      <w:t>Галектин – 3</w:t>
                    </w:r>
                  </w:p>
                </w:txbxContent>
              </v:textbox>
            </v:oval>
            <v:shape id="_x0000_s1426" type="#_x0000_t32" style="position:absolute;left:5048;top:5110;width:12;height:500" o:connectortype="straight" strokeweight="1.25pt"/>
            <v:shape id="_x0000_s1427" type="#_x0000_t32" style="position:absolute;left:3749;top:6076;width:600;height:570;flip:y" o:connectortype="straight" strokeweight="1.25pt"/>
            <v:shape id="_x0000_s1428" type="#_x0000_t32" style="position:absolute;left:5950;top:6076;width:715;height:510" o:connectortype="straight" strokeweight="1.25pt"/>
            <v:oval id="_x0000_s1429" style="position:absolute;left:5516;top:6597;width:2297;height:1250" strokeweight="1.5pt">
              <v:textbox style="mso-next-textbox:#_x0000_s1429">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EB666A">
                    <w:pPr>
                      <w:jc w:val="center"/>
                    </w:pPr>
                    <w:r>
                      <w:t>сегментів</w:t>
                    </w:r>
                  </w:p>
                </w:txbxContent>
              </v:textbox>
            </v:oval>
            <v:oval id="_x0000_s1430" style="position:absolute;left:2534;top:6658;width:2430;height:1085" strokeweight="1.5pt">
              <v:textbox style="mso-next-textbox:#_x0000_s1430">
                <w:txbxContent>
                  <w:p w:rsidR="00EA6E07" w:rsidRDefault="00EA6E07" w:rsidP="00EB666A">
                    <w:pPr>
                      <w:jc w:val="center"/>
                    </w:pPr>
                    <w:r>
                      <w:t>Шкала</w:t>
                    </w:r>
                  </w:p>
                  <w:p w:rsidR="00EA6E07" w:rsidRDefault="00EA6E07" w:rsidP="00EB666A">
                    <w:pPr>
                      <w:jc w:val="center"/>
                    </w:pPr>
                    <w:r>
                      <w:t>Генсіні</w:t>
                    </w:r>
                  </w:p>
                </w:txbxContent>
              </v:textbox>
            </v:oval>
            <v:shape id="_x0000_s1431" type="#_x0000_t202" style="position:absolute;left:5375;top:5110;width:1566;height:414" strokecolor="white [3212]">
              <v:textbox style="mso-next-textbox:#_x0000_s1431">
                <w:txbxContent>
                  <w:p w:rsidR="00EA6E07" w:rsidRDefault="00EA6E07" w:rsidP="00EB666A">
                    <w:r>
                      <w:t>r=0,51</w:t>
                    </w:r>
                    <w:r>
                      <w:rPr>
                        <w:lang w:val="en-US"/>
                      </w:rPr>
                      <w:t>; p&lt;0,05</w:t>
                    </w:r>
                  </w:p>
                </w:txbxContent>
              </v:textbox>
            </v:shape>
            <v:shape id="_x0000_s1432" type="#_x0000_t202" style="position:absolute;left:2127;top:5987;width:1648;height:402" strokecolor="white [3212]">
              <v:textbox style="mso-next-textbox:#_x0000_s1432">
                <w:txbxContent>
                  <w:p w:rsidR="00EA6E07" w:rsidRDefault="00EA6E07" w:rsidP="00EB666A">
                    <w:pPr>
                      <w:jc w:val="center"/>
                    </w:pPr>
                    <w:r>
                      <w:t>r=0,53</w:t>
                    </w:r>
                    <w:r>
                      <w:rPr>
                        <w:lang w:val="en-US"/>
                      </w:rPr>
                      <w:t>; p&lt;0,05</w:t>
                    </w:r>
                  </w:p>
                </w:txbxContent>
              </v:textbox>
            </v:shape>
            <v:shape id="_x0000_s1433" type="#_x0000_t202" style="position:absolute;left:6609;top:6094;width:1644;height:460" strokecolor="white [3212]">
              <v:textbox style="mso-next-textbox:#_x0000_s1433">
                <w:txbxContent>
                  <w:p w:rsidR="00EA6E07" w:rsidRPr="00E63191" w:rsidRDefault="00EA6E07" w:rsidP="00EB666A">
                    <w:r>
                      <w:t>r=0,58</w:t>
                    </w:r>
                    <w:r w:rsidRPr="00FB6C71">
                      <w:t>; p&lt;0,05</w:t>
                    </w:r>
                  </w:p>
                </w:txbxContent>
              </v:textbox>
            </v:shape>
            <w10:wrap type="none"/>
            <w10:anchorlock/>
          </v:group>
        </w:pict>
      </w:r>
    </w:p>
    <w:p w:rsidR="00EB666A" w:rsidRDefault="00EB666A" w:rsidP="00D83F81">
      <w:pPr>
        <w:spacing w:after="0" w:line="360" w:lineRule="auto"/>
        <w:ind w:firstLine="720"/>
        <w:jc w:val="both"/>
      </w:pPr>
      <w:r>
        <w:t>Рис 4.2 Кореляційні зв’</w:t>
      </w:r>
      <w:r w:rsidRPr="005B6FCC">
        <w:t>язки між галектином-</w:t>
      </w:r>
      <w:r w:rsidR="00FE0AC2">
        <w:t>3 та кількістю уражених судин/</w:t>
      </w:r>
      <w:r w:rsidRPr="005B6FCC">
        <w:t xml:space="preserve">сегментів, шкалою </w:t>
      </w:r>
      <w:r>
        <w:t>Генсіні</w:t>
      </w:r>
      <w:r w:rsidRPr="005B6FCC">
        <w:t xml:space="preserve"> у хворих з ГІМ та ожирінням</w:t>
      </w:r>
      <w:r>
        <w:br w:type="page"/>
      </w:r>
    </w:p>
    <w:p w:rsidR="00EB666A" w:rsidRDefault="00EB666A" w:rsidP="00EB666A">
      <w:pPr>
        <w:spacing w:after="0" w:line="360" w:lineRule="auto"/>
        <w:ind w:firstLine="720"/>
        <w:jc w:val="both"/>
      </w:pPr>
      <w:r>
        <w:lastRenderedPageBreak/>
        <w:t>Аналіз</w:t>
      </w:r>
      <w:r w:rsidRPr="00FB6C71">
        <w:t xml:space="preserve"> наявності звʹязків між параметрами, що вивчаються у хворих, залучених до 3 і 4 квартілей, встановило прямі зв΄язки сильні за силою між рівнем галектину-3 та балами шкали </w:t>
      </w:r>
      <w:r>
        <w:t>Генсіні</w:t>
      </w:r>
      <w:r w:rsidRPr="00FB6C71">
        <w:t xml:space="preserve"> (r=0,73; p&lt;0,05 для 3 квартіля та r=0,75; p&lt;0,05 для 4 квартіля), кількістю уражених судин (r=0,70; p&lt;0,05 та r=0,72; p&lt;0,05 відповідно), кількістю уражених сегментів (r=0,71; p&lt;0,05 та r=0,74; p&lt;0,05 відповідно) у хворих з ГІМ та ожирінням (рис. </w:t>
      </w:r>
      <w:r>
        <w:t>4</w:t>
      </w:r>
      <w:r w:rsidRPr="00FB6C71">
        <w:t xml:space="preserve">.3). </w:t>
      </w:r>
    </w:p>
    <w:p w:rsidR="00EB666A" w:rsidRPr="00070F18" w:rsidRDefault="00EB666A" w:rsidP="00EB666A">
      <w:pPr>
        <w:spacing w:after="0" w:line="360" w:lineRule="auto"/>
        <w:ind w:firstLine="720"/>
        <w:jc w:val="both"/>
      </w:pPr>
      <w:r w:rsidRPr="004D5312">
        <w:t>Тобто у хворих з ГІМ та ожирінням зростання сироваткового рівня галектину-3 супроводжується зростанням тяжкості атеросклеротичного ураження артерій із зростанням сили зв’язків до сильних у 3-4 квартілі.</w:t>
      </w:r>
    </w:p>
    <w:p w:rsidR="00EB666A" w:rsidRDefault="00EB666A" w:rsidP="00EB666A">
      <w:pPr>
        <w:spacing w:after="0" w:line="360" w:lineRule="auto"/>
        <w:ind w:firstLine="720"/>
        <w:jc w:val="both"/>
      </w:pPr>
      <w:r w:rsidRPr="004D5312">
        <w:t>Отримані результати не суперечать даним світової медичної спільности. Галектин-3, який секретується активованими макрофагами, є залученим до імунозапалення, що лежить в основі атеросклеротичного процессу [</w:t>
      </w:r>
      <w:r>
        <w:t>2,3</w:t>
      </w:r>
      <w:r w:rsidRPr="004D5312">
        <w:t>].</w:t>
      </w:r>
    </w:p>
    <w:p w:rsidR="00EB666A" w:rsidRDefault="00EB666A" w:rsidP="00EB666A">
      <w:pPr>
        <w:spacing w:after="0" w:line="360" w:lineRule="auto"/>
        <w:ind w:firstLine="720"/>
        <w:jc w:val="both"/>
      </w:pPr>
      <w:r w:rsidRPr="00070F18">
        <w:t xml:space="preserve">За даними </w:t>
      </w:r>
      <w:r w:rsidRPr="004D5312">
        <w:t>Ozturk</w:t>
      </w:r>
      <w:r w:rsidRPr="00070F18">
        <w:t xml:space="preserve"> </w:t>
      </w:r>
      <w:r w:rsidRPr="004D5312">
        <w:t>et</w:t>
      </w:r>
      <w:r w:rsidRPr="00070F18">
        <w:t xml:space="preserve"> </w:t>
      </w:r>
      <w:r w:rsidRPr="004D5312">
        <w:t>al</w:t>
      </w:r>
      <w:r w:rsidRPr="00070F18">
        <w:t xml:space="preserve">. та </w:t>
      </w:r>
      <w:r w:rsidRPr="004D5312">
        <w:t>Papaspiridonos</w:t>
      </w:r>
      <w:r w:rsidRPr="00070F18">
        <w:t xml:space="preserve"> </w:t>
      </w:r>
      <w:r w:rsidRPr="004D5312">
        <w:t>M</w:t>
      </w:r>
      <w:r w:rsidRPr="00070F18">
        <w:t>. ефекти медіатора галектину-3 пов'язані з підсиленням прогресування атеросклеротичної бляшки шляхом регулювання імунозапалення [</w:t>
      </w:r>
      <w:r>
        <w:t>3,4</w:t>
      </w:r>
      <w:r w:rsidRPr="00070F18">
        <w:t>] у хворих з ІХС, галектин-3 є незалежним предиктором коронарного атеросклерозу у хворих з ЦД 2 типу [</w:t>
      </w:r>
      <w:r>
        <w:t>3</w:t>
      </w:r>
      <w:r w:rsidRPr="00070F18">
        <w:t>].</w:t>
      </w:r>
    </w:p>
    <w:p w:rsidR="00EB666A" w:rsidRDefault="00EB666A" w:rsidP="00EB666A">
      <w:pPr>
        <w:spacing w:after="0" w:line="360" w:lineRule="auto"/>
        <w:ind w:firstLine="567"/>
        <w:jc w:val="both"/>
      </w:pPr>
      <w:r>
        <w:t>Таким чином, було виявлено, що н</w:t>
      </w:r>
      <w:r w:rsidRPr="000F59AF">
        <w:t>айбільш вразливими коронарними артеріями згідно з даними агіографічного обстеження є права міжшлуночкова артерія та права коронарна артерія як за частотою та ступенем ура</w:t>
      </w:r>
      <w:r>
        <w:t>ження,</w:t>
      </w:r>
      <w:r w:rsidRPr="000F59AF">
        <w:t xml:space="preserve"> так і за частотою гемодинамічно значущих стенозів у хворих на гострий інфаркт міокарда та ожиріння.</w:t>
      </w:r>
      <w:r>
        <w:t xml:space="preserve"> </w:t>
      </w:r>
    </w:p>
    <w:p w:rsidR="00EB666A" w:rsidRDefault="00EB666A" w:rsidP="00EB666A">
      <w:pPr>
        <w:spacing w:after="0" w:line="360" w:lineRule="auto"/>
        <w:ind w:firstLine="567"/>
        <w:jc w:val="both"/>
      </w:pPr>
      <w:r>
        <w:t>Також було продемонстровано, що з</w:t>
      </w:r>
      <w:r w:rsidRPr="009C3EC4">
        <w:t>ростання квартіля галектинемії до 3 та 4 супроводжується паралельним збільшенням параметрів, що характеризують прогресування атеросклеротичного ураження артерій коронарного русла.</w:t>
      </w:r>
    </w:p>
    <w:p w:rsidR="00EB666A" w:rsidRPr="0056294E" w:rsidRDefault="00EB666A" w:rsidP="00EB666A">
      <w:pPr>
        <w:spacing w:after="0" w:line="360" w:lineRule="auto"/>
        <w:ind w:firstLine="720"/>
        <w:jc w:val="both"/>
      </w:pPr>
    </w:p>
    <w:p w:rsidR="00EB666A" w:rsidRDefault="00EB666A" w:rsidP="00EB666A">
      <w:r>
        <w:br w:type="page"/>
      </w:r>
    </w:p>
    <w:p w:rsidR="00EB666A" w:rsidRPr="00FB6C71" w:rsidRDefault="00EB666A" w:rsidP="00EB666A">
      <w:pPr>
        <w:spacing w:after="0" w:line="360" w:lineRule="auto"/>
        <w:ind w:firstLine="720"/>
        <w:jc w:val="both"/>
      </w:pPr>
      <w:r>
        <w:lastRenderedPageBreak/>
        <w:t>3 квартіль</w:t>
      </w:r>
    </w:p>
    <w:p w:rsidR="00EB666A" w:rsidRDefault="00654476" w:rsidP="00EB666A">
      <w:pPr>
        <w:spacing w:after="0" w:line="360" w:lineRule="auto"/>
        <w:ind w:firstLine="720"/>
        <w:jc w:val="both"/>
      </w:pPr>
      <w:r>
        <w:pict>
          <v:group id="_x0000_s1410" editas="canvas" style="width:436.2pt;height:260.25pt;mso-position-horizontal-relative:char;mso-position-vertical-relative:line" coordorigin="1777,4074" coordsize="6715,4006">
            <o:lock v:ext="edit" aspectratio="t"/>
            <v:shape id="_x0000_s1411" type="#_x0000_t75" style="position:absolute;left:1777;top:4074;width:6715;height:4006" o:preferrelative="f">
              <v:fill o:detectmouseclick="t"/>
              <v:path o:extrusionok="t" o:connecttype="none"/>
              <o:lock v:ext="edit" text="t"/>
            </v:shape>
            <v:oval id="_x0000_s1412" style="position:absolute;left:3509;top:4074;width:2967;height:981" strokeweight="1.5pt">
              <v:textbox style="mso-next-textbox:#_x0000_s1412">
                <w:txbxContent>
                  <w:p w:rsidR="00EA6E07" w:rsidRDefault="00EA6E07" w:rsidP="00075EE6">
                    <w:pPr>
                      <w:spacing w:after="0"/>
                      <w:jc w:val="center"/>
                    </w:pPr>
                    <w:r>
                      <w:t>Кількість</w:t>
                    </w:r>
                  </w:p>
                  <w:p w:rsidR="00EA6E07" w:rsidRPr="009A6B40" w:rsidRDefault="00EA6E07" w:rsidP="00075EE6">
                    <w:pPr>
                      <w:spacing w:after="0"/>
                      <w:jc w:val="center"/>
                    </w:pPr>
                    <w:r>
                      <w:t>уражених судин</w:t>
                    </w:r>
                  </w:p>
                </w:txbxContent>
              </v:textbox>
            </v:oval>
            <v:oval id="_x0000_s1413" style="position:absolute;left:3874;top:5553;width:2263;height:820" strokeweight="1.5pt">
              <v:textbox style="mso-next-textbox:#_x0000_s1413">
                <w:txbxContent>
                  <w:p w:rsidR="00EA6E07" w:rsidRPr="009A6B40" w:rsidRDefault="00EA6E07" w:rsidP="00EB666A">
                    <w:pPr>
                      <w:jc w:val="center"/>
                    </w:pPr>
                    <w:r>
                      <w:t>Галектин – 3</w:t>
                    </w:r>
                  </w:p>
                </w:txbxContent>
              </v:textbox>
            </v:oval>
            <v:shape id="_x0000_s1414" type="#_x0000_t32" style="position:absolute;left:5014;top:5055;width:11;height:498" o:connectortype="straight" strokeweight="1.25pt"/>
            <v:shape id="_x0000_s1415" type="#_x0000_t32" style="position:absolute;left:3918;top:6264;width:287;height:304;flip:y" o:connectortype="straight" strokeweight="1.25pt"/>
            <v:shape id="_x0000_s1416" type="#_x0000_t32" style="position:absolute;left:5931;top:6205;width:419;height:363" o:connectortype="straight" strokeweight="1.25pt"/>
            <v:oval id="_x0000_s1417" style="position:absolute;left:5201;top:6579;width:2297;height:1501" strokeweight="1.5pt">
              <v:textbox style="mso-next-textbox:#_x0000_s1417">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418" style="position:absolute;left:2821;top:6579;width:2193;height:1457" strokeweight="1.5pt">
              <v:textbox style="mso-next-textbox:#_x0000_s1418">
                <w:txbxContent>
                  <w:p w:rsidR="00EA6E07" w:rsidRDefault="00EA6E07" w:rsidP="00EB666A">
                    <w:pPr>
                      <w:jc w:val="center"/>
                    </w:pPr>
                    <w:r>
                      <w:t>Шкала</w:t>
                    </w:r>
                  </w:p>
                  <w:p w:rsidR="00EA6E07" w:rsidRDefault="00EA6E07" w:rsidP="00EB666A">
                    <w:pPr>
                      <w:jc w:val="center"/>
                    </w:pPr>
                    <w:r>
                      <w:t>Генсіні</w:t>
                    </w:r>
                  </w:p>
                </w:txbxContent>
              </v:textbox>
            </v:oval>
            <v:shape id="_x0000_s1419" type="#_x0000_t202" style="position:absolute;left:5201;top:5148;width:1566;height:343" strokecolor="white [3212]">
              <v:textbox style="mso-next-textbox:#_x0000_s1419">
                <w:txbxContent>
                  <w:p w:rsidR="00EA6E07" w:rsidRDefault="00EA6E07" w:rsidP="00EB666A">
                    <w:r>
                      <w:t>r=0,70</w:t>
                    </w:r>
                    <w:r>
                      <w:rPr>
                        <w:lang w:val="en-US"/>
                      </w:rPr>
                      <w:t>; p&lt;0,05</w:t>
                    </w:r>
                  </w:p>
                </w:txbxContent>
              </v:textbox>
            </v:shape>
            <v:shape id="_x0000_s1420" type="#_x0000_t202" style="position:absolute;left:2127;top:6108;width:1648;height:398" strokecolor="white [3212]">
              <v:textbox style="mso-next-textbox:#_x0000_s1420">
                <w:txbxContent>
                  <w:p w:rsidR="00EA6E07" w:rsidRDefault="00EA6E07" w:rsidP="00EB666A">
                    <w:pPr>
                      <w:jc w:val="center"/>
                    </w:pPr>
                    <w:r>
                      <w:t>r=0,73</w:t>
                    </w:r>
                    <w:r>
                      <w:rPr>
                        <w:lang w:val="en-US"/>
                      </w:rPr>
                      <w:t>; p&lt;0,05</w:t>
                    </w:r>
                  </w:p>
                </w:txbxContent>
              </v:textbox>
            </v:shape>
            <v:shape id="_x0000_s1421" type="#_x0000_t202" style="position:absolute;left:6293;top:6045;width:1642;height:353" strokecolor="white [3212]">
              <v:textbox style="mso-next-textbox:#_x0000_s1421">
                <w:txbxContent>
                  <w:p w:rsidR="00EA6E07" w:rsidRPr="00E63191" w:rsidRDefault="00EA6E07" w:rsidP="00EB666A">
                    <w:r>
                      <w:t>r=0,71</w:t>
                    </w:r>
                    <w:r>
                      <w:rPr>
                        <w:lang w:val="en-US"/>
                      </w:rPr>
                      <w:t>; p&lt;0,05</w:t>
                    </w:r>
                  </w:p>
                </w:txbxContent>
              </v:textbox>
            </v:shape>
            <w10:wrap type="none"/>
            <w10:anchorlock/>
          </v:group>
        </w:pict>
      </w:r>
    </w:p>
    <w:p w:rsidR="00EB666A" w:rsidRDefault="00EB666A" w:rsidP="00EB666A">
      <w:pPr>
        <w:spacing w:after="0" w:line="360" w:lineRule="auto"/>
        <w:ind w:firstLine="720"/>
        <w:jc w:val="both"/>
      </w:pPr>
      <w:r>
        <w:t>4 квартіль</w:t>
      </w:r>
    </w:p>
    <w:p w:rsidR="00EB666A" w:rsidRDefault="00654476" w:rsidP="00EB666A">
      <w:pPr>
        <w:spacing w:after="0" w:line="360" w:lineRule="auto"/>
        <w:ind w:firstLine="720"/>
        <w:jc w:val="both"/>
      </w:pPr>
      <w:r>
        <w:pict>
          <v:group id="_x0000_s1398" editas="canvas" style="width:436.2pt;height:260.3pt;mso-position-horizontal-relative:char;mso-position-vertical-relative:line" coordorigin="1777,4084" coordsize="6715,4007">
            <o:lock v:ext="edit" aspectratio="t"/>
            <v:shape id="_x0000_s1399" type="#_x0000_t75" style="position:absolute;left:1777;top:4084;width:6715;height:4007" o:preferrelative="f">
              <v:fill o:detectmouseclick="t"/>
              <v:path o:extrusionok="t" o:connecttype="none"/>
              <o:lock v:ext="edit" text="t"/>
            </v:shape>
            <v:oval id="_x0000_s1400" style="position:absolute;left:3509;top:4084;width:2967;height:1096" strokeweight="1.5pt">
              <v:textbox style="mso-next-textbox:#_x0000_s1400">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401" style="position:absolute;left:3874;top:5686;width:2263;height:568" strokeweight="1.5pt">
              <v:textbox style="mso-next-textbox:#_x0000_s1401">
                <w:txbxContent>
                  <w:p w:rsidR="00EA6E07" w:rsidRPr="009A6B40" w:rsidRDefault="00EA6E07" w:rsidP="00EB666A">
                    <w:pPr>
                      <w:jc w:val="center"/>
                    </w:pPr>
                    <w:r>
                      <w:t>Галектин – 3</w:t>
                    </w:r>
                  </w:p>
                </w:txbxContent>
              </v:textbox>
            </v:oval>
            <v:shape id="_x0000_s1402" type="#_x0000_t32" style="position:absolute;left:5025;top:5180;width:12;height:499" o:connectortype="straight" strokeweight="1.25pt"/>
            <v:shape id="_x0000_s1403" type="#_x0000_t32" style="position:absolute;left:3711;top:6182;width:494;height:430;flip:y" o:connectortype="straight" strokeweight="1.25pt"/>
            <v:shape id="_x0000_s1404" type="#_x0000_t32" style="position:absolute;left:5805;top:6182;width:600;height:396" o:connectortype="straight" strokeweight="1.25pt"/>
            <v:oval id="_x0000_s1405" style="position:absolute;left:5256;top:6589;width:2298;height:1502" strokeweight="1.5pt">
              <v:textbox style="mso-next-textbox:#_x0000_s1405">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406" style="position:absolute;left:2614;top:6623;width:2193;height:1456" strokeweight="1.5pt">
              <v:textbox style="mso-next-textbox:#_x0000_s1406">
                <w:txbxContent>
                  <w:p w:rsidR="00EA6E07" w:rsidRDefault="00EA6E07" w:rsidP="00EB666A">
                    <w:pPr>
                      <w:jc w:val="center"/>
                    </w:pPr>
                    <w:r>
                      <w:t>Шкала</w:t>
                    </w:r>
                  </w:p>
                  <w:p w:rsidR="00EA6E07" w:rsidRDefault="00EA6E07" w:rsidP="00EB666A">
                    <w:pPr>
                      <w:jc w:val="center"/>
                    </w:pPr>
                    <w:r>
                      <w:t>Генсіні</w:t>
                    </w:r>
                  </w:p>
                </w:txbxContent>
              </v:textbox>
            </v:oval>
            <v:shape id="_x0000_s1407" type="#_x0000_t202" style="position:absolute;left:5141;top:5268;width:1566;height:343" strokecolor="white [3212]">
              <v:textbox style="mso-next-textbox:#_x0000_s1407">
                <w:txbxContent>
                  <w:p w:rsidR="00EA6E07" w:rsidRDefault="00EA6E07" w:rsidP="00EB666A">
                    <w:r>
                      <w:t>r=0,72</w:t>
                    </w:r>
                    <w:r>
                      <w:rPr>
                        <w:lang w:val="en-US"/>
                      </w:rPr>
                      <w:t>; p&lt;0,05</w:t>
                    </w:r>
                  </w:p>
                </w:txbxContent>
              </v:textbox>
            </v:shape>
            <v:shape id="_x0000_s1408" type="#_x0000_t202" style="position:absolute;left:2127;top:6108;width:1648;height:398" strokecolor="white [3212]">
              <v:textbox style="mso-next-textbox:#_x0000_s1408">
                <w:txbxContent>
                  <w:p w:rsidR="00EA6E07" w:rsidRDefault="00EA6E07" w:rsidP="00EB666A">
                    <w:pPr>
                      <w:jc w:val="center"/>
                    </w:pPr>
                    <w:r>
                      <w:t>r=0,75</w:t>
                    </w:r>
                    <w:r>
                      <w:rPr>
                        <w:lang w:val="en-US"/>
                      </w:rPr>
                      <w:t>; p&lt;0,05</w:t>
                    </w:r>
                  </w:p>
                </w:txbxContent>
              </v:textbox>
            </v:shape>
            <v:shape id="_x0000_s1409" type="#_x0000_t202" style="position:absolute;left:6293;top:6045;width:1642;height:353" strokecolor="white [3212]">
              <v:textbox style="mso-next-textbox:#_x0000_s1409">
                <w:txbxContent>
                  <w:p w:rsidR="00EA6E07" w:rsidRPr="00E63191" w:rsidRDefault="00EA6E07" w:rsidP="00EB666A">
                    <w:r>
                      <w:t>r=0,74</w:t>
                    </w:r>
                    <w:r>
                      <w:rPr>
                        <w:lang w:val="en-US"/>
                      </w:rPr>
                      <w:t>; p&lt;0,05</w:t>
                    </w:r>
                  </w:p>
                </w:txbxContent>
              </v:textbox>
            </v:shape>
            <w10:wrap type="none"/>
            <w10:anchorlock/>
          </v:group>
        </w:pict>
      </w:r>
    </w:p>
    <w:p w:rsidR="00EB666A" w:rsidRDefault="00EB666A" w:rsidP="00EB666A">
      <w:pPr>
        <w:spacing w:after="0" w:line="360" w:lineRule="auto"/>
        <w:ind w:firstLine="720"/>
        <w:jc w:val="both"/>
      </w:pPr>
      <w:r w:rsidRPr="005B6FCC">
        <w:t>Рис.</w:t>
      </w:r>
      <w:r>
        <w:t>4</w:t>
      </w:r>
      <w:r w:rsidRPr="005B6FCC">
        <w:t xml:space="preserve">.3 – Кореляційні зв’язки між галектином-3 (3 і 4 квартілі) та кількістю уражених судин/сегментів, шкалою </w:t>
      </w:r>
      <w:r w:rsidRPr="00066266">
        <w:t>Генсіні у хворих з ГІМ та ожирінням</w:t>
      </w:r>
    </w:p>
    <w:p w:rsidR="00EB666A" w:rsidRDefault="00EB666A" w:rsidP="00EB666A">
      <w:r>
        <w:br w:type="page"/>
      </w:r>
    </w:p>
    <w:p w:rsidR="00EB666A" w:rsidRDefault="00654476" w:rsidP="00EB666A">
      <w:pPr>
        <w:spacing w:after="0" w:line="360" w:lineRule="auto"/>
        <w:ind w:firstLine="567"/>
        <w:jc w:val="both"/>
      </w:pPr>
      <w:r>
        <w:pict>
          <v:group id="_x0000_s1386" editas="canvas" style="width:436.2pt;height:260.3pt;mso-position-horizontal-relative:char;mso-position-vertical-relative:line" coordorigin="1777,4084" coordsize="6715,4007">
            <o:lock v:ext="edit" aspectratio="t"/>
            <v:shape id="_x0000_s1387" type="#_x0000_t75" style="position:absolute;left:1777;top:4084;width:6715;height:4007" o:preferrelative="f">
              <v:fill o:detectmouseclick="t"/>
              <v:path o:extrusionok="t" o:connecttype="none"/>
              <o:lock v:ext="edit" text="t"/>
            </v:shape>
            <v:oval id="_x0000_s1388" style="position:absolute;left:3509;top:4084;width:2967;height:1096" strokeweight="1.5pt">
              <v:textbox style="mso-next-textbox:#_x0000_s1388">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389" style="position:absolute;left:3874;top:5686;width:2263;height:568" strokeweight="1.5pt">
              <v:textbox style="mso-next-textbox:#_x0000_s1389">
                <w:txbxContent>
                  <w:p w:rsidR="00EA6E07" w:rsidRPr="009A6B40" w:rsidRDefault="00EA6E07" w:rsidP="00EB666A">
                    <w:pPr>
                      <w:jc w:val="center"/>
                    </w:pPr>
                    <w:r>
                      <w:t>Вітронектин</w:t>
                    </w:r>
                  </w:p>
                </w:txbxContent>
              </v:textbox>
            </v:oval>
            <v:shape id="_x0000_s1390" type="#_x0000_t32" style="position:absolute;left:5025;top:5180;width:12;height:499" o:connectortype="straight" strokeweight="1.25pt"/>
            <v:shape id="_x0000_s1391" type="#_x0000_t32" style="position:absolute;left:3711;top:6182;width:494;height:430;flip:y" o:connectortype="straight" strokeweight="1.25pt"/>
            <v:shape id="_x0000_s1392" type="#_x0000_t32" style="position:absolute;left:5805;top:6182;width:600;height:396" o:connectortype="straight" strokeweight="1.25pt"/>
            <v:oval id="_x0000_s1393" style="position:absolute;left:5256;top:6589;width:2298;height:1502" strokeweight="1.5pt">
              <v:textbox style="mso-next-textbox:#_x0000_s1393">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394" style="position:absolute;left:2614;top:6623;width:2193;height:1456" strokeweight="1.5pt">
              <v:textbox style="mso-next-textbox:#_x0000_s1394">
                <w:txbxContent>
                  <w:p w:rsidR="00EA6E07" w:rsidRDefault="00EA6E07" w:rsidP="00EB666A">
                    <w:pPr>
                      <w:jc w:val="center"/>
                    </w:pPr>
                    <w:r>
                      <w:t>Шкала</w:t>
                    </w:r>
                  </w:p>
                  <w:p w:rsidR="00EA6E07" w:rsidRDefault="00EA6E07" w:rsidP="00EB666A">
                    <w:pPr>
                      <w:jc w:val="center"/>
                    </w:pPr>
                    <w:r>
                      <w:t>Генсіні</w:t>
                    </w:r>
                  </w:p>
                </w:txbxContent>
              </v:textbox>
            </v:oval>
            <v:shape id="_x0000_s1395" type="#_x0000_t202" style="position:absolute;left:5141;top:5268;width:1566;height:343" strokecolor="white [3212]">
              <v:textbox style="mso-next-textbox:#_x0000_s1395">
                <w:txbxContent>
                  <w:p w:rsidR="00EA6E07" w:rsidRDefault="00EA6E07" w:rsidP="00EB666A">
                    <w:r>
                      <w:t>r=0,67</w:t>
                    </w:r>
                    <w:r>
                      <w:rPr>
                        <w:lang w:val="en-US"/>
                      </w:rPr>
                      <w:t>; p&lt;0,05</w:t>
                    </w:r>
                  </w:p>
                </w:txbxContent>
              </v:textbox>
            </v:shape>
            <v:shape id="_x0000_s1396" type="#_x0000_t202" style="position:absolute;left:2127;top:6108;width:1648;height:398" strokecolor="white [3212]">
              <v:textbox style="mso-next-textbox:#_x0000_s1396">
                <w:txbxContent>
                  <w:p w:rsidR="00EA6E07" w:rsidRDefault="00EA6E07" w:rsidP="00EB666A">
                    <w:pPr>
                      <w:jc w:val="center"/>
                    </w:pPr>
                    <w:r>
                      <w:t>r=0,69</w:t>
                    </w:r>
                    <w:r>
                      <w:rPr>
                        <w:lang w:val="en-US"/>
                      </w:rPr>
                      <w:t>; p&lt;0,05</w:t>
                    </w:r>
                  </w:p>
                </w:txbxContent>
              </v:textbox>
            </v:shape>
            <v:shape id="_x0000_s1397" type="#_x0000_t202" style="position:absolute;left:6293;top:6045;width:1642;height:353" strokecolor="white [3212]">
              <v:textbox style="mso-next-textbox:#_x0000_s1397">
                <w:txbxContent>
                  <w:p w:rsidR="00EA6E07" w:rsidRPr="00E63191" w:rsidRDefault="00EA6E07" w:rsidP="00EB666A">
                    <w:r>
                      <w:t>r=0,59</w:t>
                    </w:r>
                    <w:r>
                      <w:rPr>
                        <w:lang w:val="en-US"/>
                      </w:rPr>
                      <w:t>; p&lt;0,05</w:t>
                    </w:r>
                  </w:p>
                </w:txbxContent>
              </v:textbox>
            </v:shape>
            <w10:wrap type="none"/>
            <w10:anchorlock/>
          </v:group>
        </w:pict>
      </w:r>
    </w:p>
    <w:p w:rsidR="00EB666A" w:rsidRDefault="00EB666A" w:rsidP="00EB666A">
      <w:pPr>
        <w:spacing w:after="0" w:line="360" w:lineRule="auto"/>
        <w:ind w:firstLine="567"/>
        <w:jc w:val="both"/>
      </w:pPr>
    </w:p>
    <w:p w:rsidR="00EB666A" w:rsidRDefault="00EB666A" w:rsidP="00EB666A">
      <w:pPr>
        <w:spacing w:after="0" w:line="360" w:lineRule="auto"/>
        <w:ind w:firstLine="567"/>
        <w:jc w:val="both"/>
      </w:pPr>
      <w:r>
        <w:t>Рис.4.4 – Кореляційні зв’язки між вітронектином та параметрами агіографічного дослідження коронарних артерій у хворих з ГІМ та ожирінням.</w:t>
      </w:r>
    </w:p>
    <w:p w:rsidR="00EB666A" w:rsidRPr="00070F18" w:rsidRDefault="00EB666A" w:rsidP="00EB666A">
      <w:pPr>
        <w:spacing w:after="0" w:line="360" w:lineRule="auto"/>
        <w:ind w:firstLine="567"/>
        <w:jc w:val="both"/>
      </w:pPr>
    </w:p>
    <w:p w:rsidR="00EB666A" w:rsidRPr="00C91C9F" w:rsidRDefault="00EB666A" w:rsidP="00EB666A">
      <w:pPr>
        <w:spacing w:after="0" w:line="360" w:lineRule="auto"/>
        <w:ind w:firstLine="567"/>
        <w:jc w:val="both"/>
        <w:rPr>
          <w:rFonts w:eastAsia="Calibri"/>
        </w:rPr>
      </w:pPr>
      <w:r w:rsidRPr="00C91C9F">
        <w:rPr>
          <w:rFonts w:eastAsia="Calibri"/>
        </w:rPr>
        <w:t>Аналіз кореляційних зв’язків між вітронектином та параметрами ангіографії також виявили взаємини  у вигляді наявних достовірних зв’язків прямого характеру між концентрацією вітронектину та кількістю уражених артерій (</w:t>
      </w:r>
      <w:r w:rsidRPr="00C91C9F">
        <w:rPr>
          <w:rFonts w:eastAsia="Calibri"/>
          <w:lang w:val="en-US"/>
        </w:rPr>
        <w:t>r</w:t>
      </w:r>
      <w:r w:rsidRPr="00C91C9F">
        <w:rPr>
          <w:rFonts w:eastAsia="Calibri"/>
        </w:rPr>
        <w:t xml:space="preserve">=0,67, </w:t>
      </w:r>
      <w:r w:rsidRPr="00C91C9F">
        <w:rPr>
          <w:rFonts w:eastAsia="Calibri"/>
          <w:lang w:val="en-US"/>
        </w:rPr>
        <w:t>p</w:t>
      </w:r>
      <w:r w:rsidRPr="00C91C9F">
        <w:rPr>
          <w:rFonts w:eastAsia="Calibri"/>
        </w:rPr>
        <w:t>&lt;0,05), кількістю сегментів (</w:t>
      </w:r>
      <w:r w:rsidRPr="00C91C9F">
        <w:rPr>
          <w:rFonts w:eastAsia="Calibri"/>
          <w:lang w:val="en-US"/>
        </w:rPr>
        <w:t>r</w:t>
      </w:r>
      <w:r w:rsidRPr="00C91C9F">
        <w:rPr>
          <w:rFonts w:eastAsia="Calibri"/>
        </w:rPr>
        <w:t xml:space="preserve">=0,59, </w:t>
      </w:r>
      <w:r w:rsidRPr="00C91C9F">
        <w:rPr>
          <w:rFonts w:eastAsia="Calibri"/>
          <w:lang w:val="en-US"/>
        </w:rPr>
        <w:t>p</w:t>
      </w:r>
      <w:r w:rsidRPr="00C91C9F">
        <w:rPr>
          <w:rFonts w:eastAsia="Calibri"/>
        </w:rPr>
        <w:t xml:space="preserve">&lt;0,05) та балами шкали </w:t>
      </w:r>
      <w:r>
        <w:rPr>
          <w:rFonts w:eastAsia="Calibri"/>
        </w:rPr>
        <w:t>Генсіні</w:t>
      </w:r>
      <w:r w:rsidRPr="00C91C9F">
        <w:rPr>
          <w:rFonts w:eastAsia="Calibri"/>
        </w:rPr>
        <w:t xml:space="preserve"> (</w:t>
      </w:r>
      <w:r w:rsidRPr="00C91C9F">
        <w:rPr>
          <w:rFonts w:eastAsia="Calibri"/>
          <w:lang w:val="en-US"/>
        </w:rPr>
        <w:t>r</w:t>
      </w:r>
      <w:r w:rsidRPr="00C91C9F">
        <w:rPr>
          <w:rFonts w:eastAsia="Calibri"/>
        </w:rPr>
        <w:t xml:space="preserve">=0,69, </w:t>
      </w:r>
      <w:r w:rsidRPr="00C91C9F">
        <w:rPr>
          <w:rFonts w:eastAsia="Calibri"/>
          <w:lang w:val="en-US"/>
        </w:rPr>
        <w:t>p</w:t>
      </w:r>
      <w:r w:rsidRPr="00C91C9F">
        <w:rPr>
          <w:rFonts w:eastAsia="Calibri"/>
        </w:rPr>
        <w:t xml:space="preserve">&lt;0,05), що відображує тяжкість атеросклеротичного ураження судин коронарного русла (рис </w:t>
      </w:r>
      <w:r>
        <w:rPr>
          <w:rFonts w:eastAsia="Calibri"/>
        </w:rPr>
        <w:t>4</w:t>
      </w:r>
      <w:r w:rsidRPr="00C91C9F">
        <w:rPr>
          <w:rFonts w:eastAsia="Calibri"/>
        </w:rPr>
        <w:t>.4). отримані дані не суперечать результатам інших авторів. Так згідно даних Ekmekci H. та співав. [129] вітронектин є індикатором прогресування коронарної хвороби серця.</w:t>
      </w:r>
    </w:p>
    <w:p w:rsidR="00E66EED" w:rsidRDefault="00EB666A" w:rsidP="00E66EED">
      <w:pPr>
        <w:spacing w:after="0" w:line="360" w:lineRule="auto"/>
        <w:ind w:firstLine="567"/>
        <w:jc w:val="both"/>
      </w:pPr>
      <w:r>
        <w:t>В свою чергу г</w:t>
      </w:r>
      <w:r w:rsidRPr="000F59AF">
        <w:t xml:space="preserve">алектин-3 </w:t>
      </w:r>
      <w:r>
        <w:t xml:space="preserve">та вітронектин </w:t>
      </w:r>
      <w:r w:rsidRPr="000F59AF">
        <w:t>мож</w:t>
      </w:r>
      <w:r>
        <w:t>уть</w:t>
      </w:r>
      <w:r w:rsidRPr="000F59AF">
        <w:t xml:space="preserve"> розглядатися як маркер</w:t>
      </w:r>
      <w:r>
        <w:t>и</w:t>
      </w:r>
      <w:r w:rsidRPr="000F59AF">
        <w:t xml:space="preserve"> атеросклеротичного процесу у хворих на гострий інфаркт міокарда на тлі супутнього ожиріння внаслідок зв’язків між галектинемією</w:t>
      </w:r>
      <w:r>
        <w:t xml:space="preserve">, вітронектинемією </w:t>
      </w:r>
      <w:r w:rsidRPr="000F59AF">
        <w:t xml:space="preserve"> та ступенем тяжкості ураження коронарних артерій.</w:t>
      </w:r>
      <w:r w:rsidR="00E66EED">
        <w:br w:type="page"/>
      </w:r>
    </w:p>
    <w:p w:rsidR="00CE0F75" w:rsidRPr="00F407BB" w:rsidRDefault="00CE0F75" w:rsidP="000848D3">
      <w:pPr>
        <w:spacing w:after="0" w:line="360" w:lineRule="auto"/>
        <w:ind w:firstLine="567"/>
        <w:jc w:val="center"/>
        <w:rPr>
          <w:szCs w:val="28"/>
        </w:rPr>
      </w:pPr>
      <w:r w:rsidRPr="00CE0F75">
        <w:rPr>
          <w:szCs w:val="28"/>
        </w:rPr>
        <w:lastRenderedPageBreak/>
        <w:t>РОЗДІЛ</w:t>
      </w:r>
      <w:r w:rsidRPr="00F407BB">
        <w:rPr>
          <w:szCs w:val="28"/>
        </w:rPr>
        <w:t xml:space="preserve"> 5</w:t>
      </w:r>
    </w:p>
    <w:p w:rsidR="00CE0F75" w:rsidRPr="00CE0F75" w:rsidRDefault="00CE0F75" w:rsidP="000848D3">
      <w:pPr>
        <w:spacing w:after="0" w:line="360" w:lineRule="auto"/>
        <w:ind w:firstLine="567"/>
        <w:jc w:val="center"/>
        <w:rPr>
          <w:szCs w:val="28"/>
        </w:rPr>
      </w:pPr>
      <w:r w:rsidRPr="00CE0F75">
        <w:rPr>
          <w:szCs w:val="28"/>
        </w:rPr>
        <w:t xml:space="preserve">АНАЛІЗ ЗВ’ЯЗКІВ МІЖ </w:t>
      </w:r>
      <w:r w:rsidRPr="00F407BB">
        <w:rPr>
          <w:szCs w:val="28"/>
        </w:rPr>
        <w:t>ВІТРОНЕКТИНОМ, ГАЛЕКТИНОМ-3</w:t>
      </w:r>
      <w:r w:rsidRPr="00CE0F75">
        <w:rPr>
          <w:szCs w:val="28"/>
        </w:rPr>
        <w:t>, АНТРОПОМЕТРИЧНИМИ ПОКАЗНИКАМИ, ПАРАМЕТРАМИ КАРДІОГЕМОДИНАМІКИ, ФРАКЦІЯМИ ЛІПІДНОГО ПРОФІЛЮ ТА ПОКАЗНИКАМИ ЯКОСТІ ЖИТТЯ ХВОРИХ НА ГОСТРИЙ ІНФАРКТ МІОКАРДА ТА ОЖИРІННЯ</w:t>
      </w:r>
    </w:p>
    <w:p w:rsidR="00CE0F75" w:rsidRPr="00CE0F75" w:rsidRDefault="00CE0F75" w:rsidP="00CE0F75">
      <w:pPr>
        <w:spacing w:after="0" w:line="360" w:lineRule="auto"/>
        <w:ind w:firstLine="567"/>
        <w:jc w:val="both"/>
        <w:rPr>
          <w:szCs w:val="28"/>
        </w:rPr>
      </w:pPr>
      <w:r w:rsidRPr="00CE0F75">
        <w:rPr>
          <w:szCs w:val="28"/>
        </w:rPr>
        <w:t>З метою визначення наявності та характеру зв</w:t>
      </w:r>
      <w:r w:rsidRPr="00CE0F75">
        <w:rPr>
          <w:szCs w:val="28"/>
          <w:lang w:val="ru-RU"/>
        </w:rPr>
        <w:t>’язк</w:t>
      </w:r>
      <w:r w:rsidRPr="00CE0F75">
        <w:rPr>
          <w:szCs w:val="28"/>
        </w:rPr>
        <w:t>ів у хворих з ГІМ та ожирінням було використано кореляції. Знайдено прямий зв’язок між показником ІМТ та концентрацією вітронектину (</w:t>
      </w:r>
      <w:r w:rsidRPr="00CE0F75">
        <w:rPr>
          <w:szCs w:val="28"/>
          <w:lang w:val="en-US"/>
        </w:rPr>
        <w:t>r</w:t>
      </w:r>
      <w:r w:rsidRPr="00CE0F75">
        <w:rPr>
          <w:szCs w:val="28"/>
        </w:rPr>
        <w:t xml:space="preserve">=0,42; </w:t>
      </w:r>
      <w:r w:rsidRPr="00CE0F75">
        <w:rPr>
          <w:szCs w:val="28"/>
          <w:lang w:val="en-US"/>
        </w:rPr>
        <w:t>p</w:t>
      </w:r>
      <w:r w:rsidRPr="00CE0F75">
        <w:rPr>
          <w:szCs w:val="28"/>
        </w:rPr>
        <w:t>&lt;0,05), галектину-3 (</w:t>
      </w:r>
      <w:r w:rsidRPr="00CE0F75">
        <w:rPr>
          <w:szCs w:val="28"/>
          <w:lang w:val="en-US"/>
        </w:rPr>
        <w:t>r</w:t>
      </w:r>
      <w:r w:rsidRPr="00CE0F75">
        <w:rPr>
          <w:szCs w:val="28"/>
        </w:rPr>
        <w:t xml:space="preserve">=0,55; </w:t>
      </w:r>
      <w:r w:rsidRPr="00CE0F75">
        <w:rPr>
          <w:szCs w:val="28"/>
          <w:lang w:val="en-US"/>
        </w:rPr>
        <w:t>p</w:t>
      </w:r>
      <w:r w:rsidRPr="00CE0F75">
        <w:rPr>
          <w:szCs w:val="28"/>
        </w:rPr>
        <w:t>&lt;0,05). Антропометричний параметр ОТ також виявив звязки прямого характеру з гуморальними показниками, а саме, з вітронектином (</w:t>
      </w:r>
      <w:r w:rsidRPr="00CE0F75">
        <w:rPr>
          <w:szCs w:val="28"/>
          <w:lang w:val="en-US"/>
        </w:rPr>
        <w:t>r</w:t>
      </w:r>
      <w:r w:rsidRPr="00CE0F75">
        <w:rPr>
          <w:szCs w:val="28"/>
        </w:rPr>
        <w:t xml:space="preserve">=0,48; </w:t>
      </w:r>
      <w:r w:rsidRPr="00CE0F75">
        <w:rPr>
          <w:szCs w:val="28"/>
          <w:lang w:val="en-US"/>
        </w:rPr>
        <w:t>p</w:t>
      </w:r>
      <w:r w:rsidRPr="00CE0F75">
        <w:rPr>
          <w:szCs w:val="28"/>
        </w:rPr>
        <w:t>&lt;0,05), галектином-3 (</w:t>
      </w:r>
      <w:r w:rsidRPr="00CE0F75">
        <w:rPr>
          <w:szCs w:val="28"/>
          <w:lang w:val="en-US"/>
        </w:rPr>
        <w:t>r</w:t>
      </w:r>
      <w:r w:rsidRPr="00CE0F75">
        <w:rPr>
          <w:szCs w:val="28"/>
        </w:rPr>
        <w:t xml:space="preserve">=0,55; </w:t>
      </w:r>
      <w:r w:rsidRPr="00CE0F75">
        <w:rPr>
          <w:szCs w:val="28"/>
          <w:lang w:val="en-US"/>
        </w:rPr>
        <w:t>p</w:t>
      </w:r>
      <w:r w:rsidRPr="00CE0F75">
        <w:rPr>
          <w:szCs w:val="28"/>
        </w:rPr>
        <w:t xml:space="preserve">&lt;0,05). Дані наведено на рис </w:t>
      </w:r>
      <w:r w:rsidRPr="00CE0F75">
        <w:rPr>
          <w:szCs w:val="28"/>
          <w:lang w:val="en-US"/>
        </w:rPr>
        <w:t>5</w:t>
      </w:r>
      <w:r w:rsidRPr="00CE0F75">
        <w:rPr>
          <w:szCs w:val="28"/>
        </w:rPr>
        <w:t xml:space="preserve">.1. </w:t>
      </w:r>
    </w:p>
    <w:p w:rsidR="00CE0F75" w:rsidRPr="00CE0F75" w:rsidRDefault="00CE0F75" w:rsidP="00CE0F75">
      <w:pPr>
        <w:spacing w:after="0" w:line="360" w:lineRule="auto"/>
        <w:ind w:firstLine="567"/>
        <w:jc w:val="both"/>
        <w:rPr>
          <w:szCs w:val="28"/>
        </w:rPr>
        <w:sectPr w:rsidR="00CE0F75" w:rsidRPr="00CE0F75" w:rsidSect="00CE0F75">
          <w:pgSz w:w="12240" w:h="15840"/>
          <w:pgMar w:top="1134" w:right="567" w:bottom="1134" w:left="1440" w:header="720" w:footer="720" w:gutter="0"/>
          <w:cols w:space="720"/>
          <w:docGrid w:linePitch="360"/>
        </w:sectPr>
      </w:pPr>
      <w:r w:rsidRPr="00CE0F75">
        <w:rPr>
          <w:noProof/>
          <w:szCs w:val="28"/>
          <w:lang w:val="ru-RU" w:eastAsia="ru-RU"/>
        </w:rPr>
        <w:drawing>
          <wp:inline distT="0" distB="0" distL="0" distR="0">
            <wp:extent cx="5486400" cy="3200400"/>
            <wp:effectExtent l="0" t="0" r="0" b="0"/>
            <wp:docPr id="1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E0F75" w:rsidRPr="00CE0F75" w:rsidRDefault="00CE0F75" w:rsidP="00CE0F75">
      <w:pPr>
        <w:spacing w:after="0" w:line="360" w:lineRule="auto"/>
        <w:ind w:firstLine="567"/>
        <w:jc w:val="both"/>
        <w:rPr>
          <w:szCs w:val="28"/>
        </w:rPr>
      </w:pPr>
      <w:r w:rsidRPr="00CE0F75">
        <w:rPr>
          <w:szCs w:val="28"/>
        </w:rPr>
        <w:lastRenderedPageBreak/>
        <w:t>Рис.</w:t>
      </w:r>
      <w:r w:rsidRPr="00CE0F75">
        <w:rPr>
          <w:szCs w:val="28"/>
          <w:lang w:val="ru-RU"/>
        </w:rPr>
        <w:t>5</w:t>
      </w:r>
      <w:r w:rsidRPr="00CE0F75">
        <w:rPr>
          <w:szCs w:val="28"/>
        </w:rPr>
        <w:t>.1. – Взаємозвязки між вітронектином, галектином-3 та антропометричними параметарми у хворих з ГІМ та ожирінням</w:t>
      </w:r>
    </w:p>
    <w:p w:rsidR="00CE0F75" w:rsidRPr="00CE0F75" w:rsidRDefault="00CE0F75" w:rsidP="00CE0F75">
      <w:pPr>
        <w:spacing w:after="0" w:line="360" w:lineRule="auto"/>
        <w:ind w:firstLine="567"/>
        <w:jc w:val="both"/>
        <w:rPr>
          <w:szCs w:val="28"/>
        </w:rPr>
      </w:pPr>
      <w:r w:rsidRPr="00CE0F75">
        <w:rPr>
          <w:szCs w:val="28"/>
        </w:rPr>
        <w:br w:type="page"/>
      </w:r>
    </w:p>
    <w:p w:rsidR="00CE0F75" w:rsidRPr="00CE0F75" w:rsidRDefault="00CE0F75" w:rsidP="00CE0F75">
      <w:pPr>
        <w:spacing w:after="0" w:line="360" w:lineRule="auto"/>
        <w:ind w:firstLine="567"/>
        <w:jc w:val="both"/>
        <w:rPr>
          <w:szCs w:val="28"/>
        </w:rPr>
      </w:pPr>
      <w:r w:rsidRPr="00CE0F75">
        <w:rPr>
          <w:szCs w:val="28"/>
        </w:rPr>
        <w:lastRenderedPageBreak/>
        <w:t xml:space="preserve">Це свідчить про те, що зростання маси тіла та розподіл жирової тканини за абдомінальним типом супроводжується підвищенням активності адгезивного глікопротеїну екстрацелюлярного матриксу вітронектину та галектину-3. При розгляді зв'язків між даними показниками у хворих з ГІМ в залежності від ступеня тяжкості супутнього ожиріння було виявлено, що у пацієнтів ожирінням </w:t>
      </w:r>
      <w:r w:rsidRPr="00CE0F75">
        <w:rPr>
          <w:szCs w:val="28"/>
          <w:lang w:val="en-US"/>
        </w:rPr>
        <w:t>I</w:t>
      </w:r>
      <w:r w:rsidRPr="00CE0F75">
        <w:rPr>
          <w:szCs w:val="28"/>
        </w:rPr>
        <w:t xml:space="preserve"> ступеня та II-III ступеня відзначається наявність прямих середніх за силою зв'язків (</w:t>
      </w:r>
      <w:r w:rsidRPr="00CE0F75">
        <w:rPr>
          <w:szCs w:val="28"/>
          <w:lang w:val="ru-RU"/>
        </w:rPr>
        <w:t>r</w:t>
      </w:r>
      <w:r w:rsidR="001576A9">
        <w:rPr>
          <w:szCs w:val="28"/>
        </w:rPr>
        <w:t>=0,56; р</w:t>
      </w:r>
      <w:r w:rsidRPr="00CE0F75">
        <w:rPr>
          <w:szCs w:val="28"/>
        </w:rPr>
        <w:t xml:space="preserve">&lt;0,05 і </w:t>
      </w:r>
      <w:r w:rsidRPr="00CE0F75">
        <w:rPr>
          <w:szCs w:val="28"/>
          <w:lang w:val="ru-RU"/>
        </w:rPr>
        <w:t>r</w:t>
      </w:r>
      <w:r w:rsidR="001576A9">
        <w:rPr>
          <w:szCs w:val="28"/>
        </w:rPr>
        <w:t>=0,58; р</w:t>
      </w:r>
      <w:r w:rsidRPr="00CE0F75">
        <w:rPr>
          <w:szCs w:val="28"/>
        </w:rPr>
        <w:t xml:space="preserve">&lt;0,05 відповідно). Крім того, визначаються прямі зв'язки між рівнем галектина-3 і показником ОТ як у пацієнтів з ожирінням </w:t>
      </w:r>
      <w:r w:rsidRPr="00CE0F75">
        <w:rPr>
          <w:szCs w:val="28"/>
          <w:lang w:val="en-US"/>
        </w:rPr>
        <w:t>I</w:t>
      </w:r>
      <w:r w:rsidRPr="00CE0F75">
        <w:rPr>
          <w:szCs w:val="28"/>
        </w:rPr>
        <w:t>, так і II-III ступеня (</w:t>
      </w:r>
      <w:r w:rsidRPr="00CE0F75">
        <w:rPr>
          <w:szCs w:val="28"/>
          <w:lang w:val="ru-RU"/>
        </w:rPr>
        <w:t>r</w:t>
      </w:r>
      <w:r w:rsidR="001576A9">
        <w:rPr>
          <w:szCs w:val="28"/>
        </w:rPr>
        <w:t>=0,71; р</w:t>
      </w:r>
      <w:r w:rsidRPr="00CE0F75">
        <w:rPr>
          <w:szCs w:val="28"/>
        </w:rPr>
        <w:t xml:space="preserve">&lt;0,05 і </w:t>
      </w:r>
      <w:r w:rsidRPr="00CE0F75">
        <w:rPr>
          <w:szCs w:val="28"/>
          <w:lang w:val="ru-RU"/>
        </w:rPr>
        <w:t>r</w:t>
      </w:r>
      <w:r w:rsidR="001576A9">
        <w:rPr>
          <w:szCs w:val="28"/>
        </w:rPr>
        <w:t>=0,74; р</w:t>
      </w:r>
      <w:r w:rsidRPr="00CE0F75">
        <w:rPr>
          <w:szCs w:val="28"/>
        </w:rPr>
        <w:t xml:space="preserve">&lt;0,05 відповідно). Дані представлені на рис. </w:t>
      </w:r>
      <w:r w:rsidRPr="00CE0F75">
        <w:rPr>
          <w:szCs w:val="28"/>
          <w:lang w:val="ru-RU"/>
        </w:rPr>
        <w:t>5</w:t>
      </w:r>
      <w:r w:rsidRPr="00CE0F75">
        <w:rPr>
          <w:szCs w:val="28"/>
        </w:rPr>
        <w:t xml:space="preserve">.2. </w:t>
      </w:r>
    </w:p>
    <w:p w:rsidR="00CE0F75" w:rsidRPr="00CE0F75" w:rsidRDefault="00654476" w:rsidP="00CE0F75">
      <w:pPr>
        <w:spacing w:after="0" w:line="360" w:lineRule="auto"/>
        <w:ind w:firstLine="567"/>
        <w:jc w:val="both"/>
        <w:rPr>
          <w:szCs w:val="28"/>
          <w:lang w:val="ru-RU"/>
        </w:rPr>
        <w:sectPr w:rsidR="00CE0F75" w:rsidRPr="00CE0F75" w:rsidSect="00CE0F75">
          <w:type w:val="continuous"/>
          <w:pgSz w:w="12240" w:h="15840"/>
          <w:pgMar w:top="1134" w:right="567" w:bottom="1134" w:left="1440" w:header="720" w:footer="720" w:gutter="0"/>
          <w:cols w:space="720"/>
          <w:docGrid w:linePitch="360"/>
        </w:sectPr>
      </w:pPr>
      <w:r>
        <w:rPr>
          <w:szCs w:val="28"/>
          <w:lang w:val="ru-RU"/>
        </w:rPr>
        <w:pict>
          <v:shape id="_x0000_s1494" type="#_x0000_t202" style="position:absolute;left:0;text-align:left;margin-left:450.3pt;margin-top:134.85pt;width:67.9pt;height:25.2pt;z-index:251641344"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6</w:t>
                  </w:r>
                  <w:r w:rsidRPr="006670BC">
                    <w:rPr>
                      <w:rFonts w:eastAsia="Calibri"/>
                      <w:szCs w:val="28"/>
                    </w:rPr>
                    <w:t>1</w:t>
                  </w:r>
                </w:p>
              </w:txbxContent>
            </v:textbox>
          </v:shape>
        </w:pict>
      </w:r>
      <w:r>
        <w:rPr>
          <w:szCs w:val="28"/>
          <w:lang w:val="ru-RU"/>
        </w:rPr>
        <w:pict>
          <v:shape id="_x0000_s1493" type="#_x0000_t202" style="position:absolute;left:0;text-align:left;margin-left:267.7pt;margin-top:138.9pt;width:63.45pt;height:24pt;z-index:251642368"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58</w:t>
                  </w:r>
                </w:p>
              </w:txbxContent>
            </v:textbox>
          </v:shape>
        </w:pict>
      </w:r>
      <w:r>
        <w:rPr>
          <w:szCs w:val="28"/>
          <w:lang w:val="ru-RU"/>
        </w:rPr>
        <w:pict>
          <v:shape id="_x0000_s1491" type="#_x0000_t202" style="position:absolute;left:0;text-align:left;margin-left:200.55pt;margin-top:133.6pt;width:60.2pt;height:26.45pt;z-index:251643392"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7</w:t>
                  </w:r>
                  <w:r w:rsidRPr="006670BC">
                    <w:rPr>
                      <w:rFonts w:eastAsia="Calibri"/>
                      <w:szCs w:val="28"/>
                    </w:rPr>
                    <w:t>1</w:t>
                  </w:r>
                </w:p>
              </w:txbxContent>
            </v:textbox>
          </v:shape>
        </w:pict>
      </w:r>
      <w:r>
        <w:rPr>
          <w:szCs w:val="28"/>
          <w:lang w:val="ru-RU"/>
        </w:rPr>
        <w:pict>
          <v:shape id="_x0000_s1492" type="#_x0000_t202" style="position:absolute;left:0;text-align:left;margin-left:20.8pt;margin-top:134.5pt;width:61.8pt;height:24.8pt;z-index:251644416" stroked="f">
            <v:textbox>
              <w:txbxContent>
                <w:p w:rsidR="00EA6E07" w:rsidRPr="00BE6743" w:rsidRDefault="00EA6E07" w:rsidP="00CE0F75">
                  <w:r w:rsidRPr="006670BC">
                    <w:rPr>
                      <w:rFonts w:eastAsia="Calibri"/>
                      <w:szCs w:val="28"/>
                      <w:lang w:val="ru-RU"/>
                    </w:rPr>
                    <w:t>r</w:t>
                  </w:r>
                  <w:r w:rsidRPr="006670BC">
                    <w:rPr>
                      <w:rFonts w:eastAsia="Calibri"/>
                      <w:szCs w:val="28"/>
                    </w:rPr>
                    <w:t xml:space="preserve"> = 0,</w:t>
                  </w:r>
                  <w:r>
                    <w:rPr>
                      <w:rFonts w:eastAsia="Calibri"/>
                      <w:szCs w:val="28"/>
                    </w:rPr>
                    <w:t>56</w:t>
                  </w:r>
                </w:p>
              </w:txbxContent>
            </v:textbox>
          </v:shape>
        </w:pict>
      </w:r>
      <w:r w:rsidR="00CE0F75" w:rsidRPr="00CE0F75">
        <w:rPr>
          <w:noProof/>
          <w:szCs w:val="28"/>
          <w:lang w:val="ru-RU" w:eastAsia="ru-RU"/>
        </w:rPr>
        <w:drawing>
          <wp:inline distT="0" distB="0" distL="0" distR="0">
            <wp:extent cx="2692800" cy="2811600"/>
            <wp:effectExtent l="0" t="0" r="0" b="0"/>
            <wp:docPr id="1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CE0F75" w:rsidRPr="00CE0F75">
        <w:rPr>
          <w:szCs w:val="28"/>
          <w:lang w:val="ru-RU"/>
        </w:rPr>
        <w:t xml:space="preserve"> </w:t>
      </w:r>
      <w:r w:rsidR="00CE0F75" w:rsidRPr="00CE0F75">
        <w:rPr>
          <w:noProof/>
          <w:szCs w:val="28"/>
          <w:lang w:val="ru-RU" w:eastAsia="ru-RU"/>
        </w:rPr>
        <w:drawing>
          <wp:inline distT="0" distB="0" distL="0" distR="0">
            <wp:extent cx="2748280" cy="2807539"/>
            <wp:effectExtent l="0" t="0" r="0" b="0"/>
            <wp:docPr id="16"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E0F75" w:rsidRPr="00CE0F75" w:rsidRDefault="00CE0F75" w:rsidP="00CE0F75">
      <w:pPr>
        <w:spacing w:after="0" w:line="360" w:lineRule="auto"/>
        <w:ind w:firstLine="567"/>
        <w:jc w:val="both"/>
        <w:rPr>
          <w:szCs w:val="28"/>
          <w:lang w:val="ru-RU"/>
        </w:rPr>
        <w:sectPr w:rsidR="00CE0F75" w:rsidRPr="00CE0F75" w:rsidSect="00CE0F75">
          <w:type w:val="continuous"/>
          <w:pgSz w:w="12240" w:h="15840"/>
          <w:pgMar w:top="1134" w:right="567" w:bottom="1134" w:left="1440" w:header="720" w:footer="720" w:gutter="0"/>
          <w:cols w:space="720"/>
          <w:docGrid w:linePitch="360"/>
        </w:sectPr>
      </w:pP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lang w:val="ru-RU"/>
        </w:rPr>
        <w:lastRenderedPageBreak/>
        <w:t>Ожиріння 1 ступеня</w:t>
      </w:r>
      <w:r w:rsidRPr="00CE0F75">
        <w:rPr>
          <w:szCs w:val="28"/>
          <w:lang w:val="ru-RU"/>
        </w:rPr>
        <w:tab/>
      </w:r>
      <w:r w:rsidRPr="00CE0F75">
        <w:rPr>
          <w:szCs w:val="28"/>
          <w:lang w:val="ru-RU"/>
        </w:rPr>
        <w:tab/>
      </w:r>
      <w:r w:rsidRPr="00CE0F75">
        <w:rPr>
          <w:szCs w:val="28"/>
          <w:lang w:val="ru-RU"/>
        </w:rPr>
        <w:tab/>
        <w:t xml:space="preserve">Ожиріння </w:t>
      </w:r>
      <w:r w:rsidRPr="00CE0F75">
        <w:rPr>
          <w:szCs w:val="28"/>
        </w:rPr>
        <w:t>II-III ступеня</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rPr>
        <w:lastRenderedPageBreak/>
        <w:t xml:space="preserve">Рис. </w:t>
      </w:r>
      <w:r w:rsidRPr="00CE0F75">
        <w:rPr>
          <w:szCs w:val="28"/>
          <w:lang w:val="ru-RU"/>
        </w:rPr>
        <w:t>5</w:t>
      </w:r>
      <w:r w:rsidRPr="00CE0F75">
        <w:rPr>
          <w:szCs w:val="28"/>
        </w:rPr>
        <w:t>.2. – Взаємозвязки між галектином-3 та антропометричними параметрами у хворих з ГІМ в залежності від ступеня важкості ожиріння.</w:t>
      </w:r>
    </w:p>
    <w:p w:rsidR="00CE0F75" w:rsidRPr="00CE0F75" w:rsidRDefault="00CE0F75" w:rsidP="00CE0F75">
      <w:pPr>
        <w:spacing w:after="0" w:line="360" w:lineRule="auto"/>
        <w:ind w:firstLine="567"/>
        <w:jc w:val="both"/>
        <w:rPr>
          <w:szCs w:val="28"/>
          <w:lang w:val="ru-RU"/>
        </w:rPr>
        <w:sectPr w:rsidR="00CE0F75" w:rsidRPr="00CE0F75" w:rsidSect="00CE0F75">
          <w:type w:val="continuous"/>
          <w:pgSz w:w="12240" w:h="15840"/>
          <w:pgMar w:top="1134" w:right="567" w:bottom="1134" w:left="1440" w:header="720" w:footer="720" w:gutter="0"/>
          <w:cols w:space="720"/>
          <w:docGrid w:linePitch="360"/>
        </w:sectPr>
      </w:pPr>
    </w:p>
    <w:p w:rsidR="00CE0F75" w:rsidRPr="00CE0F75" w:rsidRDefault="00CE0F75" w:rsidP="00CE0F75">
      <w:pPr>
        <w:spacing w:after="0" w:line="360" w:lineRule="auto"/>
        <w:ind w:firstLine="567"/>
        <w:jc w:val="both"/>
        <w:rPr>
          <w:szCs w:val="28"/>
          <w:lang w:val="ru-RU"/>
        </w:rPr>
      </w:pPr>
      <w:r w:rsidRPr="00CE0F75">
        <w:rPr>
          <w:szCs w:val="28"/>
          <w:lang w:val="ru-RU"/>
        </w:rPr>
        <w:lastRenderedPageBreak/>
        <w:t xml:space="preserve">Привертає увагу, що за умови односпрямованості зв'язків їх сила неоднакова. Якщо зв'язки між ІМТ і гуморальними маркерами встановилися на рівні середньої сили, то з показником ОТ - сильні за силою, тобто в осіб з ГІМ і ожирінням </w:t>
      </w:r>
      <w:r w:rsidRPr="00CE0F75">
        <w:rPr>
          <w:szCs w:val="28"/>
          <w:lang w:val="en-US"/>
        </w:rPr>
        <w:t>I</w:t>
      </w:r>
      <w:r w:rsidRPr="00CE0F75">
        <w:rPr>
          <w:szCs w:val="28"/>
        </w:rPr>
        <w:t xml:space="preserve"> та II-III ступеня </w:t>
      </w:r>
      <w:r w:rsidRPr="00CE0F75">
        <w:rPr>
          <w:szCs w:val="28"/>
          <w:lang w:val="ru-RU"/>
        </w:rPr>
        <w:t>переважали сильніші за силою зв'язки з показником ОТ.</w:t>
      </w:r>
    </w:p>
    <w:p w:rsidR="00CE0F75" w:rsidRPr="00CE0F75" w:rsidRDefault="00CE0F75" w:rsidP="00CE0F75">
      <w:pPr>
        <w:spacing w:after="0" w:line="360" w:lineRule="auto"/>
        <w:ind w:firstLine="567"/>
        <w:jc w:val="both"/>
        <w:rPr>
          <w:szCs w:val="28"/>
          <w:lang w:val="ru-RU"/>
        </w:rPr>
      </w:pPr>
      <w:r w:rsidRPr="00CE0F75">
        <w:rPr>
          <w:szCs w:val="28"/>
          <w:lang w:val="ru-RU"/>
        </w:rPr>
        <w:lastRenderedPageBreak/>
        <w:t>Прогресування ожиріння супроводжується пропорційним наростанням галектинемії, а збільшення антропометричного показника ОТ, що свідчить на користь абдомінального типу ожиріння, асоціюється з наростанням концентрації галектина-3 в більшій мірі, ніж сама підвищена маса тіла.</w:t>
      </w:r>
    </w:p>
    <w:p w:rsidR="00CE0F75" w:rsidRPr="00CE0F75" w:rsidRDefault="00CE0F75" w:rsidP="00CE0F75">
      <w:pPr>
        <w:spacing w:after="0" w:line="360" w:lineRule="auto"/>
        <w:ind w:firstLine="567"/>
        <w:jc w:val="both"/>
        <w:rPr>
          <w:szCs w:val="28"/>
          <w:lang w:val="ru-RU"/>
        </w:rPr>
      </w:pPr>
      <w:r w:rsidRPr="00CE0F75">
        <w:rPr>
          <w:szCs w:val="28"/>
          <w:lang w:val="ru-RU"/>
        </w:rPr>
        <w:t>Отриман</w:t>
      </w:r>
      <w:r w:rsidRPr="00CE0F75">
        <w:rPr>
          <w:szCs w:val="28"/>
        </w:rPr>
        <w:t xml:space="preserve">і результати можна пояснити відомостями щодо експресії жировою тканиною у преадипоцитарній фракції галектину-3, що було продемонстровано колективом авторів під керівництвом </w:t>
      </w:r>
      <w:r w:rsidRPr="00CE0F75">
        <w:rPr>
          <w:szCs w:val="28"/>
          <w:lang w:val="en-US"/>
        </w:rPr>
        <w:t>Kiwaki</w:t>
      </w:r>
      <w:r w:rsidRPr="00CE0F75">
        <w:rPr>
          <w:szCs w:val="28"/>
          <w:lang w:val="ru-RU"/>
        </w:rPr>
        <w:t xml:space="preserve"> </w:t>
      </w:r>
      <w:r w:rsidRPr="00CE0F75">
        <w:rPr>
          <w:szCs w:val="28"/>
          <w:lang w:val="en-US"/>
        </w:rPr>
        <w:t>K</w:t>
      </w:r>
      <w:r w:rsidRPr="00CE0F75">
        <w:rPr>
          <w:szCs w:val="28"/>
          <w:lang w:val="ru-RU"/>
        </w:rPr>
        <w:t xml:space="preserve">. </w:t>
      </w:r>
      <w:r w:rsidRPr="001576A9">
        <w:rPr>
          <w:szCs w:val="28"/>
          <w:lang w:val="ru-RU"/>
        </w:rPr>
        <w:t>[</w:t>
      </w:r>
      <w:r w:rsidR="001576A9" w:rsidRPr="00F407BB">
        <w:rPr>
          <w:szCs w:val="28"/>
          <w:lang w:val="ru-RU"/>
        </w:rPr>
        <w:t>102</w:t>
      </w:r>
      <w:r w:rsidRPr="001576A9">
        <w:rPr>
          <w:szCs w:val="28"/>
          <w:lang w:val="ru-RU"/>
        </w:rPr>
        <w:t>]</w:t>
      </w:r>
      <w:r w:rsidRPr="00CE0F75">
        <w:rPr>
          <w:szCs w:val="28"/>
          <w:lang w:val="ru-RU"/>
        </w:rPr>
        <w:t xml:space="preserve">. </w:t>
      </w:r>
    </w:p>
    <w:p w:rsidR="00CE0F75" w:rsidRPr="00CE0F75" w:rsidRDefault="00CE0F75" w:rsidP="00CE0F75">
      <w:pPr>
        <w:spacing w:after="0" w:line="360" w:lineRule="auto"/>
        <w:ind w:firstLine="567"/>
        <w:jc w:val="both"/>
        <w:rPr>
          <w:szCs w:val="28"/>
        </w:rPr>
      </w:pPr>
      <w:r w:rsidRPr="00CE0F75">
        <w:rPr>
          <w:szCs w:val="28"/>
          <w:lang w:val="ru-RU"/>
        </w:rPr>
        <w:t>Аналіз зв’</w:t>
      </w:r>
      <w:r w:rsidRPr="00CE0F75">
        <w:rPr>
          <w:szCs w:val="28"/>
        </w:rPr>
        <w:t xml:space="preserve">язків між вітронектином та параметрами антропометрії у хворих на ГІМ залежно від ступеня тяжкості супутнього ожиріння не виявив відмінностей як за характером, так і за силою </w:t>
      </w:r>
      <w:r w:rsidRPr="00CE0F75">
        <w:rPr>
          <w:szCs w:val="28"/>
          <w:lang w:val="ru-RU"/>
        </w:rPr>
        <w:t>зв’</w:t>
      </w:r>
      <w:r w:rsidRPr="00CE0F75">
        <w:rPr>
          <w:szCs w:val="28"/>
        </w:rPr>
        <w:t>язків між фактором, що вивчається, ІМТ та ОТ. Так отримано прямі кореляційні зв’язки середньої сили між вітронектином та ІМТ (</w:t>
      </w:r>
      <w:r w:rsidRPr="00CE0F75">
        <w:rPr>
          <w:szCs w:val="28"/>
          <w:lang w:val="ru-RU"/>
        </w:rPr>
        <w:t>r</w:t>
      </w:r>
      <w:r w:rsidR="001576A9">
        <w:rPr>
          <w:szCs w:val="28"/>
        </w:rPr>
        <w:t>=</w:t>
      </w:r>
      <w:r w:rsidRPr="00CE0F75">
        <w:rPr>
          <w:szCs w:val="28"/>
        </w:rPr>
        <w:t>0,6</w:t>
      </w:r>
      <w:r w:rsidR="001576A9">
        <w:rPr>
          <w:szCs w:val="28"/>
        </w:rPr>
        <w:t>1; р</w:t>
      </w:r>
      <w:r w:rsidRPr="00CE0F75">
        <w:rPr>
          <w:szCs w:val="28"/>
        </w:rPr>
        <w:t>&lt;0,05), ОТ (</w:t>
      </w:r>
      <w:r w:rsidRPr="00CE0F75">
        <w:rPr>
          <w:szCs w:val="28"/>
          <w:lang w:val="ru-RU"/>
        </w:rPr>
        <w:t>r</w:t>
      </w:r>
      <w:r w:rsidR="001576A9">
        <w:rPr>
          <w:szCs w:val="28"/>
        </w:rPr>
        <w:t>=</w:t>
      </w:r>
      <w:r w:rsidRPr="00CE0F75">
        <w:rPr>
          <w:szCs w:val="28"/>
        </w:rPr>
        <w:t>0,54</w:t>
      </w:r>
      <w:r w:rsidR="001576A9">
        <w:rPr>
          <w:szCs w:val="28"/>
        </w:rPr>
        <w:t>; р</w:t>
      </w:r>
      <w:r w:rsidRPr="00CE0F75">
        <w:rPr>
          <w:szCs w:val="28"/>
        </w:rPr>
        <w:t xml:space="preserve">&lt;0,05) у хворих з ГІМ та </w:t>
      </w:r>
      <w:r w:rsidRPr="00CE0F75">
        <w:rPr>
          <w:szCs w:val="28"/>
          <w:lang w:val="en-US"/>
        </w:rPr>
        <w:t>I</w:t>
      </w:r>
      <w:r w:rsidRPr="00CE0F75">
        <w:rPr>
          <w:szCs w:val="28"/>
        </w:rPr>
        <w:t xml:space="preserve"> ступенем ожиріння, а також прямі зв’язки подібної сили між вітронектином та ІМТ (</w:t>
      </w:r>
      <w:r w:rsidRPr="00CE0F75">
        <w:rPr>
          <w:szCs w:val="28"/>
          <w:lang w:val="ru-RU"/>
        </w:rPr>
        <w:t>r</w:t>
      </w:r>
      <w:r w:rsidR="001576A9">
        <w:rPr>
          <w:szCs w:val="28"/>
        </w:rPr>
        <w:t>=</w:t>
      </w:r>
      <w:r w:rsidRPr="00CE0F75">
        <w:rPr>
          <w:szCs w:val="28"/>
        </w:rPr>
        <w:t>0,59</w:t>
      </w:r>
      <w:r w:rsidR="001576A9">
        <w:rPr>
          <w:szCs w:val="28"/>
        </w:rPr>
        <w:t>; р</w:t>
      </w:r>
      <w:r w:rsidRPr="00CE0F75">
        <w:rPr>
          <w:szCs w:val="28"/>
        </w:rPr>
        <w:t>&lt;0,05), ОТ (</w:t>
      </w:r>
      <w:r w:rsidRPr="00CE0F75">
        <w:rPr>
          <w:szCs w:val="28"/>
          <w:lang w:val="ru-RU"/>
        </w:rPr>
        <w:t>r</w:t>
      </w:r>
      <w:r w:rsidR="001576A9">
        <w:rPr>
          <w:szCs w:val="28"/>
        </w:rPr>
        <w:t>=</w:t>
      </w:r>
      <w:r w:rsidRPr="00CE0F75">
        <w:rPr>
          <w:szCs w:val="28"/>
        </w:rPr>
        <w:t>0,64</w:t>
      </w:r>
      <w:r w:rsidR="001576A9">
        <w:rPr>
          <w:szCs w:val="28"/>
        </w:rPr>
        <w:t>; р</w:t>
      </w:r>
      <w:r w:rsidRPr="00CE0F75">
        <w:rPr>
          <w:szCs w:val="28"/>
        </w:rPr>
        <w:t xml:space="preserve">&lt;0,05) у хворих, що мали </w:t>
      </w:r>
      <w:r w:rsidRPr="00CE0F75">
        <w:rPr>
          <w:szCs w:val="28"/>
          <w:lang w:val="en-US"/>
        </w:rPr>
        <w:t>II</w:t>
      </w:r>
      <w:r w:rsidRPr="00CE0F75">
        <w:rPr>
          <w:szCs w:val="28"/>
        </w:rPr>
        <w:t>-</w:t>
      </w:r>
      <w:r w:rsidRPr="00CE0F75">
        <w:rPr>
          <w:szCs w:val="28"/>
          <w:lang w:val="en-US"/>
        </w:rPr>
        <w:t>III</w:t>
      </w:r>
      <w:r w:rsidRPr="00CE0F75">
        <w:rPr>
          <w:szCs w:val="28"/>
        </w:rPr>
        <w:t xml:space="preserve"> ступінь ожиріння. Дані наведено на рис.5.3.</w:t>
      </w:r>
    </w:p>
    <w:p w:rsidR="00CE0F75" w:rsidRPr="00CE0F75" w:rsidRDefault="00CE0F75" w:rsidP="00CE0F75">
      <w:pPr>
        <w:spacing w:after="0" w:line="360" w:lineRule="auto"/>
        <w:ind w:firstLine="567"/>
        <w:jc w:val="both"/>
        <w:rPr>
          <w:szCs w:val="28"/>
        </w:rPr>
      </w:pPr>
      <w:r w:rsidRPr="00CE0F75">
        <w:rPr>
          <w:szCs w:val="28"/>
        </w:rPr>
        <w:t>Отримані дані свідчать про те, що зростання маси тіла у хворих з ГІМ та абдомінальним типом ожиріння супроводжується збільшенням активності маркера адгезії вітронектина. Такі результати можуть бути обумовлені тим, що дослідження останніх років показали здатність стромальної судинної фракції адипоцитарної тканини продукувати вітронектин з подальшим трансфером даного параметра до циркуляції, де він зв’язується з РАІ-1, що забезпечує активну форму останнього α</w:t>
      </w:r>
      <w:r w:rsidRPr="00CE0F75">
        <w:rPr>
          <w:szCs w:val="28"/>
          <w:vertAlign w:val="subscript"/>
          <w:lang w:val="en-US"/>
        </w:rPr>
        <w:t>v</w:t>
      </w:r>
      <w:r w:rsidRPr="00CE0F75">
        <w:rPr>
          <w:szCs w:val="28"/>
          <w:lang w:val="en-US"/>
        </w:rPr>
        <w:t>β</w:t>
      </w:r>
      <w:r w:rsidRPr="00CE0F75">
        <w:rPr>
          <w:szCs w:val="28"/>
          <w:vertAlign w:val="subscript"/>
        </w:rPr>
        <w:t xml:space="preserve">3 </w:t>
      </w:r>
      <w:r w:rsidRPr="00CE0F75">
        <w:rPr>
          <w:szCs w:val="28"/>
        </w:rPr>
        <w:t>інтегрин-опосередкованим шляхом [100].</w:t>
      </w:r>
    </w:p>
    <w:p w:rsidR="00CE0F75" w:rsidRPr="00CE0F75" w:rsidRDefault="00CE0F75" w:rsidP="00CE0F75">
      <w:pPr>
        <w:spacing w:after="0" w:line="360" w:lineRule="auto"/>
        <w:ind w:firstLine="567"/>
        <w:jc w:val="both"/>
        <w:rPr>
          <w:szCs w:val="28"/>
        </w:rPr>
      </w:pPr>
    </w:p>
    <w:p w:rsidR="00CE0F75" w:rsidRPr="00CE0F75" w:rsidRDefault="00654476"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Pr>
          <w:szCs w:val="28"/>
          <w:lang w:val="ru-RU"/>
        </w:rPr>
        <w:lastRenderedPageBreak/>
        <w:pict>
          <v:shape id="_x0000_s1489" type="#_x0000_t202" style="position:absolute;left:0;text-align:left;margin-left:19.8pt;margin-top:146.15pt;width:56.95pt;height:26.4pt;z-index:251645440" stroked="f">
            <v:textbox>
              <w:txbxContent>
                <w:p w:rsidR="00EA6E07" w:rsidRPr="00BE6743" w:rsidRDefault="00EA6E07" w:rsidP="00CE0F75">
                  <w:pPr>
                    <w:rPr>
                      <w:szCs w:val="28"/>
                    </w:rPr>
                  </w:pPr>
                  <w:r w:rsidRPr="00BE6743">
                    <w:rPr>
                      <w:szCs w:val="28"/>
                    </w:rPr>
                    <w:t>r=0,61</w:t>
                  </w:r>
                </w:p>
              </w:txbxContent>
            </v:textbox>
          </v:shape>
        </w:pict>
      </w:r>
      <w:r>
        <w:rPr>
          <w:szCs w:val="28"/>
          <w:lang w:val="ru-RU"/>
        </w:rPr>
        <w:pict>
          <v:shape id="_x0000_s1490" type="#_x0000_t202" style="position:absolute;left:0;text-align:left;margin-left:186pt;margin-top:146.05pt;width:52.9pt;height:26.5pt;z-index:251646464" stroked="f">
            <v:textbox>
              <w:txbxContent>
                <w:p w:rsidR="00EA6E07" w:rsidRPr="00BE6743" w:rsidRDefault="00EA6E07" w:rsidP="00CE0F75">
                  <w:pPr>
                    <w:rPr>
                      <w:szCs w:val="28"/>
                    </w:rPr>
                  </w:pPr>
                  <w:r w:rsidRPr="00BE6743">
                    <w:rPr>
                      <w:szCs w:val="28"/>
                    </w:rPr>
                    <w:t>r=0,54</w:t>
                  </w:r>
                </w:p>
              </w:txbxContent>
            </v:textbox>
          </v:shape>
        </w:pict>
      </w:r>
      <w:r>
        <w:rPr>
          <w:szCs w:val="28"/>
          <w:lang w:val="ru-RU"/>
        </w:rPr>
        <w:pict>
          <v:shape id="_x0000_s1495" type="#_x0000_t202" style="position:absolute;left:0;text-align:left;margin-left:247.45pt;margin-top:150.15pt;width:53.75pt;height:24pt;z-index:251647488" stroked="f">
            <v:textbox>
              <w:txbxContent>
                <w:p w:rsidR="00EA6E07" w:rsidRPr="00BE6743" w:rsidRDefault="00EA6E07" w:rsidP="00CE0F75">
                  <w:pPr>
                    <w:rPr>
                      <w:szCs w:val="28"/>
                    </w:rPr>
                  </w:pPr>
                  <w:r>
                    <w:rPr>
                      <w:szCs w:val="28"/>
                    </w:rPr>
                    <w:t>r=0,59</w:t>
                  </w:r>
                </w:p>
                <w:p w:rsidR="00EA6E07" w:rsidRDefault="00EA6E07" w:rsidP="00CE0F75"/>
              </w:txbxContent>
            </v:textbox>
          </v:shape>
        </w:pict>
      </w:r>
      <w:r>
        <w:rPr>
          <w:szCs w:val="28"/>
          <w:lang w:val="ru-RU"/>
        </w:rPr>
        <w:pict>
          <v:shape id="_x0000_s1496" type="#_x0000_t202" style="position:absolute;left:0;text-align:left;margin-left:417.15pt;margin-top:150.15pt;width:60.2pt;height:22.4pt;z-index:251648512" stroked="f">
            <v:textbox>
              <w:txbxContent>
                <w:p w:rsidR="00EA6E07" w:rsidRPr="00BE6743" w:rsidRDefault="00EA6E07" w:rsidP="00CE0F75">
                  <w:pPr>
                    <w:rPr>
                      <w:szCs w:val="28"/>
                    </w:rPr>
                  </w:pPr>
                  <w:r>
                    <w:rPr>
                      <w:szCs w:val="28"/>
                    </w:rPr>
                    <w:t>r=0,6</w:t>
                  </w:r>
                  <w:r w:rsidRPr="00BE6743">
                    <w:rPr>
                      <w:szCs w:val="28"/>
                    </w:rPr>
                    <w:t>4</w:t>
                  </w:r>
                </w:p>
                <w:p w:rsidR="00EA6E07" w:rsidRDefault="00EA6E07" w:rsidP="00CE0F75"/>
              </w:txbxContent>
            </v:textbox>
          </v:shape>
        </w:pict>
      </w:r>
      <w:r w:rsidR="00CE0F75" w:rsidRPr="00CE0F75">
        <w:rPr>
          <w:noProof/>
          <w:szCs w:val="28"/>
          <w:lang w:val="ru-RU" w:eastAsia="ru-RU"/>
        </w:rPr>
        <w:drawing>
          <wp:inline distT="0" distB="0" distL="0" distR="0">
            <wp:extent cx="2743200" cy="2876550"/>
            <wp:effectExtent l="0" t="0" r="0" b="0"/>
            <wp:docPr id="17"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CE0F75" w:rsidRPr="00CE0F75">
        <w:rPr>
          <w:noProof/>
          <w:szCs w:val="28"/>
          <w:lang w:val="ru-RU" w:eastAsia="ru-RU"/>
        </w:rPr>
        <w:drawing>
          <wp:inline distT="0" distB="0" distL="0" distR="0">
            <wp:extent cx="3166820" cy="2869565"/>
            <wp:effectExtent l="0" t="0" r="0" b="45085"/>
            <wp:docPr id="18"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lang w:val="ru-RU"/>
        </w:rPr>
        <w:lastRenderedPageBreak/>
        <w:t xml:space="preserve">Ожиріння </w:t>
      </w:r>
      <w:r w:rsidRPr="00CE0F75">
        <w:rPr>
          <w:szCs w:val="28"/>
          <w:lang w:val="en-US"/>
        </w:rPr>
        <w:t>I</w:t>
      </w:r>
      <w:r w:rsidRPr="00CE0F75">
        <w:rPr>
          <w:szCs w:val="28"/>
          <w:lang w:val="ru-RU"/>
        </w:rPr>
        <w:t xml:space="preserve"> ступеня</w:t>
      </w:r>
      <w:r w:rsidRPr="00CE0F75">
        <w:rPr>
          <w:szCs w:val="28"/>
          <w:lang w:val="ru-RU"/>
        </w:rPr>
        <w:tab/>
      </w:r>
      <w:r w:rsidRPr="00CE0F75">
        <w:rPr>
          <w:szCs w:val="28"/>
          <w:lang w:val="ru-RU"/>
        </w:rPr>
        <w:tab/>
        <w:t xml:space="preserve">Ожиріння </w:t>
      </w:r>
      <w:r w:rsidRPr="00CE0F75">
        <w:rPr>
          <w:szCs w:val="28"/>
        </w:rPr>
        <w:t>II-III ступеня</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rPr>
        <w:lastRenderedPageBreak/>
        <w:t>Рис.6.3. – Кореляційні зв</w:t>
      </w:r>
      <w:r w:rsidRPr="00CE0F75">
        <w:rPr>
          <w:szCs w:val="28"/>
          <w:lang w:val="ru-RU"/>
        </w:rPr>
        <w:t>’</w:t>
      </w:r>
      <w:r w:rsidRPr="00CE0F75">
        <w:rPr>
          <w:szCs w:val="28"/>
        </w:rPr>
        <w:t>язки між вітронектином та показниками антропометрії у хворих на ГІМ залежно від ступеня супутнього ожиріння</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p>
    <w:p w:rsidR="00CE0F75" w:rsidRPr="00CE0F75" w:rsidRDefault="00CE0F75" w:rsidP="00CE0F75">
      <w:pPr>
        <w:spacing w:after="0" w:line="360" w:lineRule="auto"/>
        <w:ind w:firstLine="567"/>
        <w:jc w:val="both"/>
        <w:rPr>
          <w:szCs w:val="28"/>
        </w:rPr>
      </w:pPr>
      <w:r w:rsidRPr="00CE0F75">
        <w:rPr>
          <w:szCs w:val="28"/>
        </w:rPr>
        <w:lastRenderedPageBreak/>
        <w:t>Наступним етапом у дизайні дослідження було вивчення наявності та характеру зв’язків між галектином-3, вітронектином та показниками кардіогемодинаміки у хворих з ГІМ та ожирінням. Знайдено прямі кореляційні зв’язки між галектином-3 та параметрами КДО (</w:t>
      </w:r>
      <w:r w:rsidRPr="00CE0F75">
        <w:rPr>
          <w:szCs w:val="28"/>
          <w:lang w:val="ru-RU"/>
        </w:rPr>
        <w:t>r</w:t>
      </w:r>
      <w:r w:rsidR="001576A9">
        <w:rPr>
          <w:szCs w:val="28"/>
        </w:rPr>
        <w:t>=</w:t>
      </w:r>
      <w:r w:rsidRPr="00CE0F75">
        <w:rPr>
          <w:szCs w:val="28"/>
        </w:rPr>
        <w:t>0,57</w:t>
      </w:r>
      <w:r w:rsidR="001576A9">
        <w:rPr>
          <w:szCs w:val="28"/>
        </w:rPr>
        <w:t>; р</w:t>
      </w:r>
      <w:r w:rsidRPr="00CE0F75">
        <w:rPr>
          <w:szCs w:val="28"/>
        </w:rPr>
        <w:t>&lt;0,05), КСО (</w:t>
      </w:r>
      <w:r w:rsidRPr="00CE0F75">
        <w:rPr>
          <w:szCs w:val="28"/>
          <w:lang w:val="ru-RU"/>
        </w:rPr>
        <w:t>r</w:t>
      </w:r>
      <w:r w:rsidR="001576A9">
        <w:rPr>
          <w:szCs w:val="28"/>
        </w:rPr>
        <w:t>=</w:t>
      </w:r>
      <w:r w:rsidRPr="00CE0F75">
        <w:rPr>
          <w:szCs w:val="28"/>
        </w:rPr>
        <w:t>0,64</w:t>
      </w:r>
      <w:r w:rsidR="001576A9">
        <w:rPr>
          <w:szCs w:val="28"/>
        </w:rPr>
        <w:t>; р</w:t>
      </w:r>
      <w:r w:rsidRPr="00CE0F75">
        <w:rPr>
          <w:szCs w:val="28"/>
        </w:rPr>
        <w:t>&lt;0,05), ІММЛШ (</w:t>
      </w:r>
      <w:r w:rsidRPr="00CE0F75">
        <w:rPr>
          <w:szCs w:val="28"/>
          <w:lang w:val="ru-RU"/>
        </w:rPr>
        <w:t>r</w:t>
      </w:r>
      <w:r w:rsidR="001576A9">
        <w:rPr>
          <w:szCs w:val="28"/>
        </w:rPr>
        <w:t>=</w:t>
      </w:r>
      <w:r w:rsidRPr="00CE0F75">
        <w:rPr>
          <w:szCs w:val="28"/>
        </w:rPr>
        <w:t xml:space="preserve">0,59; р&lt;0,05), </w:t>
      </w:r>
      <w:r w:rsidRPr="00CE0F75">
        <w:rPr>
          <w:szCs w:val="28"/>
          <w:lang w:val="en-US"/>
        </w:rPr>
        <w:t>Ea</w:t>
      </w:r>
      <w:r w:rsidRPr="00CE0F75">
        <w:rPr>
          <w:szCs w:val="28"/>
        </w:rPr>
        <w:t>/</w:t>
      </w:r>
      <w:r w:rsidRPr="00CE0F75">
        <w:rPr>
          <w:szCs w:val="28"/>
          <w:lang w:val="en-US"/>
        </w:rPr>
        <w:t>Es</w:t>
      </w:r>
      <w:r w:rsidRPr="00CE0F75">
        <w:rPr>
          <w:szCs w:val="28"/>
        </w:rPr>
        <w:t xml:space="preserve"> (</w:t>
      </w:r>
      <w:r w:rsidRPr="00CE0F75">
        <w:rPr>
          <w:szCs w:val="28"/>
          <w:lang w:val="ru-RU"/>
        </w:rPr>
        <w:t>r</w:t>
      </w:r>
      <w:r w:rsidR="001576A9">
        <w:rPr>
          <w:szCs w:val="28"/>
        </w:rPr>
        <w:t>=</w:t>
      </w:r>
      <w:r w:rsidRPr="00CE0F75">
        <w:rPr>
          <w:szCs w:val="28"/>
        </w:rPr>
        <w:t>0,72</w:t>
      </w:r>
      <w:r w:rsidR="001576A9">
        <w:rPr>
          <w:szCs w:val="28"/>
        </w:rPr>
        <w:t>; р</w:t>
      </w:r>
      <w:r w:rsidRPr="00CE0F75">
        <w:rPr>
          <w:szCs w:val="28"/>
        </w:rPr>
        <w:t>&lt;0,05) та зв’язок зворотнього характеру з ФВ (</w:t>
      </w:r>
      <w:r w:rsidRPr="00CE0F75">
        <w:rPr>
          <w:szCs w:val="28"/>
          <w:lang w:val="ru-RU"/>
        </w:rPr>
        <w:t>r</w:t>
      </w:r>
      <w:r w:rsidR="001576A9">
        <w:rPr>
          <w:szCs w:val="28"/>
        </w:rPr>
        <w:t>=-</w:t>
      </w:r>
      <w:r w:rsidRPr="00CE0F75">
        <w:rPr>
          <w:szCs w:val="28"/>
        </w:rPr>
        <w:t>0,38</w:t>
      </w:r>
      <w:r w:rsidR="001576A9">
        <w:rPr>
          <w:szCs w:val="28"/>
        </w:rPr>
        <w:t>; р</w:t>
      </w:r>
      <w:r w:rsidRPr="00CE0F75">
        <w:rPr>
          <w:szCs w:val="28"/>
        </w:rPr>
        <w:t>&lt;0,05). Дані представлені на рис. 5.4.</w:t>
      </w:r>
    </w:p>
    <w:p w:rsidR="00CE0F75" w:rsidRPr="00CE0F75" w:rsidRDefault="00CE0F75" w:rsidP="00CE0F75">
      <w:pPr>
        <w:spacing w:after="0" w:line="360" w:lineRule="auto"/>
        <w:ind w:firstLine="567"/>
        <w:jc w:val="both"/>
        <w:rPr>
          <w:szCs w:val="28"/>
        </w:rPr>
      </w:pPr>
      <w:r w:rsidRPr="00CE0F75">
        <w:rPr>
          <w:szCs w:val="28"/>
        </w:rPr>
        <w:t xml:space="preserve">Характер отриманих зв’язків вказує на збільшення порожнин лівого шлуночка, ступеня гіпертрофії ЛШ, міокардіально-артеріальної жорсткості у відповідь на гіперактивність галектину-3 у хворих на ГІМ на тлі супутнього ожиріння. Такі результати можуть бути обумовлені залученням галектину-3 до регуляції зв’язків клітина – екстрацелюлярний матрикс шляхом активації параметрів конфігурації позаклітинного матриксу – матриксної металопротеїнази – 3, фактору фіброзу моноцитарного хемоатрактантного протеїну-1 (МСР-1) та представлення системи </w:t>
      </w:r>
      <w:r w:rsidRPr="00CE0F75">
        <w:rPr>
          <w:szCs w:val="28"/>
        </w:rPr>
        <w:lastRenderedPageBreak/>
        <w:t>цитокінів інтерлейкін-8 (ІЛ-8), які в свою чергу грають роль у процесах ремоделювання міокарда.</w:t>
      </w:r>
    </w:p>
    <w:p w:rsidR="00CE0F75" w:rsidRPr="00CE0F75" w:rsidRDefault="00CE0F75" w:rsidP="00CE0F75">
      <w:pPr>
        <w:spacing w:after="0" w:line="360" w:lineRule="auto"/>
        <w:ind w:firstLine="567"/>
        <w:jc w:val="both"/>
        <w:rPr>
          <w:szCs w:val="28"/>
        </w:rPr>
      </w:pPr>
    </w:p>
    <w:p w:rsidR="00CE0F75" w:rsidRPr="00CE0F75" w:rsidRDefault="00654476"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Pr>
          <w:szCs w:val="28"/>
          <w:lang w:val="ru-RU"/>
        </w:rPr>
        <w:pict>
          <v:shape id="_x0000_s1501" type="#_x0000_t202" style="position:absolute;left:0;text-align:left;margin-left:245pt;margin-top:214.8pt;width:69.15pt;height:25.2pt;z-index:251649536" stroked="f">
            <v:textbox>
              <w:txbxContent>
                <w:p w:rsidR="00EA6E07" w:rsidRDefault="00EA6E07" w:rsidP="00CE0F75">
                  <w:r w:rsidRPr="006670BC">
                    <w:rPr>
                      <w:rFonts w:eastAsia="Calibri"/>
                      <w:szCs w:val="28"/>
                      <w:lang w:val="ru-RU"/>
                    </w:rPr>
                    <w:t>r</w:t>
                  </w:r>
                  <w:r w:rsidRPr="006670BC">
                    <w:rPr>
                      <w:rFonts w:eastAsia="Calibri"/>
                      <w:szCs w:val="28"/>
                    </w:rPr>
                    <w:t xml:space="preserve"> =</w:t>
                  </w:r>
                  <w:r>
                    <w:rPr>
                      <w:rFonts w:eastAsia="Calibri"/>
                      <w:szCs w:val="28"/>
                    </w:rPr>
                    <w:t xml:space="preserve"> - </w:t>
                  </w:r>
                  <w:r w:rsidRPr="006670BC">
                    <w:rPr>
                      <w:rFonts w:eastAsia="Calibri"/>
                      <w:szCs w:val="28"/>
                    </w:rPr>
                    <w:t>0,</w:t>
                  </w:r>
                  <w:r>
                    <w:rPr>
                      <w:rFonts w:eastAsia="Calibri"/>
                      <w:szCs w:val="28"/>
                    </w:rPr>
                    <w:t>38</w:t>
                  </w:r>
                </w:p>
              </w:txbxContent>
            </v:textbox>
          </v:shape>
        </w:pict>
      </w:r>
      <w:r>
        <w:rPr>
          <w:szCs w:val="28"/>
          <w:lang w:val="ru-RU"/>
        </w:rPr>
        <w:pict>
          <v:shape id="_x0000_s1500" type="#_x0000_t202" style="position:absolute;left:0;text-align:left;margin-left:117.1pt;margin-top:183.1pt;width:61.85pt;height:23.15pt;z-index:251650560"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59</w:t>
                  </w:r>
                </w:p>
              </w:txbxContent>
            </v:textbox>
          </v:shape>
        </w:pict>
      </w:r>
      <w:r>
        <w:rPr>
          <w:szCs w:val="28"/>
          <w:lang w:val="ru-RU"/>
        </w:rPr>
        <w:pict>
          <v:shape id="_x0000_s1499" type="#_x0000_t202" style="position:absolute;left:0;text-align:left;margin-left:312pt;margin-top:146.8pt;width:63.45pt;height:22.4pt;z-index:251651584"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72</w:t>
                  </w:r>
                </w:p>
              </w:txbxContent>
            </v:textbox>
          </v:shape>
        </w:pict>
      </w:r>
      <w:r>
        <w:rPr>
          <w:szCs w:val="28"/>
          <w:lang w:val="ru-RU"/>
        </w:rPr>
        <w:pict>
          <v:shape id="_x0000_s1498" type="#_x0000_t202" style="position:absolute;left:0;text-align:left;margin-left:248.7pt;margin-top:72.85pt;width:59.35pt;height:22.35pt;z-index:251652608"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64</w:t>
                  </w:r>
                </w:p>
              </w:txbxContent>
            </v:textbox>
          </v:shape>
        </w:pict>
      </w:r>
      <w:r>
        <w:rPr>
          <w:szCs w:val="28"/>
          <w:lang w:val="ru-RU"/>
        </w:rPr>
        <w:pict>
          <v:shape id="_x0000_s1497" type="#_x0000_t202" style="position:absolute;left:0;text-align:left;margin-left:119.05pt;margin-top:97.25pt;width:63.45pt;height:21.95pt;z-index:251653632;mso-position-horizontal:absolute" stroked="f">
            <v:textbox>
              <w:txbxContent>
                <w:p w:rsidR="00EA6E07" w:rsidRPr="002A0AEA" w:rsidRDefault="00EA6E07" w:rsidP="00CE0F75">
                  <w:pPr>
                    <w:rPr>
                      <w:lang w:val="ru-RU"/>
                    </w:rPr>
                  </w:pPr>
                  <w:r w:rsidRPr="006670BC">
                    <w:rPr>
                      <w:rFonts w:eastAsia="Calibri"/>
                      <w:szCs w:val="28"/>
                      <w:lang w:val="ru-RU"/>
                    </w:rPr>
                    <w:t>r</w:t>
                  </w:r>
                  <w:r w:rsidRPr="006670BC">
                    <w:rPr>
                      <w:rFonts w:eastAsia="Calibri"/>
                      <w:szCs w:val="28"/>
                    </w:rPr>
                    <w:t xml:space="preserve"> = 0,</w:t>
                  </w:r>
                  <w:r>
                    <w:rPr>
                      <w:rFonts w:eastAsia="Calibri"/>
                      <w:szCs w:val="28"/>
                    </w:rPr>
                    <w:t>57</w:t>
                  </w:r>
                </w:p>
              </w:txbxContent>
            </v:textbox>
          </v:shape>
        </w:pict>
      </w:r>
      <w:r w:rsidR="00CE0F75" w:rsidRPr="00CE0F75">
        <w:rPr>
          <w:noProof/>
          <w:szCs w:val="28"/>
          <w:lang w:val="ru-RU" w:eastAsia="ru-RU"/>
        </w:rPr>
        <w:drawing>
          <wp:inline distT="0" distB="0" distL="0" distR="0">
            <wp:extent cx="5486400" cy="3693763"/>
            <wp:effectExtent l="0" t="0" r="0" b="40640"/>
            <wp:docPr id="19"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CE0F75" w:rsidRPr="00CE0F75" w:rsidRDefault="00CE0F75" w:rsidP="00CE0F75">
      <w:pPr>
        <w:spacing w:after="0" w:line="360" w:lineRule="auto"/>
        <w:ind w:firstLine="567"/>
        <w:jc w:val="both"/>
        <w:rPr>
          <w:szCs w:val="28"/>
        </w:rPr>
      </w:pPr>
      <w:r w:rsidRPr="00CE0F75">
        <w:rPr>
          <w:szCs w:val="28"/>
        </w:rPr>
        <w:lastRenderedPageBreak/>
        <w:t xml:space="preserve">Рис. </w:t>
      </w:r>
      <w:r w:rsidRPr="00CE0F75">
        <w:rPr>
          <w:szCs w:val="28"/>
          <w:lang w:val="ru-RU"/>
        </w:rPr>
        <w:t>5</w:t>
      </w:r>
      <w:r w:rsidRPr="00CE0F75">
        <w:rPr>
          <w:szCs w:val="28"/>
        </w:rPr>
        <w:t>.4. - Кореляційні зв</w:t>
      </w:r>
      <w:r w:rsidRPr="00CE0F75">
        <w:rPr>
          <w:szCs w:val="28"/>
          <w:lang w:val="ru-RU"/>
        </w:rPr>
        <w:t>’</w:t>
      </w:r>
      <w:r w:rsidRPr="00CE0F75">
        <w:rPr>
          <w:szCs w:val="28"/>
        </w:rPr>
        <w:t>язки між галектином-3 та показниками кард</w:t>
      </w:r>
      <w:r w:rsidRPr="00CE0F75">
        <w:rPr>
          <w:szCs w:val="28"/>
          <w:lang w:val="ru-RU"/>
        </w:rPr>
        <w:t>і</w:t>
      </w:r>
      <w:r w:rsidRPr="00CE0F75">
        <w:rPr>
          <w:szCs w:val="28"/>
        </w:rPr>
        <w:t>огемодинаміки та показниками антропометрії у хворих на ГІМ та ожиріння.</w:t>
      </w:r>
    </w:p>
    <w:p w:rsidR="00CE0F75" w:rsidRPr="00CE0F75" w:rsidRDefault="00654476" w:rsidP="00CE0F75">
      <w:pPr>
        <w:spacing w:after="0" w:line="360" w:lineRule="auto"/>
        <w:ind w:firstLine="567"/>
        <w:jc w:val="both"/>
        <w:rPr>
          <w:szCs w:val="28"/>
        </w:rPr>
      </w:pPr>
      <w:r>
        <w:rPr>
          <w:szCs w:val="28"/>
          <w:lang w:val="ru-RU"/>
        </w:rPr>
        <w:pict>
          <v:shape id="_x0000_s1502" type="#_x0000_t32" style="position:absolute;left:0;text-align:left;margin-left:102.9pt;margin-top:8pt;width:37.05pt;height:0;z-index:251654656" o:connectortype="straight"/>
        </w:pict>
      </w:r>
      <w:r w:rsidR="00CE0F75" w:rsidRPr="00CE0F75">
        <w:rPr>
          <w:szCs w:val="28"/>
        </w:rPr>
        <w:t>Примітка:               - прямий зв’язок;  - - - - - - зворотній зв’язок</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p>
    <w:p w:rsidR="00D56449" w:rsidRPr="00F407BB" w:rsidRDefault="00D56449" w:rsidP="00CE0F75">
      <w:pPr>
        <w:spacing w:after="0" w:line="360" w:lineRule="auto"/>
        <w:ind w:firstLine="567"/>
        <w:jc w:val="both"/>
        <w:rPr>
          <w:szCs w:val="28"/>
        </w:rPr>
      </w:pPr>
    </w:p>
    <w:p w:rsidR="00CE0F75" w:rsidRPr="00CE0F75" w:rsidRDefault="00CE0F75" w:rsidP="00CE0F75">
      <w:pPr>
        <w:spacing w:after="0" w:line="360" w:lineRule="auto"/>
        <w:ind w:firstLine="567"/>
        <w:jc w:val="both"/>
        <w:rPr>
          <w:szCs w:val="28"/>
        </w:rPr>
      </w:pPr>
      <w:r w:rsidRPr="00CE0F75">
        <w:rPr>
          <w:szCs w:val="28"/>
        </w:rPr>
        <w:t xml:space="preserve">Крім того, у дослідженні George </w:t>
      </w:r>
      <w:r w:rsidRPr="00CE0F75">
        <w:rPr>
          <w:szCs w:val="28"/>
          <w:lang w:val="en-US"/>
        </w:rPr>
        <w:t>M</w:t>
      </w:r>
      <w:r w:rsidRPr="00CE0F75">
        <w:rPr>
          <w:szCs w:val="28"/>
        </w:rPr>
        <w:t xml:space="preserve">. у хворих з ГКС висока експресія галектину-3 супроводжується зниженням ФВ ЛШ [101], а також як зростанням ступеня гіпертрофії міокарда ЛШ за даними </w:t>
      </w:r>
      <w:r w:rsidRPr="00CE0F75">
        <w:rPr>
          <w:szCs w:val="28"/>
          <w:lang w:val="en-US"/>
        </w:rPr>
        <w:t>Yakar</w:t>
      </w:r>
      <w:r w:rsidRPr="00CE0F75">
        <w:rPr>
          <w:szCs w:val="28"/>
        </w:rPr>
        <w:t xml:space="preserve"> </w:t>
      </w:r>
      <w:r w:rsidRPr="00CE0F75">
        <w:rPr>
          <w:szCs w:val="28"/>
          <w:lang w:val="en-US"/>
        </w:rPr>
        <w:t>Tuluce</w:t>
      </w:r>
      <w:r w:rsidRPr="00CE0F75">
        <w:rPr>
          <w:szCs w:val="28"/>
        </w:rPr>
        <w:t xml:space="preserve"> [102], так і міокардіального фіброзу [103].</w:t>
      </w:r>
    </w:p>
    <w:p w:rsidR="00CE0F75" w:rsidRPr="00CE0F75" w:rsidRDefault="00CE0F75" w:rsidP="00CE0F75">
      <w:pPr>
        <w:spacing w:after="0" w:line="360" w:lineRule="auto"/>
        <w:ind w:firstLine="567"/>
        <w:jc w:val="both"/>
        <w:rPr>
          <w:szCs w:val="28"/>
        </w:rPr>
      </w:pPr>
      <w:r w:rsidRPr="00CE0F75">
        <w:rPr>
          <w:szCs w:val="28"/>
        </w:rPr>
        <w:t>Дослідження зв’язків між параметрами кардіогемодинаміки та рівнем вітронектину також мало результат. Знайдено прямі зв’язки між вітронектином та КДО (</w:t>
      </w:r>
      <w:r w:rsidRPr="00CE0F75">
        <w:rPr>
          <w:szCs w:val="28"/>
          <w:lang w:val="ru-RU"/>
        </w:rPr>
        <w:t>r</w:t>
      </w:r>
      <w:r w:rsidR="00A80B21">
        <w:rPr>
          <w:szCs w:val="28"/>
        </w:rPr>
        <w:t>=</w:t>
      </w:r>
      <w:r w:rsidRPr="00CE0F75">
        <w:rPr>
          <w:szCs w:val="28"/>
        </w:rPr>
        <w:t>0,48; р&lt;0,05), КСО (</w:t>
      </w:r>
      <w:r w:rsidRPr="00CE0F75">
        <w:rPr>
          <w:szCs w:val="28"/>
          <w:lang w:val="ru-RU"/>
        </w:rPr>
        <w:t>r</w:t>
      </w:r>
      <w:r w:rsidRPr="00CE0F75">
        <w:rPr>
          <w:szCs w:val="28"/>
        </w:rPr>
        <w:t>=</w:t>
      </w:r>
      <w:r w:rsidR="00A80B21">
        <w:rPr>
          <w:szCs w:val="28"/>
        </w:rPr>
        <w:t>0,44; р</w:t>
      </w:r>
      <w:r w:rsidRPr="00CE0F75">
        <w:rPr>
          <w:szCs w:val="28"/>
        </w:rPr>
        <w:t>&lt;0,05), КДР (</w:t>
      </w:r>
      <w:r w:rsidRPr="00CE0F75">
        <w:rPr>
          <w:szCs w:val="28"/>
          <w:lang w:val="ru-RU"/>
        </w:rPr>
        <w:t>r</w:t>
      </w:r>
      <w:r w:rsidR="00A80B21">
        <w:rPr>
          <w:szCs w:val="28"/>
        </w:rPr>
        <w:t>=0,56; р</w:t>
      </w:r>
      <w:r w:rsidRPr="00CE0F75">
        <w:rPr>
          <w:szCs w:val="28"/>
        </w:rPr>
        <w:t>&lt;0,05), Еа/</w:t>
      </w:r>
      <w:r w:rsidRPr="00CE0F75">
        <w:rPr>
          <w:szCs w:val="28"/>
          <w:lang w:val="en-US"/>
        </w:rPr>
        <w:t>Es</w:t>
      </w:r>
      <w:r w:rsidRPr="00CE0F75">
        <w:rPr>
          <w:szCs w:val="28"/>
        </w:rPr>
        <w:t xml:space="preserve"> (</w:t>
      </w:r>
      <w:r w:rsidRPr="00CE0F75">
        <w:rPr>
          <w:szCs w:val="28"/>
          <w:lang w:val="ru-RU"/>
        </w:rPr>
        <w:t>r</w:t>
      </w:r>
      <w:r w:rsidRPr="00CE0F75">
        <w:rPr>
          <w:szCs w:val="28"/>
        </w:rPr>
        <w:t>=0,59; р&lt;0,05) та зворотній зв’язок з ФВ (</w:t>
      </w:r>
      <w:r w:rsidRPr="00CE0F75">
        <w:rPr>
          <w:szCs w:val="28"/>
          <w:lang w:val="ru-RU"/>
        </w:rPr>
        <w:t>r</w:t>
      </w:r>
      <w:r w:rsidRPr="00CE0F75">
        <w:rPr>
          <w:szCs w:val="28"/>
        </w:rPr>
        <w:t>=-0</w:t>
      </w:r>
      <w:r w:rsidR="00A80B21">
        <w:rPr>
          <w:szCs w:val="28"/>
        </w:rPr>
        <w:t>,41; р</w:t>
      </w:r>
      <w:r w:rsidRPr="00CE0F75">
        <w:rPr>
          <w:szCs w:val="28"/>
        </w:rPr>
        <w:t xml:space="preserve">&lt;0,05). Дані наведено на рис. </w:t>
      </w:r>
      <w:r w:rsidRPr="00CE0F75">
        <w:rPr>
          <w:szCs w:val="28"/>
          <w:lang w:val="en-US"/>
        </w:rPr>
        <w:t>5</w:t>
      </w:r>
      <w:r w:rsidRPr="00CE0F75">
        <w:rPr>
          <w:szCs w:val="28"/>
        </w:rPr>
        <w:t>.5.</w:t>
      </w:r>
    </w:p>
    <w:p w:rsidR="00D56449" w:rsidRDefault="00654476" w:rsidP="00CE0F75">
      <w:pPr>
        <w:spacing w:after="0" w:line="360" w:lineRule="auto"/>
        <w:ind w:firstLine="567"/>
        <w:jc w:val="both"/>
        <w:rPr>
          <w:szCs w:val="28"/>
          <w:lang w:val="ru-RU"/>
        </w:rPr>
      </w:pPr>
      <w:r>
        <w:rPr>
          <w:szCs w:val="28"/>
          <w:lang w:val="ru-RU"/>
        </w:rPr>
        <w:pict>
          <v:shape id="_x0000_s1507" type="#_x0000_t202" style="position:absolute;left:0;text-align:left;margin-left:113.45pt;margin-top:144.6pt;width:55.75pt;height:25.25pt;z-index:251655680"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48</w:t>
                  </w:r>
                </w:p>
              </w:txbxContent>
            </v:textbox>
          </v:shape>
        </w:pict>
      </w:r>
      <w:r>
        <w:rPr>
          <w:szCs w:val="28"/>
          <w:lang w:val="ru-RU"/>
        </w:rPr>
        <w:pict>
          <v:shape id="_x0000_s1506" type="#_x0000_t202" style="position:absolute;left:0;text-align:left;margin-left:176.6pt;margin-top:214.55pt;width:54.1pt;height:23.55pt;z-index:251656704"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56</w:t>
                  </w:r>
                </w:p>
              </w:txbxContent>
            </v:textbox>
          </v:shape>
        </w:pict>
      </w:r>
      <w:r>
        <w:rPr>
          <w:szCs w:val="28"/>
          <w:lang w:val="ru-RU"/>
        </w:rPr>
        <w:pict>
          <v:shape id="_x0000_s1505" type="#_x0000_t202" style="position:absolute;left:0;text-align:left;margin-left:324.6pt;margin-top:190.15pt;width:68.35pt;height:25.2pt;z-index:251657728" stroked="f">
            <v:textbox>
              <w:txbxContent>
                <w:p w:rsidR="00EA6E07" w:rsidRDefault="00EA6E07" w:rsidP="00CE0F75">
                  <w:r w:rsidRPr="006670BC">
                    <w:rPr>
                      <w:rFonts w:eastAsia="Calibri"/>
                      <w:szCs w:val="28"/>
                      <w:lang w:val="ru-RU"/>
                    </w:rPr>
                    <w:t>r</w:t>
                  </w:r>
                  <w:r>
                    <w:rPr>
                      <w:rFonts w:eastAsia="Calibri"/>
                      <w:szCs w:val="28"/>
                    </w:rPr>
                    <w:t>= - 0,41</w:t>
                  </w:r>
                </w:p>
              </w:txbxContent>
            </v:textbox>
          </v:shape>
        </w:pict>
      </w:r>
      <w:r>
        <w:rPr>
          <w:szCs w:val="28"/>
          <w:lang w:val="ru-RU"/>
        </w:rPr>
        <w:pict>
          <v:shape id="_x0000_s1504" type="#_x0000_t202" style="position:absolute;left:0;text-align:left;margin-left:314.85pt;margin-top:102.25pt;width:56.15pt;height:22.4pt;z-index:251658752"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w:t>
                  </w:r>
                  <w:r w:rsidRPr="001C4ED2">
                    <w:rPr>
                      <w:rFonts w:eastAsia="Calibri"/>
                      <w:szCs w:val="28"/>
                    </w:rPr>
                    <w:t>9</w:t>
                  </w:r>
                </w:p>
              </w:txbxContent>
            </v:textbox>
          </v:shape>
        </w:pict>
      </w:r>
      <w:r>
        <w:rPr>
          <w:szCs w:val="28"/>
          <w:lang w:val="ru-RU"/>
        </w:rPr>
        <w:pict>
          <v:shape id="_x0000_s1503" type="#_x0000_t202" style="position:absolute;left:0;text-align:left;margin-left:185.9pt;margin-top:73.35pt;width:56.55pt;height:28.5pt;z-index:251659776"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44</w:t>
                  </w:r>
                </w:p>
              </w:txbxContent>
            </v:textbox>
          </v:shape>
        </w:pict>
      </w:r>
      <w:r w:rsidR="00CE0F75" w:rsidRPr="00CE0F75">
        <w:rPr>
          <w:noProof/>
          <w:szCs w:val="28"/>
          <w:lang w:val="ru-RU" w:eastAsia="ru-RU"/>
        </w:rPr>
        <w:drawing>
          <wp:inline distT="0" distB="0" distL="0" distR="0">
            <wp:extent cx="5486400" cy="3693763"/>
            <wp:effectExtent l="0" t="0" r="57150" b="40640"/>
            <wp:docPr id="2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D56449" w:rsidRDefault="00CE0F75" w:rsidP="00CE0F75">
      <w:pPr>
        <w:spacing w:after="0" w:line="360" w:lineRule="auto"/>
        <w:ind w:firstLine="567"/>
        <w:jc w:val="both"/>
        <w:rPr>
          <w:szCs w:val="28"/>
          <w:lang w:val="ru-RU"/>
        </w:rPr>
      </w:pPr>
      <w:r w:rsidRPr="00CE0F75">
        <w:rPr>
          <w:szCs w:val="28"/>
        </w:rPr>
        <w:t xml:space="preserve">Рис. </w:t>
      </w:r>
      <w:r w:rsidRPr="00CE0F75">
        <w:rPr>
          <w:szCs w:val="28"/>
          <w:lang w:val="ru-RU"/>
        </w:rPr>
        <w:t>5</w:t>
      </w:r>
      <w:r w:rsidRPr="00CE0F75">
        <w:rPr>
          <w:szCs w:val="28"/>
        </w:rPr>
        <w:t>.5. – Кореляційні зв</w:t>
      </w:r>
      <w:r w:rsidRPr="00CE0F75">
        <w:rPr>
          <w:szCs w:val="28"/>
          <w:lang w:val="ru-RU"/>
        </w:rPr>
        <w:t>’</w:t>
      </w:r>
      <w:r w:rsidRPr="00CE0F75">
        <w:rPr>
          <w:szCs w:val="28"/>
        </w:rPr>
        <w:t>язки між вітронектином та показниками кард</w:t>
      </w:r>
      <w:r w:rsidRPr="00CE0F75">
        <w:rPr>
          <w:szCs w:val="28"/>
          <w:lang w:val="ru-RU"/>
        </w:rPr>
        <w:t>і</w:t>
      </w:r>
      <w:r w:rsidRPr="00CE0F75">
        <w:rPr>
          <w:szCs w:val="28"/>
        </w:rPr>
        <w:t>огемодинаміки та показниками антропометрії у хворих на ГІМ та ожиріння</w:t>
      </w:r>
    </w:p>
    <w:p w:rsidR="00D56449" w:rsidRPr="00D56449" w:rsidRDefault="00D56449" w:rsidP="00CE0F75">
      <w:pPr>
        <w:spacing w:after="0" w:line="360" w:lineRule="auto"/>
        <w:ind w:firstLine="567"/>
        <w:jc w:val="both"/>
        <w:rPr>
          <w:szCs w:val="28"/>
          <w:lang w:val="ru-RU"/>
        </w:rPr>
        <w:sectPr w:rsidR="00D56449" w:rsidRPr="00D56449" w:rsidSect="00CE0F75">
          <w:headerReference w:type="default" r:id="rId51"/>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rPr>
      </w:pPr>
      <w:r w:rsidRPr="00CE0F75">
        <w:rPr>
          <w:szCs w:val="28"/>
        </w:rPr>
        <w:lastRenderedPageBreak/>
        <w:t xml:space="preserve">Такі результати свідчать на користь зростання об’єму і розміру ЛШ зі зниженням інотропізму разом з наростанням міокардіально-артеріальної жорсткості у хворих на ГІМ з супутнім ожирінням. Отримані дані не суперечать результатам світової медичної спільноти. </w:t>
      </w:r>
    </w:p>
    <w:p w:rsidR="00CE0F75" w:rsidRPr="00CE0F75" w:rsidRDefault="00CE0F75" w:rsidP="00CE0F75">
      <w:pPr>
        <w:spacing w:after="0" w:line="360" w:lineRule="auto"/>
        <w:ind w:firstLine="567"/>
        <w:jc w:val="both"/>
        <w:rPr>
          <w:szCs w:val="28"/>
        </w:rPr>
      </w:pPr>
      <w:r w:rsidRPr="00CE0F75">
        <w:rPr>
          <w:szCs w:val="28"/>
        </w:rPr>
        <w:lastRenderedPageBreak/>
        <w:t xml:space="preserve">Вітронектин – це плазмовий протеїн гострої фази, який регулює клітинну адгезію та міграцію, а також взаємозв’язки між компонентами системи активатор плазміногена / система плазміна, а саме стосовно РАІ-1. Ця система грає головну роль у ремоделюванні тканин шляхом регуляції загоєння ураження після ІМ. Дослідження </w:t>
      </w:r>
      <w:r w:rsidRPr="00CE0F75">
        <w:rPr>
          <w:szCs w:val="28"/>
          <w:lang w:val="en-US"/>
        </w:rPr>
        <w:t>Pate</w:t>
      </w:r>
      <w:r w:rsidRPr="00CE0F75">
        <w:rPr>
          <w:szCs w:val="28"/>
        </w:rPr>
        <w:t xml:space="preserve"> </w:t>
      </w:r>
      <w:r w:rsidRPr="00CE0F75">
        <w:rPr>
          <w:szCs w:val="28"/>
          <w:lang w:val="en-US"/>
        </w:rPr>
        <w:t>G</w:t>
      </w:r>
      <w:r w:rsidRPr="00CE0F75">
        <w:rPr>
          <w:szCs w:val="28"/>
        </w:rPr>
        <w:t xml:space="preserve">. та співавт. показали, що у вітронектин-негативних лабораторних тварин виявлено меншу дилятацію шлуночків та менш виражене порушення ФВ порівняно з вітронектин-позитивними тваринами (40% та 41% відповідно, </w:t>
      </w:r>
      <w:r w:rsidRPr="00CE0F75">
        <w:rPr>
          <w:szCs w:val="28"/>
          <w:lang w:val="en-US"/>
        </w:rPr>
        <w:t>p</w:t>
      </w:r>
      <w:r w:rsidRPr="00CE0F75">
        <w:rPr>
          <w:szCs w:val="28"/>
        </w:rPr>
        <w:t>=0,01) [104]. Морфологічний аналіз визначив, що лабораторні тварини, які не мали вітронектину в сироватці крові, виявили значно меншу за площею зону некрозу.</w:t>
      </w:r>
    </w:p>
    <w:p w:rsidR="00CE0F75" w:rsidRPr="00CE0F75" w:rsidRDefault="00CE0F75" w:rsidP="00CE0F75">
      <w:pPr>
        <w:spacing w:after="0" w:line="360" w:lineRule="auto"/>
        <w:ind w:firstLine="567"/>
        <w:jc w:val="both"/>
        <w:rPr>
          <w:szCs w:val="28"/>
        </w:rPr>
      </w:pPr>
      <w:r w:rsidRPr="00CE0F75">
        <w:rPr>
          <w:szCs w:val="28"/>
        </w:rPr>
        <w:t>Аналіз взаємин між маркером ураження міокарда тропоніном I та адгезивним глікопротеїном екстрацелюлярного матриксу вітронектином показав наявність прямого зв’язку середньої сили (</w:t>
      </w:r>
      <w:r w:rsidRPr="00CE0F75">
        <w:rPr>
          <w:szCs w:val="28"/>
          <w:lang w:val="ru-RU"/>
        </w:rPr>
        <w:t>r</w:t>
      </w:r>
      <w:r w:rsidRPr="00CE0F75">
        <w:rPr>
          <w:szCs w:val="28"/>
        </w:rPr>
        <w:t>=0,64; р&lt;0,05), що свідчить про зростання концентрації тропоніну I при підвищенні рівнів сироваткового вітронектину. Тобто активність адгезивного маркера вітронектину може бути пов’язана з тяжкістю та глибиною ураження міокардіальної ділянки.</w:t>
      </w:r>
    </w:p>
    <w:p w:rsidR="00CE0F75" w:rsidRPr="00CE0F75" w:rsidRDefault="00654476" w:rsidP="00CE0F75">
      <w:pPr>
        <w:spacing w:after="0" w:line="360" w:lineRule="auto"/>
        <w:ind w:firstLine="567"/>
        <w:jc w:val="both"/>
        <w:rPr>
          <w:szCs w:val="28"/>
        </w:rPr>
      </w:pPr>
      <w:r>
        <w:rPr>
          <w:szCs w:val="28"/>
          <w:lang w:val="en-US"/>
        </w:rPr>
        <w:pict>
          <v:shape id="_x0000_s1508" type="#_x0000_t202" style="position:absolute;left:0;text-align:left;margin-left:168.55pt;margin-top:48.9pt;width:54pt;height:26.2pt;z-index:251660800" stroked="f">
            <v:textbox style="mso-next-textbox:#_x0000_s1508">
              <w:txbxContent>
                <w:p w:rsidR="00EA6E07" w:rsidRDefault="00EA6E07" w:rsidP="00CE0F75">
                  <w:pPr>
                    <w:rPr>
                      <w:szCs w:val="28"/>
                    </w:rPr>
                  </w:pPr>
                  <w:r>
                    <w:rPr>
                      <w:szCs w:val="28"/>
                    </w:rPr>
                    <w:t>r=0,64</w:t>
                  </w:r>
                </w:p>
              </w:txbxContent>
            </v:textbox>
          </v:shape>
        </w:pict>
      </w:r>
      <w:r w:rsidR="00CE0F75" w:rsidRPr="00CE0F75">
        <w:rPr>
          <w:noProof/>
          <w:szCs w:val="28"/>
          <w:lang w:val="ru-RU" w:eastAsia="ru-RU"/>
        </w:rPr>
        <w:drawing>
          <wp:inline distT="0" distB="0" distL="0" distR="0">
            <wp:extent cx="6151418" cy="2691246"/>
            <wp:effectExtent l="0" t="0" r="0" b="0"/>
            <wp:docPr id="21"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r w:rsidR="00CE0F75" w:rsidRPr="00F407BB">
        <w:rPr>
          <w:szCs w:val="28"/>
        </w:rPr>
        <w:t xml:space="preserve">Рис. 5.6 – Кореляційний зв’язок між вітронектином. галектином-3 та тропоніном </w:t>
      </w:r>
      <w:r w:rsidR="00CE0F75" w:rsidRPr="00CE0F75">
        <w:rPr>
          <w:szCs w:val="28"/>
          <w:lang w:val="ru-RU"/>
        </w:rPr>
        <w:t>I</w:t>
      </w:r>
      <w:r w:rsidR="00CE0F75" w:rsidRPr="00F407BB">
        <w:rPr>
          <w:szCs w:val="28"/>
        </w:rPr>
        <w:t xml:space="preserve"> у хворих з </w:t>
      </w:r>
      <w:r w:rsidR="00CE0F75" w:rsidRPr="00CE0F75">
        <w:rPr>
          <w:szCs w:val="28"/>
        </w:rPr>
        <w:t>ГІМ та ожирінням.</w:t>
      </w:r>
    </w:p>
    <w:p w:rsidR="00D56449" w:rsidRPr="00F407BB" w:rsidRDefault="00CE0F75" w:rsidP="00CE0F75">
      <w:pPr>
        <w:spacing w:after="0" w:line="360" w:lineRule="auto"/>
        <w:ind w:firstLine="567"/>
        <w:jc w:val="both"/>
        <w:rPr>
          <w:szCs w:val="28"/>
        </w:rPr>
      </w:pPr>
      <w:r w:rsidRPr="00CE0F75">
        <w:rPr>
          <w:szCs w:val="28"/>
        </w:rPr>
        <w:t>Примітка: __________ - прямий зв'язок</w:t>
      </w:r>
    </w:p>
    <w:p w:rsidR="00D56449" w:rsidRPr="00F407BB" w:rsidRDefault="00D56449" w:rsidP="00CE0F75">
      <w:pPr>
        <w:spacing w:after="0" w:line="360" w:lineRule="auto"/>
        <w:ind w:firstLine="567"/>
        <w:jc w:val="both"/>
        <w:rPr>
          <w:szCs w:val="28"/>
        </w:rPr>
        <w:sectPr w:rsidR="00D56449" w:rsidRPr="00F407BB" w:rsidSect="00D56449">
          <w:type w:val="continuous"/>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rPr>
      </w:pPr>
      <w:r w:rsidRPr="00CE0F75">
        <w:rPr>
          <w:szCs w:val="28"/>
        </w:rPr>
        <w:lastRenderedPageBreak/>
        <w:t xml:space="preserve">При проведенні оцінки звязків між параметром фіброгенезу галектином-3 та тропоніном </w:t>
      </w:r>
      <w:r w:rsidRPr="00CE0F75">
        <w:rPr>
          <w:szCs w:val="28"/>
          <w:lang w:val="ru-RU"/>
        </w:rPr>
        <w:t>I</w:t>
      </w:r>
      <w:r w:rsidRPr="00CE0F75">
        <w:rPr>
          <w:szCs w:val="28"/>
        </w:rPr>
        <w:t xml:space="preserve"> у хворих на ГІМ з наявністю супутнього ожиріння вірогідних кореляційних звязків виявлено не було (рис. 5.6)</w:t>
      </w:r>
    </w:p>
    <w:p w:rsidR="00CE0F75" w:rsidRPr="00CE0F75" w:rsidRDefault="00CE0F75" w:rsidP="00CE0F75">
      <w:pPr>
        <w:spacing w:after="0" w:line="360" w:lineRule="auto"/>
        <w:ind w:firstLine="567"/>
        <w:jc w:val="both"/>
        <w:rPr>
          <w:szCs w:val="28"/>
        </w:rPr>
      </w:pPr>
      <w:r w:rsidRPr="00CE0F75">
        <w:rPr>
          <w:szCs w:val="28"/>
        </w:rPr>
        <w:t>Отримані у нашому дослідженні результати не суперечать даним світової медичної спільноти. Так у дослідженні [203] показано відсутність зв’язків міжактивністю маркера ураження міокарда тропоніном І та маркером фіброгенезу галектином-3.</w:t>
      </w:r>
    </w:p>
    <w:p w:rsidR="00CE0F75" w:rsidRPr="00CE0F75" w:rsidRDefault="00CE0F75" w:rsidP="00CE0F75">
      <w:pPr>
        <w:spacing w:after="0" w:line="360" w:lineRule="auto"/>
        <w:ind w:firstLine="567"/>
        <w:jc w:val="both"/>
        <w:rPr>
          <w:szCs w:val="28"/>
        </w:rPr>
      </w:pPr>
      <w:r w:rsidRPr="00CE0F75">
        <w:rPr>
          <w:szCs w:val="28"/>
        </w:rPr>
        <w:t>Оцінка кореляційних зв’язків у хворих з ГІМ та ожирінням між галектином-3 та віком також не виявила достовірних зв’язків (рис. 5.7). Що стосується адгезивного глікопротеїну, з даним параметром отримано прямий кореляційний зв’язок слабкий за силою (</w:t>
      </w:r>
      <w:r w:rsidRPr="00CE0F75">
        <w:rPr>
          <w:szCs w:val="28"/>
          <w:lang w:val="en-US"/>
        </w:rPr>
        <w:t>r</w:t>
      </w:r>
      <w:r w:rsidRPr="00CE0F75">
        <w:rPr>
          <w:szCs w:val="28"/>
        </w:rPr>
        <w:t xml:space="preserve">=0,34; </w:t>
      </w:r>
      <w:r w:rsidRPr="00CE0F75">
        <w:rPr>
          <w:szCs w:val="28"/>
          <w:lang w:val="en-US"/>
        </w:rPr>
        <w:t>p</w:t>
      </w:r>
      <w:r w:rsidRPr="00CE0F75">
        <w:rPr>
          <w:szCs w:val="28"/>
        </w:rPr>
        <w:t xml:space="preserve">&lt;0,05). Такі результати свідчать, що концентрація вітронектину зростає зі збільшенням віку хворих. </w:t>
      </w:r>
    </w:p>
    <w:p w:rsidR="00A80B21" w:rsidRDefault="00654476" w:rsidP="00CE0F75">
      <w:pPr>
        <w:spacing w:after="0" w:line="360" w:lineRule="auto"/>
        <w:ind w:firstLine="567"/>
        <w:jc w:val="both"/>
        <w:rPr>
          <w:szCs w:val="28"/>
          <w:lang w:val="en-US"/>
        </w:rPr>
      </w:pPr>
      <w:r>
        <w:rPr>
          <w:szCs w:val="28"/>
          <w:lang w:val="ru-RU"/>
        </w:rPr>
        <w:pict>
          <v:shape id="_x0000_s1509" type="#_x0000_t202" style="position:absolute;left:0;text-align:left;margin-left:298.6pt;margin-top:14.1pt;width:54.1pt;height:32.1pt;z-index:251661824" stroked="f">
            <v:textbox>
              <w:txbxContent>
                <w:p w:rsidR="00EA6E07" w:rsidRDefault="00EA6E07" w:rsidP="00CE0F75">
                  <w:r>
                    <w:rPr>
                      <w:szCs w:val="28"/>
                    </w:rPr>
                    <w:t>r</w:t>
                  </w:r>
                  <w:r w:rsidRPr="00113969">
                    <w:rPr>
                      <w:szCs w:val="28"/>
                      <w:lang w:val="ru-RU"/>
                    </w:rPr>
                    <w:t>=0,34</w:t>
                  </w:r>
                </w:p>
              </w:txbxContent>
            </v:textbox>
          </v:shape>
        </w:pict>
      </w:r>
      <w:r w:rsidR="00CE0F75" w:rsidRPr="00CE0F75">
        <w:rPr>
          <w:noProof/>
          <w:szCs w:val="28"/>
          <w:lang w:val="ru-RU" w:eastAsia="ru-RU"/>
        </w:rPr>
        <w:drawing>
          <wp:inline distT="0" distB="0" distL="0" distR="0">
            <wp:extent cx="5489864" cy="2036618"/>
            <wp:effectExtent l="0" t="0" r="0" b="0"/>
            <wp:docPr id="2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A80B21" w:rsidRDefault="00CE0F75" w:rsidP="00CE0F75">
      <w:pPr>
        <w:spacing w:after="0" w:line="360" w:lineRule="auto"/>
        <w:ind w:firstLine="567"/>
        <w:jc w:val="both"/>
        <w:rPr>
          <w:szCs w:val="28"/>
          <w:lang w:val="ru-RU"/>
        </w:rPr>
      </w:pPr>
      <w:r w:rsidRPr="00CE0F75">
        <w:rPr>
          <w:szCs w:val="28"/>
        </w:rPr>
        <w:t>Рис. 6.7 – Кореляційний зв’язок між вітронектином. галектином-3 та віком хворих на ГІМ та ожиріння.</w:t>
      </w:r>
    </w:p>
    <w:p w:rsidR="00A80B21" w:rsidRPr="00A80B21" w:rsidRDefault="00A80B21" w:rsidP="00CE0F75">
      <w:pPr>
        <w:spacing w:after="0" w:line="360" w:lineRule="auto"/>
        <w:ind w:firstLine="567"/>
        <w:jc w:val="both"/>
        <w:rPr>
          <w:szCs w:val="28"/>
          <w:lang w:val="ru-RU"/>
        </w:rPr>
        <w:sectPr w:rsidR="00A80B21" w:rsidRPr="00A80B21" w:rsidSect="00D56449">
          <w:type w:val="continuous"/>
          <w:pgSz w:w="12240" w:h="15840"/>
          <w:pgMar w:top="1134" w:right="567" w:bottom="1134" w:left="1440" w:header="720" w:footer="720" w:gutter="0"/>
          <w:cols w:space="720"/>
          <w:titlePg/>
          <w:docGrid w:linePitch="381"/>
        </w:sectPr>
      </w:pPr>
    </w:p>
    <w:p w:rsidR="00A80B21" w:rsidRDefault="00A80B21" w:rsidP="00CE0F75">
      <w:pPr>
        <w:spacing w:after="0" w:line="360" w:lineRule="auto"/>
        <w:ind w:firstLine="567"/>
        <w:jc w:val="both"/>
        <w:rPr>
          <w:szCs w:val="28"/>
          <w:lang w:val="ru-RU"/>
        </w:rPr>
      </w:pPr>
    </w:p>
    <w:p w:rsidR="00CE0F75" w:rsidRPr="00CE0F75" w:rsidRDefault="00CE0F75" w:rsidP="00CE0F75">
      <w:pPr>
        <w:spacing w:after="0" w:line="360" w:lineRule="auto"/>
        <w:ind w:firstLine="567"/>
        <w:jc w:val="both"/>
        <w:rPr>
          <w:szCs w:val="28"/>
        </w:rPr>
      </w:pPr>
      <w:r w:rsidRPr="00CE0F75">
        <w:rPr>
          <w:szCs w:val="28"/>
        </w:rPr>
        <w:t xml:space="preserve">Наступним етапом у дизайні дослідження було проведення аналізу наявності та характеру взаємин між галектином-3, вітронектином та показниками ліпідного профілю у хворих на ГІМ на тлі супутнього ожиріння. Знайдено прямі кореляційні зв’язки між концентрацією галектину-3 та рівнем </w:t>
      </w:r>
      <w:r w:rsidR="00BA7D3F">
        <w:rPr>
          <w:szCs w:val="28"/>
        </w:rPr>
        <w:t>ЗХC</w:t>
      </w:r>
      <w:r w:rsidRPr="00CE0F75">
        <w:rPr>
          <w:szCs w:val="28"/>
        </w:rPr>
        <w:t xml:space="preserve"> (</w:t>
      </w:r>
      <w:r w:rsidRPr="00CE0F75">
        <w:rPr>
          <w:szCs w:val="28"/>
          <w:lang w:val="en-US"/>
        </w:rPr>
        <w:t>r</w:t>
      </w:r>
      <w:r w:rsidRPr="00CE0F75">
        <w:rPr>
          <w:szCs w:val="28"/>
        </w:rPr>
        <w:t xml:space="preserve">=0,37; </w:t>
      </w:r>
      <w:r w:rsidRPr="00CE0F75">
        <w:rPr>
          <w:szCs w:val="28"/>
          <w:lang w:val="en-US"/>
        </w:rPr>
        <w:t>p</w:t>
      </w:r>
      <w:r w:rsidR="00BA7D3F">
        <w:rPr>
          <w:szCs w:val="28"/>
        </w:rPr>
        <w:t>&lt;0,05), ЛПНЩ</w:t>
      </w:r>
      <w:r w:rsidRPr="00CE0F75">
        <w:rPr>
          <w:szCs w:val="28"/>
        </w:rPr>
        <w:t xml:space="preserve"> (</w:t>
      </w:r>
      <w:r w:rsidRPr="00CE0F75">
        <w:rPr>
          <w:szCs w:val="28"/>
          <w:lang w:val="en-US"/>
        </w:rPr>
        <w:t>r</w:t>
      </w:r>
      <w:r w:rsidRPr="00CE0F75">
        <w:rPr>
          <w:szCs w:val="28"/>
        </w:rPr>
        <w:t xml:space="preserve">=0,31; </w:t>
      </w:r>
      <w:r w:rsidRPr="00CE0F75">
        <w:rPr>
          <w:szCs w:val="28"/>
          <w:lang w:val="en-US"/>
        </w:rPr>
        <w:t>p</w:t>
      </w:r>
      <w:r w:rsidR="00BA7D3F">
        <w:rPr>
          <w:szCs w:val="28"/>
        </w:rPr>
        <w:t>&lt;0,05), ТГ</w:t>
      </w:r>
      <w:r w:rsidRPr="00CE0F75">
        <w:rPr>
          <w:szCs w:val="28"/>
        </w:rPr>
        <w:t xml:space="preserve"> (</w:t>
      </w:r>
      <w:r w:rsidRPr="00CE0F75">
        <w:rPr>
          <w:szCs w:val="28"/>
          <w:lang w:val="en-US"/>
        </w:rPr>
        <w:t>r</w:t>
      </w:r>
      <w:r w:rsidRPr="00CE0F75">
        <w:rPr>
          <w:szCs w:val="28"/>
        </w:rPr>
        <w:t xml:space="preserve">=0,35; </w:t>
      </w:r>
      <w:r w:rsidRPr="00CE0F75">
        <w:rPr>
          <w:szCs w:val="28"/>
          <w:lang w:val="en-US"/>
        </w:rPr>
        <w:t>p</w:t>
      </w:r>
      <w:r w:rsidRPr="00CE0F75">
        <w:rPr>
          <w:szCs w:val="28"/>
        </w:rPr>
        <w:t>&lt;0,05) та зв’язок зворотнього х</w:t>
      </w:r>
      <w:r w:rsidR="00BA7D3F">
        <w:rPr>
          <w:szCs w:val="28"/>
        </w:rPr>
        <w:t xml:space="preserve">арактеру з ЛПВЩ     </w:t>
      </w:r>
      <w:r w:rsidRPr="00CE0F75">
        <w:rPr>
          <w:szCs w:val="28"/>
        </w:rPr>
        <w:t xml:space="preserve"> (</w:t>
      </w:r>
      <w:r w:rsidRPr="00CE0F75">
        <w:rPr>
          <w:szCs w:val="28"/>
          <w:lang w:val="en-US"/>
        </w:rPr>
        <w:t>r</w:t>
      </w:r>
      <w:r w:rsidR="00A80B21">
        <w:rPr>
          <w:szCs w:val="28"/>
        </w:rPr>
        <w:t>=</w:t>
      </w:r>
      <w:r w:rsidRPr="00CE0F75">
        <w:rPr>
          <w:szCs w:val="28"/>
        </w:rPr>
        <w:t xml:space="preserve">-0,39; </w:t>
      </w:r>
      <w:r w:rsidRPr="00CE0F75">
        <w:rPr>
          <w:szCs w:val="28"/>
          <w:lang w:val="en-US"/>
        </w:rPr>
        <w:t>p</w:t>
      </w:r>
      <w:r w:rsidRPr="00CE0F75">
        <w:rPr>
          <w:szCs w:val="28"/>
        </w:rPr>
        <w:t xml:space="preserve">&lt;0,05), що вказує на зростання атерогенних фракцій ліпідограми у </w:t>
      </w:r>
      <w:r w:rsidRPr="00CE0F75">
        <w:rPr>
          <w:szCs w:val="28"/>
        </w:rPr>
        <w:lastRenderedPageBreak/>
        <w:t xml:space="preserve">відповідь на галектинемію разом зі зниженням антиатерогенних компонентів ліпідного профілю. Результати наведено на рис. </w:t>
      </w:r>
      <w:r w:rsidRPr="00CE0F75">
        <w:rPr>
          <w:szCs w:val="28"/>
          <w:lang w:val="ru-RU"/>
        </w:rPr>
        <w:t>5</w:t>
      </w:r>
      <w:r w:rsidRPr="00CE0F75">
        <w:rPr>
          <w:szCs w:val="28"/>
        </w:rPr>
        <w:t xml:space="preserve">.8. Дані дослідників стосовно взаємин між галектином-3 та показниками ліпідограми залишаються предметом дискусії. Група дослідників під керівництвом </w:t>
      </w:r>
      <w:r w:rsidRPr="00CE0F75">
        <w:rPr>
          <w:szCs w:val="28"/>
          <w:lang w:val="en-US"/>
        </w:rPr>
        <w:t>Weigert</w:t>
      </w:r>
      <w:r w:rsidRPr="00CE0F75">
        <w:rPr>
          <w:szCs w:val="28"/>
        </w:rPr>
        <w:t xml:space="preserve"> </w:t>
      </w:r>
      <w:r w:rsidRPr="00CE0F75">
        <w:rPr>
          <w:szCs w:val="28"/>
          <w:lang w:val="en-US"/>
        </w:rPr>
        <w:t>J</w:t>
      </w:r>
      <w:r w:rsidRPr="00CE0F75">
        <w:rPr>
          <w:szCs w:val="28"/>
        </w:rPr>
        <w:t>. не виявила кореляційних зв’язків між концентрацією галектину-3 та показниками ліпідного профілю [</w:t>
      </w:r>
      <w:r w:rsidR="0095799D" w:rsidRPr="005E2904">
        <w:rPr>
          <w:szCs w:val="28"/>
        </w:rPr>
        <w:t>103]</w:t>
      </w:r>
      <w:r w:rsidRPr="00F407BB">
        <w:rPr>
          <w:szCs w:val="28"/>
        </w:rPr>
        <w:t>.</w:t>
      </w:r>
      <w:r w:rsidRPr="00CE0F75">
        <w:rPr>
          <w:szCs w:val="28"/>
        </w:rPr>
        <w:t xml:space="preserve"> На відміну від попередників </w:t>
      </w:r>
      <w:r w:rsidRPr="00CE0F75">
        <w:rPr>
          <w:szCs w:val="28"/>
          <w:lang w:val="en-US"/>
        </w:rPr>
        <w:t>Winter</w:t>
      </w:r>
      <w:r w:rsidRPr="00CE0F75">
        <w:rPr>
          <w:szCs w:val="28"/>
        </w:rPr>
        <w:t xml:space="preserve"> </w:t>
      </w:r>
      <w:r w:rsidRPr="00CE0F75">
        <w:rPr>
          <w:szCs w:val="28"/>
          <w:lang w:val="en-US"/>
        </w:rPr>
        <w:t>M</w:t>
      </w:r>
      <w:r w:rsidRPr="00CE0F75">
        <w:rPr>
          <w:szCs w:val="28"/>
        </w:rPr>
        <w:t>.</w:t>
      </w:r>
      <w:r w:rsidRPr="00CE0F75">
        <w:rPr>
          <w:szCs w:val="28"/>
          <w:lang w:val="en-US"/>
        </w:rPr>
        <w:t>P</w:t>
      </w:r>
      <w:r w:rsidRPr="00CE0F75">
        <w:rPr>
          <w:szCs w:val="28"/>
        </w:rPr>
        <w:t>. проаналізував взаємини галектину-3 з про- та антиатерогенними параметрами ліпідограми, на основі яких було доведено зв’язок між дисліпідемією як індуктор формування атеросклеротичної бляшки на тлі існуючого імунозапалення та ініціатор розриву бляшки у пацієнтів з ГІМ [</w:t>
      </w:r>
      <w:r w:rsidR="0095799D" w:rsidRPr="005E2904">
        <w:rPr>
          <w:szCs w:val="28"/>
        </w:rPr>
        <w:t>144</w:t>
      </w:r>
      <w:r w:rsidRPr="0095799D">
        <w:rPr>
          <w:szCs w:val="28"/>
        </w:rPr>
        <w:t>].</w:t>
      </w:r>
      <w:r w:rsidRPr="00F407BB">
        <w:rPr>
          <w:szCs w:val="28"/>
        </w:rPr>
        <w:t xml:space="preserve"> </w:t>
      </w:r>
      <w:r w:rsidRPr="00CE0F75">
        <w:rPr>
          <w:szCs w:val="28"/>
        </w:rPr>
        <w:t>Тобто, галектин-3 може розглядатись в якості маркера нестабільної атеросклеротичної бляшки.</w:t>
      </w:r>
    </w:p>
    <w:p w:rsidR="00CE0F75" w:rsidRPr="00CE0F75" w:rsidRDefault="00CE0F75" w:rsidP="00CE0F75">
      <w:pPr>
        <w:spacing w:after="0" w:line="360" w:lineRule="auto"/>
        <w:ind w:firstLine="567"/>
        <w:jc w:val="both"/>
        <w:rPr>
          <w:szCs w:val="28"/>
        </w:rPr>
      </w:pPr>
      <w:r w:rsidRPr="00CE0F75">
        <w:rPr>
          <w:szCs w:val="28"/>
          <w:lang w:val="ru-RU"/>
        </w:rPr>
        <w:t xml:space="preserve">Дослідження виявило </w:t>
      </w:r>
      <w:r w:rsidRPr="00CE0F75">
        <w:rPr>
          <w:szCs w:val="28"/>
        </w:rPr>
        <w:t xml:space="preserve">наявність зв’язків між параметрами ЯЖ та антропометричними показниками. Знайдено зворотні зв'язки між ІМТ та </w:t>
      </w:r>
      <w:r w:rsidRPr="00CE0F75">
        <w:rPr>
          <w:szCs w:val="28"/>
          <w:lang w:val="ru-RU"/>
        </w:rPr>
        <w:t>PF</w:t>
      </w:r>
      <w:r w:rsidRPr="00CE0F75">
        <w:rPr>
          <w:szCs w:val="28"/>
        </w:rPr>
        <w:t xml:space="preserve"> </w:t>
      </w:r>
      <w:r w:rsidR="00BA7D3F" w:rsidRPr="00BA7D3F">
        <w:rPr>
          <w:szCs w:val="28"/>
        </w:rPr>
        <w:t xml:space="preserve">       </w:t>
      </w:r>
      <w:r w:rsidRPr="00CE0F75">
        <w:rPr>
          <w:szCs w:val="28"/>
        </w:rPr>
        <w:t>(</w:t>
      </w:r>
      <w:r w:rsidRPr="00CE0F75">
        <w:rPr>
          <w:szCs w:val="28"/>
          <w:lang w:val="en-US"/>
        </w:rPr>
        <w:t>R</w:t>
      </w:r>
      <w:r w:rsidRPr="00CE0F75">
        <w:rPr>
          <w:szCs w:val="28"/>
        </w:rPr>
        <w:t xml:space="preserve">=–0,86; </w:t>
      </w:r>
      <w:r w:rsidRPr="00CE0F75">
        <w:rPr>
          <w:szCs w:val="28"/>
          <w:lang w:val="en-US"/>
        </w:rPr>
        <w:t>p</w:t>
      </w:r>
      <w:r w:rsidRPr="00CE0F75">
        <w:rPr>
          <w:szCs w:val="28"/>
        </w:rPr>
        <w:t xml:space="preserve">&lt;0,05), </w:t>
      </w:r>
      <w:r w:rsidRPr="00CE0F75">
        <w:rPr>
          <w:szCs w:val="28"/>
          <w:lang w:val="ru-RU"/>
        </w:rPr>
        <w:t>GH</w:t>
      </w:r>
      <w:r w:rsidRPr="00CE0F75">
        <w:rPr>
          <w:szCs w:val="28"/>
        </w:rPr>
        <w:t xml:space="preserve"> (</w:t>
      </w:r>
      <w:r w:rsidRPr="00CE0F75">
        <w:rPr>
          <w:szCs w:val="28"/>
          <w:lang w:val="en-US"/>
        </w:rPr>
        <w:t>R</w:t>
      </w:r>
      <w:r w:rsidRPr="00CE0F75">
        <w:rPr>
          <w:szCs w:val="28"/>
        </w:rPr>
        <w:t xml:space="preserve">=–0,84; </w:t>
      </w:r>
      <w:r w:rsidRPr="00CE0F75">
        <w:rPr>
          <w:szCs w:val="28"/>
          <w:lang w:val="en-US"/>
        </w:rPr>
        <w:t>p</w:t>
      </w:r>
      <w:r w:rsidRPr="00CE0F75">
        <w:rPr>
          <w:szCs w:val="28"/>
        </w:rPr>
        <w:t xml:space="preserve">&lt;0,05), </w:t>
      </w:r>
      <w:r w:rsidRPr="00CE0F75">
        <w:rPr>
          <w:szCs w:val="28"/>
          <w:lang w:val="en-US"/>
        </w:rPr>
        <w:t>VT</w:t>
      </w:r>
      <w:r w:rsidRPr="00CE0F75">
        <w:rPr>
          <w:szCs w:val="28"/>
        </w:rPr>
        <w:t xml:space="preserve"> (</w:t>
      </w:r>
      <w:r w:rsidRPr="00CE0F75">
        <w:rPr>
          <w:szCs w:val="28"/>
          <w:lang w:val="en-US"/>
        </w:rPr>
        <w:t>R</w:t>
      </w:r>
      <w:r w:rsidRPr="00CE0F75">
        <w:rPr>
          <w:szCs w:val="28"/>
        </w:rPr>
        <w:t xml:space="preserve">=–0,77; </w:t>
      </w:r>
      <w:r w:rsidRPr="00CE0F75">
        <w:rPr>
          <w:szCs w:val="28"/>
          <w:lang w:val="en-US"/>
        </w:rPr>
        <w:t>p</w:t>
      </w:r>
      <w:r w:rsidRPr="00CE0F75">
        <w:rPr>
          <w:szCs w:val="28"/>
        </w:rPr>
        <w:t xml:space="preserve">&lt;0,05), </w:t>
      </w:r>
      <w:r w:rsidRPr="00CE0F75">
        <w:rPr>
          <w:szCs w:val="28"/>
          <w:lang w:val="en-US"/>
        </w:rPr>
        <w:t>BP</w:t>
      </w:r>
      <w:r w:rsidRPr="00CE0F75">
        <w:rPr>
          <w:szCs w:val="28"/>
        </w:rPr>
        <w:t xml:space="preserve"> (</w:t>
      </w:r>
      <w:r w:rsidRPr="00CE0F75">
        <w:rPr>
          <w:szCs w:val="28"/>
          <w:lang w:val="en-US"/>
        </w:rPr>
        <w:t>R</w:t>
      </w:r>
      <w:r w:rsidRPr="00CE0F75">
        <w:rPr>
          <w:szCs w:val="28"/>
        </w:rPr>
        <w:t xml:space="preserve">=–0,71; </w:t>
      </w:r>
      <w:r w:rsidRPr="00CE0F75">
        <w:rPr>
          <w:szCs w:val="28"/>
          <w:lang w:val="en-US"/>
        </w:rPr>
        <w:t>p</w:t>
      </w:r>
      <w:r w:rsidRPr="00CE0F75">
        <w:rPr>
          <w:szCs w:val="28"/>
        </w:rPr>
        <w:t xml:space="preserve">&lt;0,05), </w:t>
      </w:r>
      <w:r w:rsidRPr="00CE0F75">
        <w:rPr>
          <w:szCs w:val="28"/>
          <w:lang w:val="en-US"/>
        </w:rPr>
        <w:t>MH</w:t>
      </w:r>
      <w:r w:rsidRPr="00CE0F75">
        <w:rPr>
          <w:szCs w:val="28"/>
        </w:rPr>
        <w:t xml:space="preserve"> (</w:t>
      </w:r>
      <w:r w:rsidRPr="00CE0F75">
        <w:rPr>
          <w:szCs w:val="28"/>
          <w:lang w:val="en-US"/>
        </w:rPr>
        <w:t>R</w:t>
      </w:r>
      <w:r w:rsidRPr="00CE0F75">
        <w:rPr>
          <w:szCs w:val="28"/>
        </w:rPr>
        <w:t xml:space="preserve">=–0,61; </w:t>
      </w:r>
      <w:r w:rsidRPr="00CE0F75">
        <w:rPr>
          <w:szCs w:val="28"/>
          <w:lang w:val="en-US"/>
        </w:rPr>
        <w:t>p</w:t>
      </w:r>
      <w:r w:rsidRPr="00CE0F75">
        <w:rPr>
          <w:szCs w:val="28"/>
        </w:rPr>
        <w:t xml:space="preserve">&lt;0,05), </w:t>
      </w:r>
      <w:r w:rsidRPr="00CE0F75">
        <w:rPr>
          <w:szCs w:val="28"/>
          <w:lang w:val="en-US"/>
        </w:rPr>
        <w:t>SF</w:t>
      </w:r>
      <w:r w:rsidRPr="00CE0F75">
        <w:rPr>
          <w:szCs w:val="28"/>
        </w:rPr>
        <w:t xml:space="preserve"> (</w:t>
      </w:r>
      <w:r w:rsidRPr="00CE0F75">
        <w:rPr>
          <w:szCs w:val="28"/>
          <w:lang w:val="en-US"/>
        </w:rPr>
        <w:t>R</w:t>
      </w:r>
      <w:r w:rsidRPr="00CE0F75">
        <w:rPr>
          <w:szCs w:val="28"/>
        </w:rPr>
        <w:t xml:space="preserve">=–0,55; </w:t>
      </w:r>
      <w:r w:rsidRPr="00CE0F75">
        <w:rPr>
          <w:szCs w:val="28"/>
          <w:lang w:val="en-US"/>
        </w:rPr>
        <w:t>p</w:t>
      </w:r>
      <w:r w:rsidRPr="00CE0F75">
        <w:rPr>
          <w:szCs w:val="28"/>
        </w:rPr>
        <w:t xml:space="preserve">&lt;0,05), </w:t>
      </w:r>
      <w:r w:rsidRPr="00CE0F75">
        <w:rPr>
          <w:szCs w:val="28"/>
          <w:lang w:val="en-US"/>
        </w:rPr>
        <w:t>RP</w:t>
      </w:r>
      <w:r w:rsidRPr="00CE0F75">
        <w:rPr>
          <w:szCs w:val="28"/>
        </w:rPr>
        <w:t xml:space="preserve"> (</w:t>
      </w:r>
      <w:r w:rsidRPr="00CE0F75">
        <w:rPr>
          <w:szCs w:val="28"/>
          <w:lang w:val="en-US"/>
        </w:rPr>
        <w:t>R</w:t>
      </w:r>
      <w:r w:rsidRPr="00CE0F75">
        <w:rPr>
          <w:szCs w:val="28"/>
        </w:rPr>
        <w:t xml:space="preserve">=–0,52; </w:t>
      </w:r>
      <w:r w:rsidRPr="00CE0F75">
        <w:rPr>
          <w:szCs w:val="28"/>
          <w:lang w:val="en-US"/>
        </w:rPr>
        <w:t>p</w:t>
      </w:r>
      <w:r w:rsidRPr="00CE0F75">
        <w:rPr>
          <w:szCs w:val="28"/>
        </w:rPr>
        <w:t xml:space="preserve">&lt;0,05), </w:t>
      </w:r>
      <w:r w:rsidRPr="00CE0F75">
        <w:rPr>
          <w:szCs w:val="28"/>
          <w:lang w:val="en-US"/>
        </w:rPr>
        <w:t>RE</w:t>
      </w:r>
      <w:r w:rsidRPr="00CE0F75">
        <w:rPr>
          <w:szCs w:val="28"/>
        </w:rPr>
        <w:t xml:space="preserve"> (</w:t>
      </w:r>
      <w:r w:rsidRPr="00CE0F75">
        <w:rPr>
          <w:szCs w:val="28"/>
          <w:lang w:val="en-US"/>
        </w:rPr>
        <w:t>R</w:t>
      </w:r>
      <w:r w:rsidRPr="00CE0F75">
        <w:rPr>
          <w:szCs w:val="28"/>
        </w:rPr>
        <w:t xml:space="preserve">=–0,31; </w:t>
      </w:r>
      <w:r w:rsidRPr="00CE0F75">
        <w:rPr>
          <w:szCs w:val="28"/>
          <w:lang w:val="en-US"/>
        </w:rPr>
        <w:t>p</w:t>
      </w:r>
      <w:r w:rsidRPr="00CE0F75">
        <w:rPr>
          <w:szCs w:val="28"/>
        </w:rPr>
        <w:t xml:space="preserve">&lt;0,05). </w:t>
      </w:r>
      <w:r w:rsidRPr="00CE0F75">
        <w:rPr>
          <w:szCs w:val="28"/>
          <w:lang w:val="ru-RU"/>
        </w:rPr>
        <w:t>Результати представлено у таблиці 5.1.</w:t>
      </w:r>
    </w:p>
    <w:p w:rsidR="00CE0F75" w:rsidRPr="00A80B21" w:rsidRDefault="00CE0F75" w:rsidP="00A80B21">
      <w:pPr>
        <w:spacing w:after="0" w:line="360" w:lineRule="auto"/>
        <w:ind w:left="7920" w:firstLine="720"/>
        <w:jc w:val="center"/>
        <w:rPr>
          <w:i/>
          <w:szCs w:val="28"/>
        </w:rPr>
      </w:pPr>
      <w:r w:rsidRPr="00A80B21">
        <w:rPr>
          <w:i/>
          <w:szCs w:val="28"/>
        </w:rPr>
        <w:t xml:space="preserve">Таблиця </w:t>
      </w:r>
      <w:r w:rsidRPr="00A80B21">
        <w:rPr>
          <w:i/>
          <w:szCs w:val="28"/>
          <w:lang w:val="ru-RU"/>
        </w:rPr>
        <w:t>5</w:t>
      </w:r>
      <w:r w:rsidRPr="00A80B21">
        <w:rPr>
          <w:i/>
          <w:szCs w:val="28"/>
        </w:rPr>
        <w:t>.1.</w:t>
      </w:r>
    </w:p>
    <w:p w:rsidR="00CE0F75" w:rsidRPr="00CE0F75" w:rsidRDefault="00CE0F75" w:rsidP="00A80B21">
      <w:pPr>
        <w:spacing w:after="0" w:line="360" w:lineRule="auto"/>
        <w:ind w:firstLine="567"/>
        <w:jc w:val="center"/>
        <w:rPr>
          <w:szCs w:val="28"/>
        </w:rPr>
      </w:pPr>
      <w:r w:rsidRPr="00CE0F75">
        <w:rPr>
          <w:szCs w:val="28"/>
        </w:rPr>
        <w:t>Матриця інтеркореляцій показників якості життя та індексу маси тіла у хворих на гострий інфаркт міокарда</w:t>
      </w:r>
    </w:p>
    <w:tbl>
      <w:tblPr>
        <w:tblStyle w:val="ab"/>
        <w:tblW w:w="0" w:type="auto"/>
        <w:tblLook w:val="04A0" w:firstRow="1" w:lastRow="0" w:firstColumn="1" w:lastColumn="0" w:noHBand="0" w:noVBand="1"/>
      </w:tblPr>
      <w:tblGrid>
        <w:gridCol w:w="1007"/>
        <w:gridCol w:w="1002"/>
        <w:gridCol w:w="1002"/>
        <w:gridCol w:w="1002"/>
        <w:gridCol w:w="1002"/>
        <w:gridCol w:w="1002"/>
        <w:gridCol w:w="1002"/>
        <w:gridCol w:w="1002"/>
        <w:gridCol w:w="1002"/>
        <w:gridCol w:w="1291"/>
      </w:tblGrid>
      <w:tr w:rsidR="00CE0F75" w:rsidRPr="00CE0F75" w:rsidTr="00D56449">
        <w:tc>
          <w:tcPr>
            <w:tcW w:w="1007" w:type="dxa"/>
          </w:tcPr>
          <w:p w:rsidR="00CE0F75" w:rsidRPr="00CE0F75" w:rsidRDefault="00CE0F75" w:rsidP="00D56449">
            <w:pPr>
              <w:jc w:val="both"/>
              <w:rPr>
                <w:szCs w:val="28"/>
              </w:rPr>
            </w:pPr>
          </w:p>
        </w:tc>
        <w:tc>
          <w:tcPr>
            <w:tcW w:w="1002" w:type="dxa"/>
          </w:tcPr>
          <w:p w:rsidR="00CE0F75" w:rsidRPr="00CE0F75" w:rsidRDefault="00CE0F75" w:rsidP="00D56449">
            <w:pPr>
              <w:jc w:val="both"/>
              <w:rPr>
                <w:szCs w:val="28"/>
                <w:lang w:val="en-US"/>
              </w:rPr>
            </w:pPr>
            <w:r w:rsidRPr="00CE0F75">
              <w:rPr>
                <w:szCs w:val="28"/>
                <w:lang w:val="en-US"/>
              </w:rPr>
              <w:t>PF</w:t>
            </w:r>
          </w:p>
        </w:tc>
        <w:tc>
          <w:tcPr>
            <w:tcW w:w="1002" w:type="dxa"/>
          </w:tcPr>
          <w:p w:rsidR="00CE0F75" w:rsidRPr="00CE0F75" w:rsidRDefault="00CE0F75" w:rsidP="00D56449">
            <w:pPr>
              <w:jc w:val="both"/>
              <w:rPr>
                <w:szCs w:val="28"/>
                <w:lang w:val="en-US"/>
              </w:rPr>
            </w:pPr>
            <w:r w:rsidRPr="00CE0F75">
              <w:rPr>
                <w:szCs w:val="28"/>
                <w:lang w:val="en-US"/>
              </w:rPr>
              <w:t>GH</w:t>
            </w:r>
          </w:p>
        </w:tc>
        <w:tc>
          <w:tcPr>
            <w:tcW w:w="1002" w:type="dxa"/>
          </w:tcPr>
          <w:p w:rsidR="00CE0F75" w:rsidRPr="00CE0F75" w:rsidRDefault="00CE0F75" w:rsidP="00D56449">
            <w:pPr>
              <w:jc w:val="both"/>
              <w:rPr>
                <w:szCs w:val="28"/>
                <w:lang w:val="en-US"/>
              </w:rPr>
            </w:pPr>
            <w:r w:rsidRPr="00CE0F75">
              <w:rPr>
                <w:szCs w:val="28"/>
                <w:lang w:val="en-US"/>
              </w:rPr>
              <w:t>VT</w:t>
            </w:r>
          </w:p>
        </w:tc>
        <w:tc>
          <w:tcPr>
            <w:tcW w:w="1002" w:type="dxa"/>
          </w:tcPr>
          <w:p w:rsidR="00CE0F75" w:rsidRPr="00CE0F75" w:rsidRDefault="00CE0F75" w:rsidP="00D56449">
            <w:pPr>
              <w:jc w:val="both"/>
              <w:rPr>
                <w:szCs w:val="28"/>
                <w:lang w:val="en-US"/>
              </w:rPr>
            </w:pPr>
            <w:r w:rsidRPr="00CE0F75">
              <w:rPr>
                <w:szCs w:val="28"/>
                <w:lang w:val="en-US"/>
              </w:rPr>
              <w:t>BP</w:t>
            </w:r>
          </w:p>
        </w:tc>
        <w:tc>
          <w:tcPr>
            <w:tcW w:w="1002" w:type="dxa"/>
          </w:tcPr>
          <w:p w:rsidR="00CE0F75" w:rsidRPr="00CE0F75" w:rsidRDefault="00CE0F75" w:rsidP="00D56449">
            <w:pPr>
              <w:jc w:val="both"/>
              <w:rPr>
                <w:szCs w:val="28"/>
                <w:lang w:val="en-US"/>
              </w:rPr>
            </w:pPr>
            <w:r w:rsidRPr="00CE0F75">
              <w:rPr>
                <w:szCs w:val="28"/>
                <w:lang w:val="en-US"/>
              </w:rPr>
              <w:t>MH</w:t>
            </w:r>
          </w:p>
        </w:tc>
        <w:tc>
          <w:tcPr>
            <w:tcW w:w="1002" w:type="dxa"/>
          </w:tcPr>
          <w:p w:rsidR="00CE0F75" w:rsidRPr="00CE0F75" w:rsidRDefault="00CE0F75" w:rsidP="00D56449">
            <w:pPr>
              <w:jc w:val="both"/>
              <w:rPr>
                <w:szCs w:val="28"/>
                <w:lang w:val="en-US"/>
              </w:rPr>
            </w:pPr>
            <w:r w:rsidRPr="00CE0F75">
              <w:rPr>
                <w:szCs w:val="28"/>
                <w:lang w:val="en-US"/>
              </w:rPr>
              <w:t>SF</w:t>
            </w:r>
          </w:p>
        </w:tc>
        <w:tc>
          <w:tcPr>
            <w:tcW w:w="1002" w:type="dxa"/>
          </w:tcPr>
          <w:p w:rsidR="00CE0F75" w:rsidRPr="00CE0F75" w:rsidRDefault="00CE0F75" w:rsidP="00D56449">
            <w:pPr>
              <w:jc w:val="both"/>
              <w:rPr>
                <w:szCs w:val="28"/>
                <w:lang w:val="en-US"/>
              </w:rPr>
            </w:pPr>
            <w:r w:rsidRPr="00CE0F75">
              <w:rPr>
                <w:szCs w:val="28"/>
                <w:lang w:val="en-US"/>
              </w:rPr>
              <w:t>RP</w:t>
            </w:r>
          </w:p>
        </w:tc>
        <w:tc>
          <w:tcPr>
            <w:tcW w:w="1002" w:type="dxa"/>
          </w:tcPr>
          <w:p w:rsidR="00CE0F75" w:rsidRPr="00CE0F75" w:rsidRDefault="00CE0F75" w:rsidP="00D56449">
            <w:pPr>
              <w:jc w:val="both"/>
              <w:rPr>
                <w:szCs w:val="28"/>
                <w:lang w:val="en-US"/>
              </w:rPr>
            </w:pPr>
            <w:r w:rsidRPr="00CE0F75">
              <w:rPr>
                <w:szCs w:val="28"/>
                <w:lang w:val="en-US"/>
              </w:rPr>
              <w:t>RE</w:t>
            </w:r>
          </w:p>
        </w:tc>
        <w:tc>
          <w:tcPr>
            <w:tcW w:w="1291" w:type="dxa"/>
          </w:tcPr>
          <w:p w:rsidR="00CE0F75" w:rsidRPr="00CE0F75" w:rsidRDefault="00CE0F75" w:rsidP="00D56449">
            <w:pPr>
              <w:jc w:val="both"/>
              <w:rPr>
                <w:szCs w:val="28"/>
              </w:rPr>
            </w:pPr>
            <w:r w:rsidRPr="00CE0F75">
              <w:rPr>
                <w:szCs w:val="28"/>
              </w:rPr>
              <w:t>ІМТ</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ru-RU"/>
              </w:rPr>
              <w:t>ІМТ</w:t>
            </w:r>
          </w:p>
        </w:tc>
        <w:tc>
          <w:tcPr>
            <w:tcW w:w="1002" w:type="dxa"/>
          </w:tcPr>
          <w:p w:rsidR="00CE0F75" w:rsidRPr="00CE0F75" w:rsidRDefault="00CE0F75" w:rsidP="00D56449">
            <w:pPr>
              <w:jc w:val="both"/>
              <w:rPr>
                <w:szCs w:val="28"/>
                <w:lang w:val="en-US"/>
              </w:rPr>
            </w:pPr>
            <w:r w:rsidRPr="00CE0F75">
              <w:rPr>
                <w:szCs w:val="28"/>
                <w:lang w:val="ru-RU"/>
              </w:rPr>
              <w:t>-0,86</w:t>
            </w:r>
          </w:p>
        </w:tc>
        <w:tc>
          <w:tcPr>
            <w:tcW w:w="1002" w:type="dxa"/>
          </w:tcPr>
          <w:p w:rsidR="00CE0F75" w:rsidRPr="00CE0F75" w:rsidRDefault="00CE0F75" w:rsidP="00D56449">
            <w:pPr>
              <w:jc w:val="both"/>
              <w:rPr>
                <w:szCs w:val="28"/>
                <w:lang w:val="ru-RU"/>
              </w:rPr>
            </w:pPr>
            <w:r w:rsidRPr="00CE0F75">
              <w:rPr>
                <w:szCs w:val="28"/>
                <w:lang w:val="ru-RU"/>
              </w:rPr>
              <w:t>-0,84</w:t>
            </w:r>
          </w:p>
        </w:tc>
        <w:tc>
          <w:tcPr>
            <w:tcW w:w="1002" w:type="dxa"/>
          </w:tcPr>
          <w:p w:rsidR="00CE0F75" w:rsidRPr="00CE0F75" w:rsidRDefault="00CE0F75" w:rsidP="00D56449">
            <w:pPr>
              <w:jc w:val="both"/>
              <w:rPr>
                <w:szCs w:val="28"/>
                <w:lang w:val="ru-RU"/>
              </w:rPr>
            </w:pPr>
            <w:r w:rsidRPr="00CE0F75">
              <w:rPr>
                <w:szCs w:val="28"/>
                <w:lang w:val="ru-RU"/>
              </w:rPr>
              <w:t>-0,77</w:t>
            </w:r>
          </w:p>
        </w:tc>
        <w:tc>
          <w:tcPr>
            <w:tcW w:w="1002" w:type="dxa"/>
          </w:tcPr>
          <w:p w:rsidR="00CE0F75" w:rsidRPr="00CE0F75" w:rsidRDefault="00CE0F75" w:rsidP="00D56449">
            <w:pPr>
              <w:jc w:val="both"/>
              <w:rPr>
                <w:szCs w:val="28"/>
                <w:lang w:val="ru-RU"/>
              </w:rPr>
            </w:pPr>
            <w:r w:rsidRPr="00CE0F75">
              <w:rPr>
                <w:szCs w:val="28"/>
                <w:lang w:val="ru-RU"/>
              </w:rPr>
              <w:t>-0,71</w:t>
            </w:r>
          </w:p>
        </w:tc>
        <w:tc>
          <w:tcPr>
            <w:tcW w:w="1002" w:type="dxa"/>
          </w:tcPr>
          <w:p w:rsidR="00CE0F75" w:rsidRPr="00CE0F75" w:rsidRDefault="00CE0F75" w:rsidP="00D56449">
            <w:pPr>
              <w:jc w:val="both"/>
              <w:rPr>
                <w:szCs w:val="28"/>
                <w:lang w:val="ru-RU"/>
              </w:rPr>
            </w:pPr>
            <w:r w:rsidRPr="00CE0F75">
              <w:rPr>
                <w:szCs w:val="28"/>
                <w:lang w:val="ru-RU"/>
              </w:rPr>
              <w:t>-0,61</w:t>
            </w:r>
          </w:p>
        </w:tc>
        <w:tc>
          <w:tcPr>
            <w:tcW w:w="1002" w:type="dxa"/>
          </w:tcPr>
          <w:p w:rsidR="00CE0F75" w:rsidRPr="00CE0F75" w:rsidRDefault="00CE0F75" w:rsidP="00D56449">
            <w:pPr>
              <w:jc w:val="both"/>
              <w:rPr>
                <w:szCs w:val="28"/>
                <w:lang w:val="ru-RU"/>
              </w:rPr>
            </w:pPr>
            <w:r w:rsidRPr="00CE0F75">
              <w:rPr>
                <w:szCs w:val="28"/>
                <w:lang w:val="ru-RU"/>
              </w:rPr>
              <w:t>-0,55</w:t>
            </w:r>
          </w:p>
        </w:tc>
        <w:tc>
          <w:tcPr>
            <w:tcW w:w="1002" w:type="dxa"/>
          </w:tcPr>
          <w:p w:rsidR="00CE0F75" w:rsidRPr="00CE0F75" w:rsidRDefault="00CE0F75" w:rsidP="00D56449">
            <w:pPr>
              <w:jc w:val="both"/>
              <w:rPr>
                <w:szCs w:val="28"/>
                <w:lang w:val="ru-RU"/>
              </w:rPr>
            </w:pPr>
            <w:r w:rsidRPr="00CE0F75">
              <w:rPr>
                <w:szCs w:val="28"/>
                <w:lang w:val="ru-RU"/>
              </w:rPr>
              <w:t>-0,52</w:t>
            </w:r>
          </w:p>
        </w:tc>
        <w:tc>
          <w:tcPr>
            <w:tcW w:w="1002" w:type="dxa"/>
          </w:tcPr>
          <w:p w:rsidR="00CE0F75" w:rsidRPr="00CE0F75" w:rsidRDefault="00CE0F75" w:rsidP="00D56449">
            <w:pPr>
              <w:jc w:val="both"/>
              <w:rPr>
                <w:szCs w:val="28"/>
                <w:lang w:val="ru-RU"/>
              </w:rPr>
            </w:pPr>
            <w:r w:rsidRPr="00CE0F75">
              <w:rPr>
                <w:szCs w:val="28"/>
                <w:lang w:val="ru-RU"/>
              </w:rPr>
              <w:t>-0,31</w:t>
            </w:r>
          </w:p>
        </w:tc>
        <w:tc>
          <w:tcPr>
            <w:tcW w:w="1291" w:type="dxa"/>
          </w:tcPr>
          <w:p w:rsidR="00CE0F75" w:rsidRPr="00CE0F75" w:rsidRDefault="00CE0F75" w:rsidP="00D56449">
            <w:pPr>
              <w:jc w:val="both"/>
              <w:rPr>
                <w:szCs w:val="28"/>
                <w:lang w:val="ru-RU"/>
              </w:rPr>
            </w:pPr>
            <w:r w:rsidRPr="00CE0F75">
              <w:rPr>
                <w:szCs w:val="28"/>
                <w:lang w:val="ru-RU"/>
              </w:rPr>
              <w:t>–</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PF</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-0,86</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GH</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-0,84</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VT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-0,77</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BP</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-0,71</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MH</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-0,61</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SF</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-0,55</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RP</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-0,52</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RE</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-0,31</w:t>
            </w:r>
          </w:p>
        </w:tc>
      </w:tr>
    </w:tbl>
    <w:p w:rsidR="00CE0F75" w:rsidRPr="00CE0F75" w:rsidRDefault="00CE0F75" w:rsidP="00CE0F75">
      <w:pPr>
        <w:spacing w:after="0" w:line="360" w:lineRule="auto"/>
        <w:ind w:firstLine="567"/>
        <w:jc w:val="both"/>
        <w:rPr>
          <w:szCs w:val="28"/>
          <w:lang w:val="ru-RU"/>
        </w:rPr>
      </w:pPr>
    </w:p>
    <w:p w:rsidR="00CE0F75" w:rsidRPr="00CE0F75" w:rsidRDefault="00CE0F75" w:rsidP="00CE0F75">
      <w:pPr>
        <w:spacing w:after="0" w:line="360" w:lineRule="auto"/>
        <w:ind w:firstLine="567"/>
        <w:jc w:val="both"/>
        <w:rPr>
          <w:szCs w:val="28"/>
        </w:rPr>
      </w:pPr>
      <w:r w:rsidRPr="00CE0F75">
        <w:rPr>
          <w:szCs w:val="28"/>
        </w:rPr>
        <w:lastRenderedPageBreak/>
        <w:t xml:space="preserve">Зростання ІМТ супроводжується погіршенням показників ЯЖ, відповідальних за фізичний та емоційний компоненти. Тобто у хворих з ГІМ на тлі ожиріння спостерігається обмеження як фізичного, так і емоційного компоненту пропорційно до збільшення ІМТ, результуючою чого є обмеження повсякденної діяльності пацієнта на тлі падіння соціальної активності, що може мати несприятливий вплив на комплаєнтність. </w:t>
      </w:r>
    </w:p>
    <w:p w:rsidR="00CE0F75" w:rsidRPr="00CE0F75" w:rsidRDefault="00CE0F75" w:rsidP="00CE0F75">
      <w:pPr>
        <w:spacing w:after="0" w:line="360" w:lineRule="auto"/>
        <w:ind w:firstLine="567"/>
        <w:jc w:val="both"/>
        <w:rPr>
          <w:szCs w:val="28"/>
        </w:rPr>
      </w:pPr>
    </w:p>
    <w:p w:rsidR="003360AA" w:rsidRDefault="00654476" w:rsidP="00CE0F75">
      <w:pPr>
        <w:spacing w:after="0" w:line="360" w:lineRule="auto"/>
        <w:ind w:firstLine="567"/>
        <w:jc w:val="both"/>
        <w:rPr>
          <w:szCs w:val="28"/>
          <w:lang w:val="ru-RU"/>
        </w:rPr>
      </w:pPr>
      <w:r>
        <w:rPr>
          <w:szCs w:val="28"/>
          <w:lang w:val="ru-RU"/>
        </w:rPr>
        <w:pict>
          <v:shape id="_x0000_s1513" type="#_x0000_t202" style="position:absolute;left:0;text-align:left;margin-left:138.3pt;margin-top:150.95pt;width:58.95pt;height:22.4pt;z-index:251665920" stroked="f">
            <v:textbox>
              <w:txbxContent>
                <w:p w:rsidR="00EA6E07" w:rsidRDefault="00EA6E07" w:rsidP="00CE0F75">
                  <w:r>
                    <w:rPr>
                      <w:szCs w:val="28"/>
                    </w:rPr>
                    <w:t>r</w:t>
                  </w:r>
                  <w:r w:rsidRPr="00110267">
                    <w:rPr>
                      <w:szCs w:val="28"/>
                    </w:rPr>
                    <w:t>=</w:t>
                  </w:r>
                  <w:r>
                    <w:rPr>
                      <w:szCs w:val="28"/>
                    </w:rPr>
                    <w:t xml:space="preserve"> </w:t>
                  </w:r>
                  <w:r w:rsidRPr="00110267">
                    <w:rPr>
                      <w:szCs w:val="28"/>
                    </w:rPr>
                    <w:t>0,3</w:t>
                  </w:r>
                  <w:r>
                    <w:rPr>
                      <w:szCs w:val="28"/>
                    </w:rPr>
                    <w:t>7</w:t>
                  </w:r>
                </w:p>
              </w:txbxContent>
            </v:textbox>
          </v:shape>
        </w:pict>
      </w:r>
      <w:r>
        <w:rPr>
          <w:szCs w:val="28"/>
          <w:lang w:val="ru-RU"/>
        </w:rPr>
        <w:pict>
          <v:shape id="_x0000_s1512" type="#_x0000_t202" style="position:absolute;left:0;text-align:left;margin-left:272.55pt;margin-top:160.65pt;width:61.85pt;height:22pt;z-index:251664896" stroked="f">
            <v:textbox>
              <w:txbxContent>
                <w:p w:rsidR="00EA6E07" w:rsidRDefault="00EA6E07" w:rsidP="00CE0F75">
                  <w:r>
                    <w:rPr>
                      <w:szCs w:val="28"/>
                    </w:rPr>
                    <w:t>r</w:t>
                  </w:r>
                  <w:r w:rsidRPr="00110267">
                    <w:rPr>
                      <w:szCs w:val="28"/>
                    </w:rPr>
                    <w:t>=</w:t>
                  </w:r>
                  <w:r>
                    <w:rPr>
                      <w:szCs w:val="28"/>
                    </w:rPr>
                    <w:t xml:space="preserve"> </w:t>
                  </w:r>
                  <w:r w:rsidRPr="00110267">
                    <w:rPr>
                      <w:szCs w:val="28"/>
                    </w:rPr>
                    <w:t>0,3</w:t>
                  </w:r>
                  <w:r>
                    <w:rPr>
                      <w:szCs w:val="28"/>
                    </w:rPr>
                    <w:t>5</w:t>
                  </w:r>
                </w:p>
              </w:txbxContent>
            </v:textbox>
          </v:shape>
        </w:pict>
      </w:r>
      <w:r>
        <w:rPr>
          <w:szCs w:val="28"/>
          <w:lang w:val="ru-RU"/>
        </w:rPr>
        <w:pict>
          <v:shape id="_x0000_s1511" type="#_x0000_t202" style="position:absolute;left:0;text-align:left;margin-left:164.2pt;margin-top:68.7pt;width:59pt;height:22.4pt;z-index:251663872" stroked="f">
            <v:textbox>
              <w:txbxContent>
                <w:p w:rsidR="00EA6E07" w:rsidRDefault="00EA6E07" w:rsidP="00CE0F75">
                  <w:r>
                    <w:rPr>
                      <w:szCs w:val="28"/>
                    </w:rPr>
                    <w:t>r</w:t>
                  </w:r>
                  <w:r w:rsidRPr="00110267">
                    <w:rPr>
                      <w:szCs w:val="28"/>
                    </w:rPr>
                    <w:t>=</w:t>
                  </w:r>
                  <w:r>
                    <w:rPr>
                      <w:szCs w:val="28"/>
                    </w:rPr>
                    <w:t xml:space="preserve"> </w:t>
                  </w:r>
                  <w:r w:rsidRPr="00110267">
                    <w:rPr>
                      <w:szCs w:val="28"/>
                    </w:rPr>
                    <w:t>0,3</w:t>
                  </w:r>
                  <w:r>
                    <w:rPr>
                      <w:szCs w:val="28"/>
                    </w:rPr>
                    <w:t>1</w:t>
                  </w:r>
                </w:p>
              </w:txbxContent>
            </v:textbox>
          </v:shape>
        </w:pict>
      </w:r>
      <w:r>
        <w:rPr>
          <w:szCs w:val="28"/>
          <w:lang w:val="ru-RU"/>
        </w:rPr>
        <w:pict>
          <v:shape id="_x0000_s1510" type="#_x0000_t202" style="position:absolute;left:0;text-align:left;margin-left:314.85pt;margin-top:76.1pt;width:65.45pt;height:23.6pt;z-index:251662848" stroked="f">
            <v:textbox>
              <w:txbxContent>
                <w:p w:rsidR="00EA6E07" w:rsidRDefault="00EA6E07" w:rsidP="00CE0F75">
                  <w:r>
                    <w:rPr>
                      <w:szCs w:val="28"/>
                    </w:rPr>
                    <w:t>r</w:t>
                  </w:r>
                  <w:r w:rsidRPr="00110267">
                    <w:rPr>
                      <w:szCs w:val="28"/>
                    </w:rPr>
                    <w:t>= -0,3</w:t>
                  </w:r>
                  <w:r>
                    <w:rPr>
                      <w:szCs w:val="28"/>
                    </w:rPr>
                    <w:t>9</w:t>
                  </w:r>
                </w:p>
              </w:txbxContent>
            </v:textbox>
          </v:shape>
        </w:pict>
      </w:r>
      <w:r w:rsidR="00CE0F75" w:rsidRPr="00CE0F75">
        <w:rPr>
          <w:noProof/>
          <w:szCs w:val="28"/>
          <w:lang w:val="ru-RU" w:eastAsia="ru-RU"/>
        </w:rPr>
        <w:drawing>
          <wp:inline distT="0" distB="0" distL="0" distR="0">
            <wp:extent cx="5486400" cy="3200400"/>
            <wp:effectExtent l="0" t="0" r="0" b="0"/>
            <wp:docPr id="23"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3360AA" w:rsidRDefault="00CE0F75" w:rsidP="00CE0F75">
      <w:pPr>
        <w:spacing w:after="0" w:line="360" w:lineRule="auto"/>
        <w:ind w:firstLine="567"/>
        <w:jc w:val="both"/>
        <w:rPr>
          <w:szCs w:val="28"/>
          <w:lang w:val="ru-RU"/>
        </w:rPr>
      </w:pPr>
      <w:r w:rsidRPr="00CE0F75">
        <w:rPr>
          <w:szCs w:val="28"/>
        </w:rPr>
        <w:t>Рис.</w:t>
      </w:r>
      <w:r w:rsidRPr="00CE0F75">
        <w:rPr>
          <w:szCs w:val="28"/>
          <w:lang w:val="ru-RU"/>
        </w:rPr>
        <w:t>5</w:t>
      </w:r>
      <w:r w:rsidRPr="00CE0F75">
        <w:rPr>
          <w:szCs w:val="28"/>
        </w:rPr>
        <w:t>.8 – Кореляційні зв’язки між галектином-3 та параметрами ліпідограми у хворих на ГІМ із супутнім ожирінням</w:t>
      </w:r>
    </w:p>
    <w:p w:rsidR="003360AA" w:rsidRPr="003360AA" w:rsidRDefault="003360AA" w:rsidP="00CE0F75">
      <w:pPr>
        <w:spacing w:after="0" w:line="360" w:lineRule="auto"/>
        <w:ind w:firstLine="567"/>
        <w:jc w:val="both"/>
        <w:rPr>
          <w:szCs w:val="28"/>
          <w:lang w:val="ru-RU"/>
        </w:rPr>
        <w:sectPr w:rsidR="003360AA" w:rsidRPr="003360AA" w:rsidSect="00A80B21">
          <w:type w:val="continuous"/>
          <w:pgSz w:w="12240" w:h="15840"/>
          <w:pgMar w:top="1134" w:right="567" w:bottom="1134" w:left="1440" w:header="720" w:footer="720" w:gutter="0"/>
          <w:cols w:space="720"/>
          <w:titlePg/>
          <w:docGrid w:linePitch="381"/>
        </w:sectPr>
      </w:pPr>
    </w:p>
    <w:p w:rsidR="003360AA" w:rsidRDefault="003360AA" w:rsidP="00CE0F75">
      <w:pPr>
        <w:spacing w:after="0" w:line="360" w:lineRule="auto"/>
        <w:ind w:firstLine="567"/>
        <w:jc w:val="both"/>
        <w:rPr>
          <w:szCs w:val="28"/>
          <w:lang w:val="ru-RU"/>
        </w:rPr>
      </w:pPr>
    </w:p>
    <w:p w:rsidR="00CE0F75" w:rsidRPr="00CE0F75" w:rsidRDefault="00CE0F75" w:rsidP="00CE0F75">
      <w:pPr>
        <w:spacing w:after="0" w:line="360" w:lineRule="auto"/>
        <w:ind w:firstLine="567"/>
        <w:jc w:val="both"/>
        <w:rPr>
          <w:szCs w:val="28"/>
        </w:rPr>
      </w:pPr>
      <w:r w:rsidRPr="00CE0F75">
        <w:rPr>
          <w:szCs w:val="28"/>
        </w:rPr>
        <w:t>Аналіз кореляційних зв’язків між рівнем вітронектину та параметрами ліпідного профілю не виявив достовірних взаємин, а саме знайдено прямий зв’язок між вітронектином та ЛПНЩ (</w:t>
      </w:r>
      <w:r w:rsidRPr="00CE0F75">
        <w:rPr>
          <w:szCs w:val="28"/>
          <w:lang w:val="en-US"/>
        </w:rPr>
        <w:t>r</w:t>
      </w:r>
      <w:r w:rsidRPr="00CE0F75">
        <w:rPr>
          <w:szCs w:val="28"/>
        </w:rPr>
        <w:t xml:space="preserve">=0,12; </w:t>
      </w:r>
      <w:r w:rsidRPr="00CE0F75">
        <w:rPr>
          <w:szCs w:val="28"/>
          <w:lang w:val="en-US"/>
        </w:rPr>
        <w:t>p</w:t>
      </w:r>
      <w:r w:rsidRPr="00CE0F75">
        <w:rPr>
          <w:szCs w:val="28"/>
        </w:rPr>
        <w:t>&gt;0,05), ЗХС (</w:t>
      </w:r>
      <w:r w:rsidRPr="00CE0F75">
        <w:rPr>
          <w:szCs w:val="28"/>
          <w:lang w:val="en-US"/>
        </w:rPr>
        <w:t>r</w:t>
      </w:r>
      <w:r w:rsidRPr="00CE0F75">
        <w:rPr>
          <w:szCs w:val="28"/>
        </w:rPr>
        <w:t xml:space="preserve">=0,16; </w:t>
      </w:r>
      <w:r w:rsidRPr="00CE0F75">
        <w:rPr>
          <w:szCs w:val="28"/>
          <w:lang w:val="en-US"/>
        </w:rPr>
        <w:t>p</w:t>
      </w:r>
      <w:r w:rsidRPr="00CE0F75">
        <w:rPr>
          <w:szCs w:val="28"/>
        </w:rPr>
        <w:t>&gt;0,05), ТГ (</w:t>
      </w:r>
      <w:r w:rsidRPr="00CE0F75">
        <w:rPr>
          <w:szCs w:val="28"/>
          <w:lang w:val="en-US"/>
        </w:rPr>
        <w:t>r</w:t>
      </w:r>
      <w:r w:rsidRPr="00CE0F75">
        <w:rPr>
          <w:szCs w:val="28"/>
        </w:rPr>
        <w:t xml:space="preserve">=0,09; </w:t>
      </w:r>
      <w:r w:rsidRPr="00CE0F75">
        <w:rPr>
          <w:szCs w:val="28"/>
          <w:lang w:val="en-US"/>
        </w:rPr>
        <w:t>p</w:t>
      </w:r>
      <w:r w:rsidRPr="00CE0F75">
        <w:rPr>
          <w:szCs w:val="28"/>
        </w:rPr>
        <w:t>&gt;0,05) та ЛПВЩ (</w:t>
      </w:r>
      <w:r w:rsidRPr="00CE0F75">
        <w:rPr>
          <w:szCs w:val="28"/>
          <w:lang w:val="en-US"/>
        </w:rPr>
        <w:t>r</w:t>
      </w:r>
      <w:r w:rsidRPr="00CE0F75">
        <w:rPr>
          <w:szCs w:val="28"/>
        </w:rPr>
        <w:t xml:space="preserve">= -0,11; </w:t>
      </w:r>
      <w:r w:rsidRPr="00CE0F75">
        <w:rPr>
          <w:szCs w:val="28"/>
          <w:lang w:val="en-US"/>
        </w:rPr>
        <w:t>p</w:t>
      </w:r>
      <w:r w:rsidRPr="00CE0F75">
        <w:rPr>
          <w:szCs w:val="28"/>
        </w:rPr>
        <w:t>&gt;0,05). Дані представлені на рис. 5.9.</w:t>
      </w:r>
    </w:p>
    <w:p w:rsidR="00A80B21" w:rsidRDefault="00CE0F75" w:rsidP="00A80B21">
      <w:pPr>
        <w:spacing w:after="0" w:line="360" w:lineRule="auto"/>
        <w:ind w:firstLine="567"/>
        <w:jc w:val="both"/>
        <w:rPr>
          <w:szCs w:val="28"/>
          <w:lang w:val="en-US"/>
        </w:rPr>
      </w:pPr>
      <w:r w:rsidRPr="00CE0F75">
        <w:rPr>
          <w:noProof/>
          <w:szCs w:val="28"/>
          <w:lang w:val="ru-RU" w:eastAsia="ru-RU"/>
        </w:rPr>
        <w:lastRenderedPageBreak/>
        <w:drawing>
          <wp:inline distT="0" distB="0" distL="0" distR="0">
            <wp:extent cx="5589722" cy="3001505"/>
            <wp:effectExtent l="0" t="0" r="0" b="0"/>
            <wp:docPr id="24"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A80B21" w:rsidRDefault="00A80B21" w:rsidP="00A80B21">
      <w:pPr>
        <w:spacing w:after="0" w:line="360" w:lineRule="auto"/>
        <w:ind w:firstLine="567"/>
        <w:jc w:val="both"/>
        <w:rPr>
          <w:szCs w:val="28"/>
          <w:lang w:val="en-US"/>
        </w:rPr>
        <w:sectPr w:rsidR="00A80B21" w:rsidSect="00A80B21">
          <w:type w:val="continuous"/>
          <w:pgSz w:w="12240" w:h="15840"/>
          <w:pgMar w:top="1134" w:right="567" w:bottom="1134" w:left="1440" w:header="720" w:footer="720" w:gutter="0"/>
          <w:cols w:space="720"/>
          <w:titlePg/>
          <w:docGrid w:linePitch="381"/>
        </w:sectPr>
      </w:pPr>
    </w:p>
    <w:p w:rsidR="00A80B21" w:rsidRDefault="00A80B21" w:rsidP="00A80B21">
      <w:pPr>
        <w:spacing w:after="0" w:line="360" w:lineRule="auto"/>
        <w:ind w:firstLine="567"/>
        <w:jc w:val="both"/>
        <w:rPr>
          <w:szCs w:val="28"/>
          <w:lang w:val="en-US"/>
        </w:rPr>
      </w:pPr>
    </w:p>
    <w:p w:rsidR="00CE0F75" w:rsidRPr="00CE0F75" w:rsidRDefault="00CE0F75" w:rsidP="00A80B21">
      <w:pPr>
        <w:spacing w:after="0" w:line="360" w:lineRule="auto"/>
        <w:ind w:firstLine="567"/>
        <w:jc w:val="both"/>
        <w:rPr>
          <w:szCs w:val="28"/>
        </w:rPr>
      </w:pPr>
      <w:r w:rsidRPr="00CE0F75">
        <w:rPr>
          <w:szCs w:val="28"/>
        </w:rPr>
        <w:t>Рис.</w:t>
      </w:r>
      <w:r w:rsidR="00A80B21" w:rsidRPr="00F407BB">
        <w:rPr>
          <w:szCs w:val="28"/>
          <w:lang w:val="en-US"/>
        </w:rPr>
        <w:t>5</w:t>
      </w:r>
      <w:r w:rsidRPr="00CE0F75">
        <w:rPr>
          <w:szCs w:val="28"/>
        </w:rPr>
        <w:t xml:space="preserve">.9 – Кореляційні зв’язки між вітронектином та параметрами ліпідного профілю у хворих на ГІМ із супутнім ожирінням </w:t>
      </w:r>
    </w:p>
    <w:p w:rsidR="00CE0F75" w:rsidRPr="00CE0F75" w:rsidRDefault="00CE0F75" w:rsidP="00CE0F75">
      <w:pPr>
        <w:spacing w:after="0" w:line="360" w:lineRule="auto"/>
        <w:ind w:firstLine="567"/>
        <w:jc w:val="both"/>
        <w:rPr>
          <w:szCs w:val="28"/>
          <w:lang w:val="ru-RU"/>
        </w:rPr>
      </w:pPr>
      <w:r w:rsidRPr="00CE0F75">
        <w:rPr>
          <w:szCs w:val="28"/>
        </w:rPr>
        <w:t>Отримано кореляції між концентрацією галектину-3 та рівнем креатиніну крові (</w:t>
      </w:r>
      <w:r w:rsidRPr="00CE0F75">
        <w:rPr>
          <w:szCs w:val="28"/>
          <w:lang w:val="en-US"/>
        </w:rPr>
        <w:t>r</w:t>
      </w:r>
      <w:r w:rsidRPr="00CE0F75">
        <w:rPr>
          <w:szCs w:val="28"/>
        </w:rPr>
        <w:t xml:space="preserve">=0,41; </w:t>
      </w:r>
      <w:r w:rsidRPr="00CE0F75">
        <w:rPr>
          <w:szCs w:val="28"/>
          <w:lang w:val="en-US"/>
        </w:rPr>
        <w:t>p</w:t>
      </w:r>
      <w:r w:rsidRPr="00CE0F75">
        <w:rPr>
          <w:szCs w:val="28"/>
        </w:rPr>
        <w:t xml:space="preserve">&lt;0,05), що свідчить про зв’язок між функцією нирок і активністю галектину-3 та підтверджує опубліковані раніше відомості щодо позиції стосовно галектину-3 як маркера ураження нирок [141; 142]. </w:t>
      </w:r>
      <w:r w:rsidRPr="00CE0F75">
        <w:rPr>
          <w:szCs w:val="28"/>
          <w:lang w:val="ru-RU"/>
        </w:rPr>
        <w:t xml:space="preserve">Дані представлено на рис. </w:t>
      </w:r>
      <w:r w:rsidR="00A80B21">
        <w:rPr>
          <w:szCs w:val="28"/>
          <w:lang w:val="ru-RU"/>
        </w:rPr>
        <w:t>5</w:t>
      </w:r>
      <w:r w:rsidRPr="00CE0F75">
        <w:rPr>
          <w:szCs w:val="28"/>
          <w:lang w:val="ru-RU"/>
        </w:rPr>
        <w:t>.10.</w:t>
      </w:r>
    </w:p>
    <w:p w:rsidR="00CE0F75" w:rsidRPr="00CE0F75" w:rsidRDefault="00CE0F75" w:rsidP="00CE0F75">
      <w:pPr>
        <w:spacing w:after="0" w:line="360" w:lineRule="auto"/>
        <w:ind w:firstLine="567"/>
        <w:jc w:val="both"/>
        <w:rPr>
          <w:szCs w:val="28"/>
          <w:lang w:val="ru-RU"/>
        </w:rPr>
      </w:pPr>
    </w:p>
    <w:p w:rsidR="00CE0F75" w:rsidRPr="00CE0F75" w:rsidRDefault="00654476" w:rsidP="00CE0F75">
      <w:pPr>
        <w:spacing w:after="0" w:line="360" w:lineRule="auto"/>
        <w:ind w:firstLine="567"/>
        <w:jc w:val="both"/>
        <w:rPr>
          <w:szCs w:val="28"/>
          <w:lang w:val="ru-RU"/>
        </w:rPr>
      </w:pPr>
      <w:r>
        <w:rPr>
          <w:szCs w:val="28"/>
          <w:lang w:val="en-US"/>
        </w:rPr>
        <w:pict>
          <v:shape id="_x0000_s1514" type="#_x0000_t202" style="position:absolute;left:0;text-align:left;margin-left:248.7pt;margin-top:44.9pt;width:55.65pt;height:22.9pt;z-index:251666944" stroked="f">
            <v:textbox>
              <w:txbxContent>
                <w:p w:rsidR="00EA6E07" w:rsidRDefault="00EA6E07" w:rsidP="00CE0F75">
                  <w:r>
                    <w:rPr>
                      <w:szCs w:val="28"/>
                    </w:rPr>
                    <w:t>r</w:t>
                  </w:r>
                  <w:r w:rsidRPr="00110267">
                    <w:rPr>
                      <w:szCs w:val="28"/>
                    </w:rPr>
                    <w:t>=0,</w:t>
                  </w:r>
                  <w:r>
                    <w:rPr>
                      <w:szCs w:val="28"/>
                    </w:rPr>
                    <w:t>41</w:t>
                  </w:r>
                </w:p>
              </w:txbxContent>
            </v:textbox>
          </v:shape>
        </w:pict>
      </w:r>
      <w:r w:rsidR="00CE0F75" w:rsidRPr="00CE0F75">
        <w:rPr>
          <w:noProof/>
          <w:szCs w:val="28"/>
          <w:lang w:val="ru-RU" w:eastAsia="ru-RU"/>
        </w:rPr>
        <w:drawing>
          <wp:inline distT="0" distB="0" distL="0" distR="0">
            <wp:extent cx="5499389" cy="1776845"/>
            <wp:effectExtent l="323850" t="0" r="330200" b="0"/>
            <wp:docPr id="25"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A80B21" w:rsidRPr="00F407BB" w:rsidRDefault="00CE0F75" w:rsidP="00CE0F75">
      <w:pPr>
        <w:spacing w:after="0" w:line="360" w:lineRule="auto"/>
        <w:ind w:firstLine="567"/>
        <w:jc w:val="both"/>
        <w:rPr>
          <w:szCs w:val="28"/>
          <w:lang w:val="ru-RU"/>
        </w:rPr>
      </w:pPr>
      <w:r w:rsidRPr="00CE0F75">
        <w:rPr>
          <w:szCs w:val="28"/>
          <w:lang w:val="ru-RU"/>
        </w:rPr>
        <w:t>Рис.</w:t>
      </w:r>
      <w:r w:rsidR="00A80B21">
        <w:rPr>
          <w:szCs w:val="28"/>
          <w:lang w:val="ru-RU"/>
        </w:rPr>
        <w:t>5</w:t>
      </w:r>
      <w:r w:rsidRPr="00CE0F75">
        <w:rPr>
          <w:szCs w:val="28"/>
          <w:lang w:val="ru-RU"/>
        </w:rPr>
        <w:t>.10 – Кореляційний зв'язок між галектином-3 та креатиніном у хворих на ГІМ та ожиріння.</w:t>
      </w:r>
    </w:p>
    <w:p w:rsidR="00A80B21" w:rsidRPr="00F407BB" w:rsidRDefault="00A80B21" w:rsidP="00CE0F75">
      <w:pPr>
        <w:spacing w:after="0" w:line="360" w:lineRule="auto"/>
        <w:ind w:firstLine="567"/>
        <w:jc w:val="both"/>
        <w:rPr>
          <w:szCs w:val="28"/>
          <w:lang w:val="ru-RU"/>
        </w:rPr>
        <w:sectPr w:rsidR="00A80B21" w:rsidRPr="00F407BB" w:rsidSect="00A80B21">
          <w:type w:val="continuous"/>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lang w:val="ru-RU"/>
        </w:rPr>
      </w:pPr>
      <w:r w:rsidRPr="00CE0F75">
        <w:rPr>
          <w:szCs w:val="28"/>
          <w:lang w:val="ru-RU"/>
        </w:rPr>
        <w:lastRenderedPageBreak/>
        <w:t>Рівень вітронектину корелював з кількістю лейкоцитів (</w:t>
      </w:r>
      <w:r w:rsidRPr="00CE0F75">
        <w:rPr>
          <w:szCs w:val="28"/>
          <w:lang w:val="en-US"/>
        </w:rPr>
        <w:t>r</w:t>
      </w:r>
      <w:r w:rsidRPr="00CE0F75">
        <w:rPr>
          <w:szCs w:val="28"/>
        </w:rPr>
        <w:t xml:space="preserve">=0,39; </w:t>
      </w:r>
      <w:r w:rsidRPr="00CE0F75">
        <w:rPr>
          <w:szCs w:val="28"/>
          <w:lang w:val="en-US"/>
        </w:rPr>
        <w:t>p</w:t>
      </w:r>
      <w:r w:rsidRPr="00CE0F75">
        <w:rPr>
          <w:szCs w:val="28"/>
        </w:rPr>
        <w:t>&lt;0,05</w:t>
      </w:r>
      <w:r w:rsidRPr="00CE0F75">
        <w:rPr>
          <w:szCs w:val="28"/>
          <w:lang w:val="ru-RU"/>
        </w:rPr>
        <w:t xml:space="preserve">) у хворих на ГІМ з супутнім ожирінням, що свідчить про ефект вітронектина як параметра гострої фази запалення (рис. </w:t>
      </w:r>
      <w:r w:rsidR="00A80B21">
        <w:rPr>
          <w:szCs w:val="28"/>
          <w:lang w:val="ru-RU"/>
        </w:rPr>
        <w:t>5</w:t>
      </w:r>
      <w:r w:rsidRPr="00CE0F75">
        <w:rPr>
          <w:szCs w:val="28"/>
          <w:lang w:val="ru-RU"/>
        </w:rPr>
        <w:t>.11).</w:t>
      </w:r>
    </w:p>
    <w:p w:rsidR="00A80B21" w:rsidRPr="00F407BB" w:rsidRDefault="00654476" w:rsidP="00A80B21">
      <w:pPr>
        <w:spacing w:after="0" w:line="360" w:lineRule="auto"/>
        <w:ind w:firstLine="567"/>
        <w:jc w:val="both"/>
        <w:rPr>
          <w:szCs w:val="28"/>
          <w:lang w:val="ru-RU"/>
        </w:rPr>
      </w:pPr>
      <w:r>
        <w:rPr>
          <w:szCs w:val="28"/>
          <w:lang w:val="en-US"/>
        </w:rPr>
        <w:pict>
          <v:shape id="_x0000_s1515" type="#_x0000_t202" style="position:absolute;left:0;text-align:left;margin-left:235.6pt;margin-top:41.95pt;width:55.65pt;height:25.4pt;z-index:251667968" stroked="f">
            <v:textbox>
              <w:txbxContent>
                <w:p w:rsidR="00EA6E07" w:rsidRDefault="00EA6E07" w:rsidP="00CE0F75">
                  <w:r>
                    <w:rPr>
                      <w:szCs w:val="28"/>
                    </w:rPr>
                    <w:t>r</w:t>
                  </w:r>
                  <w:r w:rsidRPr="00110267">
                    <w:rPr>
                      <w:szCs w:val="28"/>
                    </w:rPr>
                    <w:t>=0,</w:t>
                  </w:r>
                  <w:r>
                    <w:rPr>
                      <w:szCs w:val="28"/>
                    </w:rPr>
                    <w:t>39</w:t>
                  </w:r>
                </w:p>
              </w:txbxContent>
            </v:textbox>
          </v:shape>
        </w:pict>
      </w:r>
      <w:r w:rsidR="00CE0F75" w:rsidRPr="00CE0F75">
        <w:rPr>
          <w:noProof/>
          <w:szCs w:val="28"/>
          <w:lang w:val="ru-RU" w:eastAsia="ru-RU"/>
        </w:rPr>
        <w:drawing>
          <wp:inline distT="0" distB="0" distL="0" distR="0">
            <wp:extent cx="5495579" cy="1766454"/>
            <wp:effectExtent l="266700" t="0" r="257810" b="0"/>
            <wp:docPr id="26"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CE0F75" w:rsidRPr="00CE0F75">
        <w:rPr>
          <w:szCs w:val="28"/>
        </w:rPr>
        <w:t xml:space="preserve">Рис. </w:t>
      </w:r>
      <w:r w:rsidR="00CE0F75" w:rsidRPr="00CE0F75">
        <w:rPr>
          <w:szCs w:val="28"/>
          <w:lang w:val="ru-RU"/>
        </w:rPr>
        <w:t>.</w:t>
      </w:r>
      <w:r w:rsidR="00A80B21">
        <w:rPr>
          <w:szCs w:val="28"/>
          <w:lang w:val="ru-RU"/>
        </w:rPr>
        <w:t>5</w:t>
      </w:r>
      <w:r w:rsidR="00CE0F75" w:rsidRPr="00CE0F75">
        <w:rPr>
          <w:szCs w:val="28"/>
          <w:lang w:val="ru-RU"/>
        </w:rPr>
        <w:t>.11 – Кореляційний зв'язок між вітронектином та лейкоцитами крові у хворих на ГІМ та ожиріння.</w:t>
      </w:r>
    </w:p>
    <w:p w:rsidR="00A80B21" w:rsidRPr="00F407BB" w:rsidRDefault="00A80B21" w:rsidP="00A80B21">
      <w:pPr>
        <w:spacing w:after="0" w:line="360" w:lineRule="auto"/>
        <w:ind w:firstLine="567"/>
        <w:jc w:val="both"/>
        <w:rPr>
          <w:szCs w:val="28"/>
          <w:lang w:val="ru-RU"/>
        </w:rPr>
        <w:sectPr w:rsidR="00A80B21" w:rsidRPr="00F407BB" w:rsidSect="00A80B21">
          <w:type w:val="continuous"/>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rPr>
      </w:pPr>
      <w:r w:rsidRPr="00CE0F75">
        <w:rPr>
          <w:szCs w:val="28"/>
        </w:rPr>
        <w:lastRenderedPageBreak/>
        <w:t xml:space="preserve">Таким чином, проведене дослідження виявило збільшення об’єму порожнин ЛШ зі зниженням його інотропної функції у відповідь на високу активність галектину-3 та вітронектину сироватки крові на тлі збільшення ІМТ та значення ОТ, а також зростання проатерогенних фракцій ліпідограми на тлі гіпергалектинемії. </w:t>
      </w:r>
    </w:p>
    <w:p w:rsidR="00CE0F75" w:rsidRPr="00CE0F75" w:rsidRDefault="00CE0F75" w:rsidP="00CE0F75">
      <w:pPr>
        <w:spacing w:after="0" w:line="360" w:lineRule="auto"/>
        <w:ind w:firstLine="567"/>
        <w:jc w:val="both"/>
        <w:rPr>
          <w:szCs w:val="28"/>
        </w:rPr>
      </w:pPr>
    </w:p>
    <w:p w:rsidR="00CE0F75" w:rsidRDefault="00CE0F75">
      <w:pPr>
        <w:rPr>
          <w:szCs w:val="28"/>
        </w:rPr>
      </w:pPr>
      <w:r>
        <w:rPr>
          <w:szCs w:val="28"/>
        </w:rPr>
        <w:br w:type="page"/>
      </w:r>
    </w:p>
    <w:p w:rsidR="00CE0F75" w:rsidRDefault="00CE0F75" w:rsidP="00CE0F75">
      <w:pPr>
        <w:spacing w:after="0" w:line="360" w:lineRule="auto"/>
        <w:ind w:firstLine="708"/>
        <w:jc w:val="center"/>
        <w:rPr>
          <w:szCs w:val="28"/>
        </w:rPr>
      </w:pPr>
      <w:r>
        <w:rPr>
          <w:szCs w:val="28"/>
        </w:rPr>
        <w:lastRenderedPageBreak/>
        <w:t>РОЗДІЛ 6</w:t>
      </w:r>
    </w:p>
    <w:p w:rsidR="00CE0F75" w:rsidRPr="006C6748" w:rsidRDefault="00CE0F75" w:rsidP="00CE0F75">
      <w:pPr>
        <w:spacing w:after="0" w:line="360" w:lineRule="auto"/>
        <w:ind w:firstLine="708"/>
        <w:jc w:val="center"/>
        <w:rPr>
          <w:szCs w:val="28"/>
        </w:rPr>
      </w:pPr>
      <w:r>
        <w:rPr>
          <w:szCs w:val="28"/>
        </w:rPr>
        <w:t>ДИНАМІКА ВІТРОНЕКТИНУ І ГАЛЕКТИНУ-3 ПІД ВПЛИВОМ ТИКАГРЕЛОРА АБО КЛОПІДОГРЕЛЯ В СКЛАДІ ПОДВІЙНОЇ АНТИТРОМБОЦИТАРНОЇ ТЕРАПІЇ У ХВОРИХ НА ГОСТРИЙ ІНФАРКТ МІОКАРДА ТА СУПУТНЄ ОЖИРІННЯ</w:t>
      </w:r>
    </w:p>
    <w:p w:rsidR="00CE0F75" w:rsidRDefault="00CE0F75" w:rsidP="00CE0F75">
      <w:pPr>
        <w:spacing w:after="0" w:line="360" w:lineRule="auto"/>
        <w:ind w:firstLine="708"/>
        <w:jc w:val="center"/>
        <w:rPr>
          <w:szCs w:val="28"/>
        </w:rPr>
      </w:pPr>
    </w:p>
    <w:p w:rsidR="00CE0F75" w:rsidRDefault="00CE0F75" w:rsidP="00CE0F75">
      <w:pPr>
        <w:tabs>
          <w:tab w:val="num" w:pos="330"/>
        </w:tabs>
        <w:spacing w:after="0" w:line="360" w:lineRule="auto"/>
        <w:ind w:firstLine="709"/>
        <w:jc w:val="both"/>
        <w:rPr>
          <w:iCs/>
          <w:szCs w:val="28"/>
        </w:rPr>
      </w:pPr>
      <w:r w:rsidRPr="00DC5C24">
        <w:rPr>
          <w:iCs/>
          <w:szCs w:val="28"/>
        </w:rPr>
        <w:t>Під час другого</w:t>
      </w:r>
      <w:r>
        <w:rPr>
          <w:iCs/>
          <w:szCs w:val="28"/>
        </w:rPr>
        <w:t xml:space="preserve"> клініко-діагностичного обстеження через 30 днів після після початку захворювання на ГІМ, крім загально прийнятих даних, пильну увагу приділено щодо інформованості пацієнтів про захворювання протягом 1 місяця після коронарної події та їх ставлення до лікування, тобто прихильність до рекомендацій лікаря. Отримані результати свідчать про невідповідність рекомендаціям Європейського Товариства Кардіологів щодо подвійної антитромбоцитарної терапії (ПАТ) у хворих зі </w:t>
      </w:r>
      <w:r>
        <w:rPr>
          <w:iCs/>
          <w:szCs w:val="28"/>
          <w:lang w:val="en-US"/>
        </w:rPr>
        <w:t>STEMI</w:t>
      </w:r>
      <w:r w:rsidRPr="00366244">
        <w:rPr>
          <w:iCs/>
          <w:szCs w:val="28"/>
        </w:rPr>
        <w:t xml:space="preserve"> </w:t>
      </w:r>
      <w:r w:rsidRPr="00766FBC">
        <w:rPr>
          <w:iCs/>
          <w:szCs w:val="28"/>
        </w:rPr>
        <w:t>[14</w:t>
      </w:r>
      <w:r>
        <w:rPr>
          <w:iCs/>
          <w:szCs w:val="28"/>
        </w:rPr>
        <w:t>8</w:t>
      </w:r>
      <w:r w:rsidRPr="00766FBC">
        <w:rPr>
          <w:iCs/>
          <w:szCs w:val="28"/>
        </w:rPr>
        <w:t>]</w:t>
      </w:r>
      <w:r>
        <w:rPr>
          <w:iCs/>
          <w:szCs w:val="28"/>
        </w:rPr>
        <w:t xml:space="preserve">, адже адекватне зниження агрегаційної функції за допомогою призначення комбінації ацетилсаліцилової кислоти (АСК) з інгібіторами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(клопідогрель, тикагрелор, прасугрель) є необхідним патогенетично обґрунтованим заходом профілактики ранніх та віддалених ускладнень </w:t>
      </w:r>
      <w:r w:rsidRPr="00A51172">
        <w:rPr>
          <w:iCs/>
          <w:szCs w:val="28"/>
        </w:rPr>
        <w:t>[14</w:t>
      </w:r>
      <w:r>
        <w:rPr>
          <w:iCs/>
          <w:szCs w:val="28"/>
        </w:rPr>
        <w:t>9</w:t>
      </w:r>
      <w:r w:rsidRPr="00A51172">
        <w:rPr>
          <w:iCs/>
          <w:szCs w:val="28"/>
        </w:rPr>
        <w:t>]</w:t>
      </w:r>
      <w:r>
        <w:rPr>
          <w:iCs/>
          <w:szCs w:val="28"/>
        </w:rPr>
        <w:t xml:space="preserve">. Сучасний представник групи інгібіторів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рецепторів тромбоцитів, а саме, тикагрелор знижує ризик ішемічних подій, загальної смертності та смертності від серцево-судинних причин без підвищення рівня ризику геморагічних ускладнень при порівнянні з клопідогрелем та обумовлює найкраще співвідношення еф</w:t>
      </w:r>
      <w:r w:rsidR="00301E40">
        <w:rPr>
          <w:iCs/>
          <w:szCs w:val="28"/>
        </w:rPr>
        <w:t>ективність/</w:t>
      </w:r>
      <w:r>
        <w:rPr>
          <w:iCs/>
          <w:szCs w:val="28"/>
        </w:rPr>
        <w:t xml:space="preserve">безпека для тикагрелору. </w:t>
      </w:r>
    </w:p>
    <w:p w:rsidR="00CE0F75" w:rsidRDefault="00CE0F75" w:rsidP="00CE0F75">
      <w:pPr>
        <w:tabs>
          <w:tab w:val="num" w:pos="330"/>
        </w:tabs>
        <w:spacing w:after="0" w:line="360" w:lineRule="auto"/>
        <w:ind w:firstLine="709"/>
        <w:jc w:val="both"/>
        <w:rPr>
          <w:iCs/>
          <w:szCs w:val="28"/>
        </w:rPr>
      </w:pPr>
      <w:r>
        <w:rPr>
          <w:iCs/>
          <w:szCs w:val="28"/>
        </w:rPr>
        <w:t xml:space="preserve">Крім того, відсутність залежності антитромбоцитарної активності від поліморфізму </w:t>
      </w:r>
      <w:r>
        <w:rPr>
          <w:iCs/>
          <w:szCs w:val="28"/>
          <w:lang w:val="en-US"/>
        </w:rPr>
        <w:t>CYP</w:t>
      </w:r>
      <w:r w:rsidRPr="00D06BF8">
        <w:rPr>
          <w:iCs/>
          <w:szCs w:val="28"/>
          <w:vertAlign w:val="subscript"/>
        </w:rPr>
        <w:t>2</w:t>
      </w:r>
      <w:r>
        <w:rPr>
          <w:iCs/>
          <w:szCs w:val="28"/>
          <w:lang w:val="en-US"/>
        </w:rPr>
        <w:t>C</w:t>
      </w:r>
      <w:r w:rsidRPr="00D06BF8">
        <w:rPr>
          <w:iCs/>
          <w:szCs w:val="28"/>
          <w:vertAlign w:val="subscript"/>
        </w:rPr>
        <w:t xml:space="preserve">19 </w:t>
      </w:r>
      <w:r>
        <w:rPr>
          <w:iCs/>
          <w:szCs w:val="28"/>
        </w:rPr>
        <w:t xml:space="preserve">у тикагрелора порівняно з клопідогрелем разом з відстроченим початком дії останнього обумовлюють розвиток швидкого й потужного антиагрегантного ефекту тикагрелору – нового представника інгібіторів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w:t>
      </w:r>
      <w:r w:rsidRPr="00D719B8">
        <w:rPr>
          <w:iCs/>
          <w:szCs w:val="28"/>
        </w:rPr>
        <w:t>[</w:t>
      </w:r>
      <w:r>
        <w:rPr>
          <w:iCs/>
          <w:szCs w:val="28"/>
        </w:rPr>
        <w:t>150</w:t>
      </w:r>
      <w:r w:rsidR="00F407BB">
        <w:rPr>
          <w:iCs/>
          <w:szCs w:val="28"/>
        </w:rPr>
        <w:t>-15</w:t>
      </w:r>
      <w:r w:rsidR="00D52D9C">
        <w:rPr>
          <w:iCs/>
          <w:szCs w:val="28"/>
        </w:rPr>
        <w:t>4</w:t>
      </w:r>
      <w:r w:rsidRPr="00D719B8">
        <w:rPr>
          <w:iCs/>
          <w:szCs w:val="28"/>
        </w:rPr>
        <w:t>]</w:t>
      </w:r>
      <w:r>
        <w:rPr>
          <w:iCs/>
          <w:szCs w:val="28"/>
        </w:rPr>
        <w:t xml:space="preserve">. Отримані результати дослідників узгоджуються з </w:t>
      </w:r>
      <w:r>
        <w:rPr>
          <w:iCs/>
          <w:szCs w:val="28"/>
        </w:rPr>
        <w:lastRenderedPageBreak/>
        <w:t xml:space="preserve">діючими рекомендаціями, згідно з якими тикагрелор є препаратом вибору для всіх пацієнтів з ГКС незалежно від як першорядної стратегії лікування, так і наявності елевації сегмента </w:t>
      </w:r>
      <w:r>
        <w:rPr>
          <w:iCs/>
          <w:szCs w:val="28"/>
          <w:lang w:val="en-US"/>
        </w:rPr>
        <w:t>ST</w:t>
      </w:r>
      <w:r w:rsidRPr="00D719B8">
        <w:rPr>
          <w:iCs/>
          <w:szCs w:val="28"/>
        </w:rPr>
        <w:t xml:space="preserve"> [</w:t>
      </w:r>
      <w:r w:rsidR="00D52D9C">
        <w:rPr>
          <w:iCs/>
          <w:szCs w:val="28"/>
        </w:rPr>
        <w:t>155-158</w:t>
      </w:r>
      <w:r w:rsidRPr="00D719B8">
        <w:rPr>
          <w:iCs/>
          <w:szCs w:val="28"/>
        </w:rPr>
        <w:t>]</w:t>
      </w:r>
      <w:r>
        <w:rPr>
          <w:iCs/>
          <w:szCs w:val="28"/>
        </w:rPr>
        <w:t>.</w:t>
      </w:r>
    </w:p>
    <w:p w:rsidR="00CE0F75" w:rsidRDefault="00CE0F75" w:rsidP="00CE0F75">
      <w:pPr>
        <w:tabs>
          <w:tab w:val="num" w:pos="330"/>
        </w:tabs>
        <w:spacing w:after="0" w:line="360" w:lineRule="auto"/>
        <w:ind w:firstLine="709"/>
        <w:jc w:val="both"/>
        <w:rPr>
          <w:iCs/>
          <w:szCs w:val="28"/>
        </w:rPr>
      </w:pPr>
      <w:r>
        <w:rPr>
          <w:iCs/>
          <w:szCs w:val="28"/>
        </w:rPr>
        <w:t xml:space="preserve">З іншого боку реальна клінічна практика показує, що витрати, пов’язані з необхідності самостійної купівлі лікарських засобів, значно знижують прихильність до лікування, і наша країна не є виключенням </w:t>
      </w:r>
      <w:r w:rsidRPr="007132E5">
        <w:rPr>
          <w:iCs/>
          <w:szCs w:val="28"/>
        </w:rPr>
        <w:t>[</w:t>
      </w:r>
      <w:r>
        <w:rPr>
          <w:iCs/>
          <w:szCs w:val="28"/>
        </w:rPr>
        <w:t>152</w:t>
      </w:r>
      <w:r w:rsidRPr="007132E5">
        <w:rPr>
          <w:iCs/>
          <w:szCs w:val="28"/>
        </w:rPr>
        <w:t>].</w:t>
      </w:r>
    </w:p>
    <w:p w:rsidR="00CE0F75" w:rsidRDefault="00CE0F75" w:rsidP="00CE0F75">
      <w:pPr>
        <w:tabs>
          <w:tab w:val="num" w:pos="330"/>
        </w:tabs>
        <w:spacing w:after="0" w:line="360" w:lineRule="auto"/>
        <w:ind w:firstLine="709"/>
        <w:jc w:val="both"/>
        <w:rPr>
          <w:iCs/>
          <w:szCs w:val="28"/>
        </w:rPr>
      </w:pPr>
      <w:r>
        <w:rPr>
          <w:iCs/>
          <w:szCs w:val="28"/>
        </w:rPr>
        <w:t>Хворі на ГІМ з супутнім ожирінням, залучені у дослідження, протягом 1 доби захворювання були розподілені на 2 групи: в 1 групі було обрано інвазивну стратегію реперфузійної терапії, а саме проведення ПКВ (</w:t>
      </w:r>
      <w:r>
        <w:rPr>
          <w:iCs/>
          <w:szCs w:val="28"/>
          <w:lang w:val="en-US"/>
        </w:rPr>
        <w:t>n</w:t>
      </w:r>
      <w:r w:rsidRPr="005B4924">
        <w:rPr>
          <w:iCs/>
          <w:szCs w:val="28"/>
        </w:rPr>
        <w:t>=</w:t>
      </w:r>
      <w:r>
        <w:rPr>
          <w:iCs/>
          <w:szCs w:val="28"/>
        </w:rPr>
        <w:t>31), для 2 групи було обрано тактику первинного тромболізису (стрептокіназа 1,5 млн ОД) (внаслідок фінансових причин) (</w:t>
      </w:r>
      <w:r>
        <w:rPr>
          <w:iCs/>
          <w:szCs w:val="28"/>
          <w:lang w:val="en-US"/>
        </w:rPr>
        <w:t>n</w:t>
      </w:r>
      <w:r>
        <w:rPr>
          <w:iCs/>
          <w:szCs w:val="28"/>
        </w:rPr>
        <w:t xml:space="preserve">=44). </w:t>
      </w:r>
    </w:p>
    <w:p w:rsidR="00CE0F75" w:rsidRDefault="00CE0F75" w:rsidP="00CE0F75">
      <w:pPr>
        <w:tabs>
          <w:tab w:val="num" w:pos="330"/>
        </w:tabs>
        <w:spacing w:after="0" w:line="360" w:lineRule="auto"/>
        <w:ind w:firstLine="709"/>
        <w:jc w:val="both"/>
        <w:rPr>
          <w:iCs/>
          <w:szCs w:val="28"/>
        </w:rPr>
      </w:pPr>
      <w:r>
        <w:rPr>
          <w:szCs w:val="28"/>
        </w:rPr>
        <w:t xml:space="preserve">Лікування хворих на ГІМ здійснювалося згідно Наказу </w:t>
      </w:r>
      <w:r>
        <w:rPr>
          <w:rFonts w:eastAsia="Lucida Sans Unicode"/>
          <w:szCs w:val="28"/>
          <w:lang w:eastAsia="ar-SA"/>
        </w:rPr>
        <w:t>МОЗ України №</w:t>
      </w:r>
      <w:r w:rsidRPr="0002159F">
        <w:rPr>
          <w:rFonts w:eastAsia="Lucida Sans Unicode"/>
          <w:szCs w:val="28"/>
          <w:lang w:eastAsia="ar-SA"/>
        </w:rPr>
        <w:t>455</w:t>
      </w:r>
      <w:r>
        <w:rPr>
          <w:rFonts w:eastAsia="Lucida Sans Unicode"/>
          <w:szCs w:val="28"/>
          <w:lang w:eastAsia="ar-SA"/>
        </w:rPr>
        <w:t xml:space="preserve"> </w:t>
      </w:r>
      <w:r>
        <w:rPr>
          <w:szCs w:val="28"/>
        </w:rPr>
        <w:t xml:space="preserve">Усі хворі отримували: тромболітичну терапію; </w:t>
      </w:r>
      <w:r w:rsidRPr="00B55C77">
        <w:rPr>
          <w:rFonts w:eastAsia="Times New Roman"/>
          <w:szCs w:val="28"/>
          <w:lang w:eastAsia="ru-RU"/>
        </w:rPr>
        <w:t>нітрати за умов наявності больовому синдрому та клінічних проявів гострої серцевої недостатності</w:t>
      </w:r>
      <w:r>
        <w:rPr>
          <w:rFonts w:eastAsia="Times New Roman"/>
          <w:szCs w:val="28"/>
          <w:lang w:eastAsia="ru-RU"/>
        </w:rPr>
        <w:t xml:space="preserve"> (нітрогліцерин 1 % - 1,0 мл </w:t>
      </w:r>
      <w:r w:rsidRPr="00B55C77">
        <w:rPr>
          <w:rFonts w:eastAsia="Times New Roman"/>
          <w:szCs w:val="28"/>
          <w:lang w:eastAsia="ru-RU"/>
        </w:rPr>
        <w:t>внутрішньовенно);</w:t>
      </w:r>
      <w:r>
        <w:rPr>
          <w:rFonts w:eastAsia="Times New Roman"/>
          <w:szCs w:val="28"/>
          <w:lang w:eastAsia="ru-RU"/>
        </w:rPr>
        <w:t xml:space="preserve"> наркотичні анальгетики (морфін 1 мл </w:t>
      </w:r>
      <w:r w:rsidRPr="00B55C77">
        <w:rPr>
          <w:rFonts w:eastAsia="Times New Roman"/>
          <w:szCs w:val="28"/>
          <w:lang w:eastAsia="ru-RU"/>
        </w:rPr>
        <w:t>внутрішньовенно);</w:t>
      </w:r>
      <w:r>
        <w:rPr>
          <w:rFonts w:eastAsia="Times New Roman"/>
          <w:szCs w:val="28"/>
          <w:lang w:eastAsia="ru-RU"/>
        </w:rPr>
        <w:t xml:space="preserve"> антиагреганти - </w:t>
      </w:r>
      <w:r w:rsidRPr="00B55C77">
        <w:rPr>
          <w:rFonts w:eastAsia="Times New Roman"/>
          <w:szCs w:val="28"/>
          <w:lang w:eastAsia="ru-RU"/>
        </w:rPr>
        <w:t>ацетилсаліцилова кислота (</w:t>
      </w:r>
      <w:r>
        <w:rPr>
          <w:rFonts w:eastAsia="Times New Roman"/>
          <w:szCs w:val="28"/>
          <w:lang w:eastAsia="ru-RU"/>
        </w:rPr>
        <w:t>навантажувальна доза 250 мг, потім 125</w:t>
      </w:r>
      <w:r w:rsidRPr="00B55C77">
        <w:rPr>
          <w:rFonts w:eastAsia="Times New Roman"/>
          <w:szCs w:val="28"/>
          <w:lang w:eastAsia="ru-RU"/>
        </w:rPr>
        <w:t xml:space="preserve">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і </w:t>
      </w:r>
      <w:r>
        <w:rPr>
          <w:szCs w:val="28"/>
        </w:rPr>
        <w:t>інгібітор Р2Y</w:t>
      </w:r>
      <w:r w:rsidRPr="008F5375">
        <w:rPr>
          <w:szCs w:val="28"/>
          <w:vertAlign w:val="subscript"/>
        </w:rPr>
        <w:t>I2</w:t>
      </w:r>
      <w:r>
        <w:rPr>
          <w:szCs w:val="28"/>
        </w:rPr>
        <w:t xml:space="preserve"> рецепторів - клопідогрель </w:t>
      </w:r>
      <w:r w:rsidRPr="00B55C77">
        <w:rPr>
          <w:rFonts w:eastAsia="Times New Roman"/>
          <w:szCs w:val="28"/>
          <w:lang w:eastAsia="ru-RU"/>
        </w:rPr>
        <w:t>(</w:t>
      </w:r>
      <w:r>
        <w:rPr>
          <w:rFonts w:eastAsia="Times New Roman"/>
          <w:szCs w:val="28"/>
          <w:lang w:eastAsia="ru-RU"/>
        </w:rPr>
        <w:t xml:space="preserve">навантажувальна </w:t>
      </w:r>
      <w:r w:rsidRPr="00B55C77">
        <w:rPr>
          <w:rFonts w:eastAsia="Times New Roman"/>
          <w:szCs w:val="28"/>
          <w:lang w:eastAsia="ru-RU"/>
        </w:rPr>
        <w:t>доз</w:t>
      </w:r>
      <w:r>
        <w:rPr>
          <w:rFonts w:eastAsia="Times New Roman"/>
          <w:szCs w:val="28"/>
          <w:lang w:eastAsia="ru-RU"/>
        </w:rPr>
        <w:t>а</w:t>
      </w:r>
      <w:r w:rsidRPr="00B55C77">
        <w:rPr>
          <w:rFonts w:eastAsia="Times New Roman"/>
          <w:szCs w:val="28"/>
          <w:lang w:eastAsia="ru-RU"/>
        </w:rPr>
        <w:t xml:space="preserve"> 300 мг</w:t>
      </w:r>
      <w:r>
        <w:rPr>
          <w:rFonts w:eastAsia="Times New Roman"/>
          <w:szCs w:val="28"/>
          <w:lang w:eastAsia="ru-RU"/>
        </w:rPr>
        <w:t>, потім 75 внутрішньо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 xml:space="preserve">еноксапарин (0,5 мг/кг </w:t>
      </w:r>
      <w:r>
        <w:rPr>
          <w:rFonts w:eastAsia="Times New Roman"/>
          <w:szCs w:val="28"/>
          <w:lang w:eastAsia="ru-RU"/>
        </w:rPr>
        <w:t>2 рази на день підшкірно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бета-блокатори (метопролол до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статини (аторвастатин 8</w:t>
      </w:r>
      <w:r w:rsidRPr="00B55C77">
        <w:rPr>
          <w:rFonts w:eastAsia="Times New Roman"/>
          <w:szCs w:val="28"/>
          <w:lang w:eastAsia="ru-RU"/>
        </w:rPr>
        <w:t xml:space="preserve">0 мг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діуретики (фуросемід 60-80 мг внутрішньовенно); </w:t>
      </w:r>
      <w:r w:rsidRPr="00B55C77">
        <w:rPr>
          <w:rFonts w:eastAsia="Times New Roman"/>
          <w:szCs w:val="28"/>
          <w:lang w:eastAsia="ru-RU"/>
        </w:rPr>
        <w:t>блокатор</w:t>
      </w:r>
      <w:r>
        <w:rPr>
          <w:rFonts w:eastAsia="Times New Roman"/>
          <w:szCs w:val="28"/>
          <w:lang w:eastAsia="ru-RU"/>
        </w:rPr>
        <w:t>и</w:t>
      </w:r>
      <w:r w:rsidRPr="00B55C77">
        <w:rPr>
          <w:rFonts w:eastAsia="Times New Roman"/>
          <w:szCs w:val="28"/>
          <w:lang w:eastAsia="ru-RU"/>
        </w:rPr>
        <w:t xml:space="preserve"> протонної помпи (пантопразол</w:t>
      </w:r>
      <w:r>
        <w:rPr>
          <w:rFonts w:eastAsia="Times New Roman"/>
          <w:szCs w:val="28"/>
          <w:lang w:eastAsia="ru-RU"/>
        </w:rPr>
        <w:t xml:space="preserve"> 40 мг</w:t>
      </w:r>
      <w:r w:rsidRPr="00955376">
        <w:rPr>
          <w:rFonts w:eastAsia="Times New Roman"/>
          <w:szCs w:val="28"/>
          <w:lang w:eastAsia="ru-RU"/>
        </w:rPr>
        <w:t xml:space="preserve">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при </w:t>
      </w:r>
      <w:r w:rsidRPr="00B55C77">
        <w:rPr>
          <w:rFonts w:eastAsia="Times New Roman"/>
          <w:szCs w:val="28"/>
          <w:lang w:eastAsia="ru-RU"/>
        </w:rPr>
        <w:t>фракці</w:t>
      </w:r>
      <w:r>
        <w:rPr>
          <w:rFonts w:eastAsia="Times New Roman"/>
          <w:szCs w:val="28"/>
          <w:lang w:eastAsia="ru-RU"/>
        </w:rPr>
        <w:t>ї</w:t>
      </w:r>
      <w:r w:rsidRPr="00B55C77">
        <w:rPr>
          <w:rFonts w:eastAsia="Times New Roman"/>
          <w:szCs w:val="28"/>
          <w:lang w:eastAsia="ru-RU"/>
        </w:rPr>
        <w:t xml:space="preserve"> викиду ≤ 40% </w:t>
      </w:r>
      <w:r>
        <w:rPr>
          <w:szCs w:val="28"/>
        </w:rPr>
        <w:t xml:space="preserve">конкурентний антагоніст альдостерону </w:t>
      </w:r>
      <w:r w:rsidRPr="00B55C77">
        <w:rPr>
          <w:rFonts w:eastAsia="Times New Roman"/>
          <w:szCs w:val="28"/>
          <w:lang w:eastAsia="ru-RU"/>
        </w:rPr>
        <w:t>(спіронолактон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w:t>
      </w:r>
      <w:r>
        <w:rPr>
          <w:szCs w:val="28"/>
        </w:rPr>
        <w:t xml:space="preserve">У </w:t>
      </w:r>
      <w:r>
        <w:rPr>
          <w:iCs/>
          <w:szCs w:val="28"/>
        </w:rPr>
        <w:t>100% випадків хворі</w:t>
      </w:r>
      <w:r w:rsidRPr="00C93DFD">
        <w:rPr>
          <w:iCs/>
          <w:szCs w:val="28"/>
        </w:rPr>
        <w:t xml:space="preserve"> на ГІМ, залучен</w:t>
      </w:r>
      <w:r>
        <w:rPr>
          <w:iCs/>
          <w:szCs w:val="28"/>
        </w:rPr>
        <w:t>і</w:t>
      </w:r>
      <w:r w:rsidRPr="00C93DFD">
        <w:rPr>
          <w:iCs/>
          <w:szCs w:val="28"/>
        </w:rPr>
        <w:t xml:space="preserve"> </w:t>
      </w:r>
      <w:r>
        <w:rPr>
          <w:iCs/>
          <w:szCs w:val="28"/>
        </w:rPr>
        <w:t>до</w:t>
      </w:r>
      <w:r w:rsidRPr="00C93DFD">
        <w:rPr>
          <w:iCs/>
          <w:szCs w:val="28"/>
        </w:rPr>
        <w:t xml:space="preserve"> дослідження</w:t>
      </w:r>
      <w:r>
        <w:rPr>
          <w:iCs/>
          <w:szCs w:val="28"/>
        </w:rPr>
        <w:t>,</w:t>
      </w:r>
      <w:r w:rsidRPr="00C93DFD">
        <w:rPr>
          <w:iCs/>
          <w:szCs w:val="28"/>
        </w:rPr>
        <w:t xml:space="preserve"> були проінформовані лікуючим</w:t>
      </w:r>
      <w:r w:rsidRPr="005B4924">
        <w:rPr>
          <w:iCs/>
          <w:szCs w:val="28"/>
        </w:rPr>
        <w:t xml:space="preserve"> лікарем-кардіологом у спеціалізованому відділенні</w:t>
      </w:r>
      <w:r>
        <w:rPr>
          <w:iCs/>
          <w:szCs w:val="28"/>
        </w:rPr>
        <w:t xml:space="preserve"> про необхідність дотримуватися рекомендацій щодо прийому препаратів після закінчення стаціонарного лікування</w:t>
      </w:r>
      <w:r w:rsidRPr="005B4924">
        <w:rPr>
          <w:iCs/>
          <w:szCs w:val="28"/>
        </w:rPr>
        <w:t xml:space="preserve">, при </w:t>
      </w:r>
      <w:r>
        <w:rPr>
          <w:iCs/>
          <w:szCs w:val="28"/>
        </w:rPr>
        <w:t>детальному опитуванні виявлено, що</w:t>
      </w:r>
      <w:r w:rsidRPr="005B4924">
        <w:rPr>
          <w:iCs/>
          <w:szCs w:val="28"/>
        </w:rPr>
        <w:t xml:space="preserve"> 73% пацієнтів з ГІМ також отримали ґрунтовну інформацію шляхом самоосвіти з використанням інтернет-ресурсів. </w:t>
      </w:r>
    </w:p>
    <w:p w:rsidR="00CE0F75" w:rsidRDefault="00CE0F75" w:rsidP="00CE0F75">
      <w:pPr>
        <w:tabs>
          <w:tab w:val="num" w:pos="330"/>
        </w:tabs>
        <w:spacing w:after="0" w:line="360" w:lineRule="auto"/>
        <w:ind w:firstLine="709"/>
        <w:jc w:val="both"/>
        <w:rPr>
          <w:iCs/>
          <w:szCs w:val="28"/>
        </w:rPr>
      </w:pPr>
      <w:r>
        <w:rPr>
          <w:iCs/>
          <w:szCs w:val="28"/>
        </w:rPr>
        <w:lastRenderedPageBreak/>
        <w:t xml:space="preserve">Наступним етапом дослідження був аналіз динаміки вітронектину та галектину-3, а також змін параметрів ЯЖ у хворих після перенесеного ІМ при ожирінні. </w:t>
      </w:r>
      <w:r w:rsidRPr="005A6FE3">
        <w:rPr>
          <w:iCs/>
          <w:szCs w:val="28"/>
        </w:rPr>
        <w:t>Термін спостереження</w:t>
      </w:r>
      <w:r>
        <w:rPr>
          <w:iCs/>
          <w:szCs w:val="28"/>
        </w:rPr>
        <w:t xml:space="preserve"> складав 6 місяців. </w:t>
      </w:r>
    </w:p>
    <w:p w:rsidR="00CE0F75" w:rsidRDefault="00CE0F75" w:rsidP="00CE0F75">
      <w:pPr>
        <w:tabs>
          <w:tab w:val="num" w:pos="330"/>
        </w:tabs>
        <w:spacing w:after="0" w:line="360" w:lineRule="auto"/>
        <w:ind w:firstLine="709"/>
        <w:jc w:val="both"/>
        <w:rPr>
          <w:iCs/>
          <w:szCs w:val="28"/>
        </w:rPr>
      </w:pPr>
      <w:r>
        <w:rPr>
          <w:iCs/>
          <w:szCs w:val="28"/>
        </w:rPr>
        <w:t>У хворих після проведеного ПКВ рівень вітронектину вірогідно знизився на 24,4%, у той час коли в групі хворих після проведеного тромболізису зафіксовано дещо менш виразну динаміку даного параметра, а саме зниження на 13,9%.</w:t>
      </w:r>
    </w:p>
    <w:p w:rsidR="00CE0F75" w:rsidRDefault="00CE0F75" w:rsidP="00CE0F75">
      <w:pPr>
        <w:tabs>
          <w:tab w:val="num" w:pos="330"/>
        </w:tabs>
        <w:spacing w:after="0" w:line="360" w:lineRule="auto"/>
        <w:ind w:firstLine="709"/>
        <w:jc w:val="both"/>
        <w:rPr>
          <w:iCs/>
          <w:szCs w:val="28"/>
        </w:rPr>
      </w:pPr>
      <w:r>
        <w:rPr>
          <w:iCs/>
          <w:szCs w:val="28"/>
        </w:rPr>
        <w:t xml:space="preserve">За показником фіброгенезу галектином-3 отримано подібні зміни. У хворих після ПКВ  рівень галектину-3 був достовірно менше порівняно з вихідними даними на 56,8%. У групі хворих після використання </w:t>
      </w:r>
      <w:r w:rsidR="00C95D43">
        <w:rPr>
          <w:iCs/>
          <w:szCs w:val="28"/>
        </w:rPr>
        <w:t>тромбо</w:t>
      </w:r>
      <w:r>
        <w:rPr>
          <w:iCs/>
          <w:szCs w:val="28"/>
        </w:rPr>
        <w:t>літичної терапії концентрація галектину-3 зменшилась на 33,8% при порівнянні з концентрацією до лікування. Дані представлені в таблиці 6.1.</w:t>
      </w:r>
    </w:p>
    <w:p w:rsidR="00CE0F75" w:rsidRPr="00265BE8" w:rsidRDefault="00CE0F75" w:rsidP="00CE0F75">
      <w:pPr>
        <w:tabs>
          <w:tab w:val="num" w:pos="330"/>
        </w:tabs>
        <w:spacing w:after="0" w:line="360" w:lineRule="auto"/>
        <w:ind w:firstLine="709"/>
        <w:jc w:val="both"/>
        <w:rPr>
          <w:i/>
          <w:iCs/>
          <w:szCs w:val="28"/>
        </w:rPr>
      </w:pP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sidR="00A80B21" w:rsidRPr="00F407BB">
        <w:rPr>
          <w:iCs/>
          <w:szCs w:val="28"/>
        </w:rPr>
        <w:tab/>
      </w:r>
      <w:r w:rsidRPr="00265BE8">
        <w:rPr>
          <w:i/>
          <w:iCs/>
          <w:szCs w:val="28"/>
        </w:rPr>
        <w:t>Таблиця 6.1</w:t>
      </w:r>
    </w:p>
    <w:p w:rsidR="00CE0F75" w:rsidRDefault="00CE0F75" w:rsidP="00CE0F75">
      <w:pPr>
        <w:tabs>
          <w:tab w:val="num" w:pos="330"/>
        </w:tabs>
        <w:spacing w:after="0" w:line="360" w:lineRule="auto"/>
        <w:ind w:firstLine="709"/>
        <w:jc w:val="center"/>
        <w:rPr>
          <w:iCs/>
          <w:szCs w:val="28"/>
        </w:rPr>
      </w:pPr>
      <w:r>
        <w:rPr>
          <w:iCs/>
          <w:szCs w:val="28"/>
        </w:rPr>
        <w:t>Динаміка рівнів галектину-3 та вітронектину у хворих з гострим інфарктом міокарда та ожирінням в залежності від обраної терапевтичної стратегії</w:t>
      </w:r>
    </w:p>
    <w:tbl>
      <w:tblPr>
        <w:tblStyle w:val="ab"/>
        <w:tblW w:w="0" w:type="auto"/>
        <w:tblLook w:val="04A0" w:firstRow="1" w:lastRow="0" w:firstColumn="1" w:lastColumn="0" w:noHBand="0" w:noVBand="1"/>
      </w:tblPr>
      <w:tblGrid>
        <w:gridCol w:w="2394"/>
        <w:gridCol w:w="2394"/>
        <w:gridCol w:w="2691"/>
        <w:gridCol w:w="2835"/>
      </w:tblGrid>
      <w:tr w:rsidR="00CE0F75" w:rsidTr="00A80B21">
        <w:tc>
          <w:tcPr>
            <w:tcW w:w="2394" w:type="dxa"/>
          </w:tcPr>
          <w:p w:rsidR="00CE0F75" w:rsidRDefault="00CE0F75" w:rsidP="001576A9">
            <w:pPr>
              <w:tabs>
                <w:tab w:val="num" w:pos="330"/>
              </w:tabs>
              <w:spacing w:line="276" w:lineRule="auto"/>
              <w:jc w:val="both"/>
              <w:rPr>
                <w:iCs/>
                <w:szCs w:val="28"/>
              </w:rPr>
            </w:pPr>
          </w:p>
        </w:tc>
        <w:tc>
          <w:tcPr>
            <w:tcW w:w="2394" w:type="dxa"/>
          </w:tcPr>
          <w:p w:rsidR="00CE0F75" w:rsidRDefault="00CE0F75" w:rsidP="001576A9">
            <w:pPr>
              <w:tabs>
                <w:tab w:val="num" w:pos="330"/>
              </w:tabs>
              <w:spacing w:line="276" w:lineRule="auto"/>
              <w:jc w:val="both"/>
              <w:rPr>
                <w:iCs/>
                <w:szCs w:val="28"/>
              </w:rPr>
            </w:pPr>
            <w:r>
              <w:rPr>
                <w:iCs/>
                <w:szCs w:val="28"/>
              </w:rPr>
              <w:t>Показник, од. виміру</w:t>
            </w:r>
          </w:p>
        </w:tc>
        <w:tc>
          <w:tcPr>
            <w:tcW w:w="2691" w:type="dxa"/>
          </w:tcPr>
          <w:p w:rsidR="00CE0F75" w:rsidRDefault="00CE0F75" w:rsidP="001576A9">
            <w:pPr>
              <w:tabs>
                <w:tab w:val="num" w:pos="330"/>
              </w:tabs>
              <w:spacing w:line="276" w:lineRule="auto"/>
              <w:jc w:val="both"/>
              <w:rPr>
                <w:iCs/>
                <w:szCs w:val="28"/>
              </w:rPr>
            </w:pPr>
            <w:r>
              <w:rPr>
                <w:iCs/>
                <w:szCs w:val="28"/>
              </w:rPr>
              <w:t>ПКВ (</w:t>
            </w:r>
            <w:r>
              <w:rPr>
                <w:iCs/>
                <w:szCs w:val="28"/>
                <w:lang w:val="en-US"/>
              </w:rPr>
              <w:t>n</w:t>
            </w:r>
            <w:r>
              <w:rPr>
                <w:iCs/>
                <w:szCs w:val="28"/>
              </w:rPr>
              <w:t>=31)</w:t>
            </w:r>
          </w:p>
        </w:tc>
        <w:tc>
          <w:tcPr>
            <w:tcW w:w="2835" w:type="dxa"/>
          </w:tcPr>
          <w:p w:rsidR="00CE0F75" w:rsidRDefault="00A80B21" w:rsidP="001576A9">
            <w:pPr>
              <w:tabs>
                <w:tab w:val="num" w:pos="330"/>
              </w:tabs>
              <w:spacing w:line="276" w:lineRule="auto"/>
              <w:jc w:val="both"/>
              <w:rPr>
                <w:iCs/>
                <w:szCs w:val="28"/>
              </w:rPr>
            </w:pPr>
            <w:r>
              <w:rPr>
                <w:iCs/>
                <w:szCs w:val="28"/>
                <w:lang w:val="ru-RU"/>
              </w:rPr>
              <w:t>Тромб</w:t>
            </w:r>
            <w:r w:rsidR="00CE0F75">
              <w:rPr>
                <w:iCs/>
                <w:szCs w:val="28"/>
              </w:rPr>
              <w:t>олітична терапія (</w:t>
            </w:r>
            <w:r w:rsidR="00CE0F75">
              <w:rPr>
                <w:iCs/>
                <w:szCs w:val="28"/>
                <w:lang w:val="en-US"/>
              </w:rPr>
              <w:t>n</w:t>
            </w:r>
            <w:r w:rsidR="00CE0F75">
              <w:rPr>
                <w:iCs/>
                <w:szCs w:val="28"/>
              </w:rPr>
              <w:t>=44)</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До лікування</w:t>
            </w:r>
          </w:p>
        </w:tc>
        <w:tc>
          <w:tcPr>
            <w:tcW w:w="2394" w:type="dxa"/>
            <w:vMerge w:val="restart"/>
          </w:tcPr>
          <w:p w:rsidR="00CE0F75" w:rsidRDefault="00CE0F75" w:rsidP="001576A9">
            <w:pPr>
              <w:tabs>
                <w:tab w:val="num" w:pos="330"/>
              </w:tabs>
              <w:spacing w:line="276" w:lineRule="auto"/>
              <w:jc w:val="both"/>
              <w:rPr>
                <w:iCs/>
                <w:szCs w:val="28"/>
              </w:rPr>
            </w:pPr>
            <w:r>
              <w:rPr>
                <w:iCs/>
                <w:szCs w:val="28"/>
              </w:rPr>
              <w:t>Вітронектин,</w:t>
            </w:r>
          </w:p>
          <w:p w:rsidR="00CE0F75" w:rsidRDefault="00CE0F75" w:rsidP="001576A9">
            <w:pPr>
              <w:tabs>
                <w:tab w:val="num" w:pos="330"/>
              </w:tabs>
              <w:spacing w:line="276" w:lineRule="auto"/>
              <w:jc w:val="both"/>
              <w:rPr>
                <w:iCs/>
                <w:szCs w:val="28"/>
              </w:rPr>
            </w:pPr>
            <w:r>
              <w:rPr>
                <w:iCs/>
                <w:szCs w:val="28"/>
              </w:rPr>
              <w:t>нг/мл</w:t>
            </w:r>
          </w:p>
        </w:tc>
        <w:tc>
          <w:tcPr>
            <w:tcW w:w="2691" w:type="dxa"/>
          </w:tcPr>
          <w:p w:rsidR="00CE0F75" w:rsidRDefault="00CE0F75" w:rsidP="001576A9">
            <w:pPr>
              <w:tabs>
                <w:tab w:val="num" w:pos="330"/>
              </w:tabs>
              <w:spacing w:line="276" w:lineRule="auto"/>
              <w:jc w:val="both"/>
              <w:rPr>
                <w:iCs/>
                <w:szCs w:val="28"/>
              </w:rPr>
            </w:pPr>
            <w:r>
              <w:rPr>
                <w:iCs/>
                <w:szCs w:val="28"/>
              </w:rPr>
              <w:t>376,21±18,4</w:t>
            </w:r>
          </w:p>
        </w:tc>
        <w:tc>
          <w:tcPr>
            <w:tcW w:w="2835" w:type="dxa"/>
          </w:tcPr>
          <w:p w:rsidR="00CE0F75" w:rsidRDefault="00CE0F75" w:rsidP="001576A9">
            <w:pPr>
              <w:tabs>
                <w:tab w:val="num" w:pos="330"/>
              </w:tabs>
              <w:spacing w:line="276" w:lineRule="auto"/>
              <w:jc w:val="both"/>
              <w:rPr>
                <w:iCs/>
                <w:szCs w:val="28"/>
              </w:rPr>
            </w:pPr>
            <w:r>
              <w:rPr>
                <w:iCs/>
                <w:szCs w:val="28"/>
              </w:rPr>
              <w:t>381,65±21,5</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Після лікування</w:t>
            </w:r>
          </w:p>
        </w:tc>
        <w:tc>
          <w:tcPr>
            <w:tcW w:w="2394" w:type="dxa"/>
            <w:vMerge/>
          </w:tcPr>
          <w:p w:rsidR="00CE0F75" w:rsidRDefault="00CE0F75" w:rsidP="001576A9">
            <w:pPr>
              <w:tabs>
                <w:tab w:val="num" w:pos="330"/>
              </w:tabs>
              <w:spacing w:line="276" w:lineRule="auto"/>
              <w:jc w:val="both"/>
              <w:rPr>
                <w:iCs/>
                <w:szCs w:val="28"/>
              </w:rPr>
            </w:pPr>
          </w:p>
        </w:tc>
        <w:tc>
          <w:tcPr>
            <w:tcW w:w="2691" w:type="dxa"/>
          </w:tcPr>
          <w:p w:rsidR="00CE0F75" w:rsidRPr="006470B6" w:rsidRDefault="00CE0F75" w:rsidP="001576A9">
            <w:pPr>
              <w:tabs>
                <w:tab w:val="num" w:pos="330"/>
              </w:tabs>
              <w:spacing w:line="276" w:lineRule="auto"/>
              <w:jc w:val="both"/>
              <w:rPr>
                <w:iCs/>
                <w:szCs w:val="28"/>
                <w:lang w:val="en-US"/>
              </w:rPr>
            </w:pPr>
            <w:r>
              <w:rPr>
                <w:iCs/>
                <w:szCs w:val="28"/>
              </w:rPr>
              <w:t xml:space="preserve">284,11±13,4 * </w:t>
            </w:r>
            <w:r>
              <w:rPr>
                <w:iCs/>
                <w:szCs w:val="28"/>
                <w:lang w:val="en-US"/>
              </w:rPr>
              <w:t>#</w:t>
            </w:r>
          </w:p>
        </w:tc>
        <w:tc>
          <w:tcPr>
            <w:tcW w:w="2835" w:type="dxa"/>
          </w:tcPr>
          <w:p w:rsidR="00CE0F75" w:rsidRPr="006470B6" w:rsidRDefault="00CE0F75" w:rsidP="001576A9">
            <w:pPr>
              <w:tabs>
                <w:tab w:val="num" w:pos="330"/>
              </w:tabs>
              <w:spacing w:line="276" w:lineRule="auto"/>
              <w:jc w:val="both"/>
              <w:rPr>
                <w:iCs/>
                <w:szCs w:val="28"/>
              </w:rPr>
            </w:pPr>
            <w:r>
              <w:rPr>
                <w:iCs/>
                <w:szCs w:val="28"/>
              </w:rPr>
              <w:t>328,16±15</w:t>
            </w:r>
            <w:r>
              <w:rPr>
                <w:iCs/>
                <w:szCs w:val="28"/>
                <w:lang w:val="en-US"/>
              </w:rPr>
              <w:t>,</w:t>
            </w:r>
            <w:r>
              <w:rPr>
                <w:iCs/>
                <w:szCs w:val="28"/>
              </w:rPr>
              <w:t>6</w:t>
            </w:r>
            <w:r>
              <w:rPr>
                <w:iCs/>
                <w:szCs w:val="28"/>
                <w:lang w:val="en-US"/>
              </w:rPr>
              <w:t xml:space="preserve"> </w:t>
            </w:r>
            <w:r>
              <w:rPr>
                <w:iCs/>
                <w:szCs w:val="28"/>
              </w:rPr>
              <w:t>*</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До лікування</w:t>
            </w:r>
          </w:p>
        </w:tc>
        <w:tc>
          <w:tcPr>
            <w:tcW w:w="2394" w:type="dxa"/>
            <w:vMerge w:val="restart"/>
          </w:tcPr>
          <w:p w:rsidR="00CE0F75" w:rsidRDefault="00CE0F75" w:rsidP="001576A9">
            <w:pPr>
              <w:tabs>
                <w:tab w:val="num" w:pos="330"/>
              </w:tabs>
              <w:spacing w:line="276" w:lineRule="auto"/>
              <w:jc w:val="both"/>
              <w:rPr>
                <w:iCs/>
                <w:szCs w:val="28"/>
              </w:rPr>
            </w:pPr>
            <w:r>
              <w:rPr>
                <w:iCs/>
                <w:szCs w:val="28"/>
              </w:rPr>
              <w:t>Галектин-3,</w:t>
            </w:r>
          </w:p>
          <w:p w:rsidR="00CE0F75" w:rsidRDefault="00CE0F75" w:rsidP="001576A9">
            <w:pPr>
              <w:tabs>
                <w:tab w:val="num" w:pos="330"/>
              </w:tabs>
              <w:spacing w:line="276" w:lineRule="auto"/>
              <w:jc w:val="both"/>
              <w:rPr>
                <w:iCs/>
                <w:szCs w:val="28"/>
              </w:rPr>
            </w:pPr>
            <w:r>
              <w:rPr>
                <w:iCs/>
                <w:szCs w:val="28"/>
              </w:rPr>
              <w:t>нг/мл</w:t>
            </w:r>
          </w:p>
        </w:tc>
        <w:tc>
          <w:tcPr>
            <w:tcW w:w="2691" w:type="dxa"/>
          </w:tcPr>
          <w:p w:rsidR="00CE0F75" w:rsidRDefault="00CE0F75" w:rsidP="001576A9">
            <w:pPr>
              <w:tabs>
                <w:tab w:val="num" w:pos="330"/>
              </w:tabs>
              <w:spacing w:line="276" w:lineRule="auto"/>
              <w:jc w:val="both"/>
              <w:rPr>
                <w:iCs/>
                <w:szCs w:val="28"/>
              </w:rPr>
            </w:pPr>
            <w:r>
              <w:rPr>
                <w:iCs/>
                <w:szCs w:val="28"/>
              </w:rPr>
              <w:t xml:space="preserve">27,86±6,11 </w:t>
            </w:r>
          </w:p>
        </w:tc>
        <w:tc>
          <w:tcPr>
            <w:tcW w:w="2835" w:type="dxa"/>
          </w:tcPr>
          <w:p w:rsidR="00CE0F75" w:rsidRDefault="00CE0F75" w:rsidP="001576A9">
            <w:pPr>
              <w:tabs>
                <w:tab w:val="num" w:pos="330"/>
              </w:tabs>
              <w:spacing w:line="276" w:lineRule="auto"/>
              <w:jc w:val="both"/>
              <w:rPr>
                <w:iCs/>
                <w:szCs w:val="28"/>
              </w:rPr>
            </w:pPr>
            <w:r>
              <w:rPr>
                <w:iCs/>
                <w:szCs w:val="28"/>
              </w:rPr>
              <w:t>25,13±3,24</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Після лікування</w:t>
            </w:r>
          </w:p>
        </w:tc>
        <w:tc>
          <w:tcPr>
            <w:tcW w:w="2394" w:type="dxa"/>
            <w:vMerge/>
          </w:tcPr>
          <w:p w:rsidR="00CE0F75" w:rsidRDefault="00CE0F75" w:rsidP="001576A9">
            <w:pPr>
              <w:tabs>
                <w:tab w:val="num" w:pos="330"/>
              </w:tabs>
              <w:spacing w:line="276" w:lineRule="auto"/>
              <w:jc w:val="both"/>
              <w:rPr>
                <w:iCs/>
                <w:szCs w:val="28"/>
              </w:rPr>
            </w:pPr>
          </w:p>
        </w:tc>
        <w:tc>
          <w:tcPr>
            <w:tcW w:w="2691" w:type="dxa"/>
          </w:tcPr>
          <w:p w:rsidR="00CE0F75" w:rsidRPr="006470B6" w:rsidRDefault="00CE0F75" w:rsidP="001576A9">
            <w:pPr>
              <w:tabs>
                <w:tab w:val="num" w:pos="330"/>
              </w:tabs>
              <w:spacing w:line="276" w:lineRule="auto"/>
              <w:jc w:val="both"/>
              <w:rPr>
                <w:iCs/>
                <w:szCs w:val="28"/>
                <w:lang w:val="en-US"/>
              </w:rPr>
            </w:pPr>
            <w:r>
              <w:rPr>
                <w:iCs/>
                <w:szCs w:val="28"/>
              </w:rPr>
              <w:t>12,02±4,09</w:t>
            </w:r>
            <w:r>
              <w:rPr>
                <w:iCs/>
                <w:szCs w:val="28"/>
                <w:lang w:val="en-US"/>
              </w:rPr>
              <w:t xml:space="preserve"> </w:t>
            </w:r>
            <w:r>
              <w:rPr>
                <w:iCs/>
                <w:szCs w:val="28"/>
              </w:rPr>
              <w:t xml:space="preserve">* </w:t>
            </w:r>
            <w:r>
              <w:rPr>
                <w:iCs/>
                <w:szCs w:val="28"/>
                <w:lang w:val="en-US"/>
              </w:rPr>
              <w:t>#</w:t>
            </w:r>
          </w:p>
        </w:tc>
        <w:tc>
          <w:tcPr>
            <w:tcW w:w="2835" w:type="dxa"/>
          </w:tcPr>
          <w:p w:rsidR="00CE0F75" w:rsidRDefault="00CE0F75" w:rsidP="001576A9">
            <w:pPr>
              <w:tabs>
                <w:tab w:val="num" w:pos="330"/>
              </w:tabs>
              <w:spacing w:line="276" w:lineRule="auto"/>
              <w:jc w:val="both"/>
              <w:rPr>
                <w:iCs/>
                <w:szCs w:val="28"/>
              </w:rPr>
            </w:pPr>
            <w:r>
              <w:rPr>
                <w:iCs/>
                <w:szCs w:val="28"/>
              </w:rPr>
              <w:t>16,64±3,31 *</w:t>
            </w:r>
          </w:p>
        </w:tc>
      </w:tr>
    </w:tbl>
    <w:p w:rsidR="00CE0F75" w:rsidRDefault="00CE0F75" w:rsidP="00CE0F75">
      <w:pPr>
        <w:tabs>
          <w:tab w:val="num" w:pos="330"/>
        </w:tabs>
        <w:spacing w:after="0" w:line="360" w:lineRule="auto"/>
        <w:ind w:firstLine="709"/>
        <w:jc w:val="both"/>
        <w:rPr>
          <w:iCs/>
          <w:szCs w:val="28"/>
        </w:rPr>
      </w:pPr>
      <w:r>
        <w:rPr>
          <w:iCs/>
          <w:szCs w:val="28"/>
        </w:rPr>
        <w:t xml:space="preserve">Примітка: * - </w:t>
      </w:r>
      <w:r>
        <w:rPr>
          <w:iCs/>
          <w:szCs w:val="28"/>
          <w:lang w:val="en-US"/>
        </w:rPr>
        <w:t>p</w:t>
      </w:r>
      <w:r w:rsidRPr="006470B6">
        <w:rPr>
          <w:iCs/>
          <w:szCs w:val="28"/>
        </w:rPr>
        <w:t>&lt;0,05</w:t>
      </w:r>
      <w:r>
        <w:rPr>
          <w:iCs/>
          <w:szCs w:val="28"/>
        </w:rPr>
        <w:t xml:space="preserve"> при порівнянні з вихідним рівнем;   </w:t>
      </w:r>
      <w:r w:rsidRPr="006470B6">
        <w:rPr>
          <w:iCs/>
          <w:szCs w:val="28"/>
        </w:rPr>
        <w:t xml:space="preserve"># - </w:t>
      </w:r>
      <w:r>
        <w:rPr>
          <w:iCs/>
          <w:szCs w:val="28"/>
          <w:lang w:val="en-US"/>
        </w:rPr>
        <w:t>p</w:t>
      </w:r>
      <w:r w:rsidRPr="006470B6">
        <w:rPr>
          <w:iCs/>
          <w:szCs w:val="28"/>
        </w:rPr>
        <w:t>&lt;0,05</w:t>
      </w:r>
      <w:r>
        <w:rPr>
          <w:iCs/>
          <w:szCs w:val="28"/>
        </w:rPr>
        <w:t xml:space="preserve"> при порівнянні </w:t>
      </w:r>
      <w:r w:rsidR="00C95D43">
        <w:rPr>
          <w:iCs/>
          <w:szCs w:val="28"/>
        </w:rPr>
        <w:t>з групою, яка отримувала тромбо</w:t>
      </w:r>
      <w:r>
        <w:rPr>
          <w:iCs/>
          <w:szCs w:val="28"/>
        </w:rPr>
        <w:t>літичну терапію.</w:t>
      </w:r>
    </w:p>
    <w:p w:rsidR="00CE0F75" w:rsidRDefault="00CE0F75" w:rsidP="00CE0F75">
      <w:pPr>
        <w:tabs>
          <w:tab w:val="num" w:pos="330"/>
        </w:tabs>
        <w:spacing w:after="0" w:line="360" w:lineRule="auto"/>
        <w:ind w:firstLine="709"/>
        <w:jc w:val="both"/>
        <w:rPr>
          <w:iCs/>
          <w:szCs w:val="28"/>
        </w:rPr>
      </w:pPr>
      <w:r>
        <w:rPr>
          <w:iCs/>
          <w:szCs w:val="28"/>
        </w:rPr>
        <w:t xml:space="preserve">Наступним етапом у дизайні нашого дослідження була оцінка змін гуморальних параметрів, а саме галектину-3 та вітронектину залежно від обраної комбінації препаратів у складі ПАТ (АСК + тикагрелор або АСК + клопідогрель). У групі хворих на ГІМ та ожиріння, які отримували тикагрелор у поєднанні з АСК достовірно знизився рівень галектину-3 на 35,1% та концентрація вітронектину на 24,7%. Подібні зміни отримано при аналізі динаміки показників, що вивчаються, на тлі ПАТ із застосуванням клопідогрелю. Так концентрація вітронектину у групі </w:t>
      </w:r>
      <w:r>
        <w:rPr>
          <w:iCs/>
          <w:szCs w:val="28"/>
        </w:rPr>
        <w:lastRenderedPageBreak/>
        <w:t>хворих після перенесеного ІМ при ожирінні, які отримували ПАТ з залученням АСК та клопідогрелю, знизилася вірогідно на 23,04% (p&lt;0,05). Аналіз динаміки показника фіброгенезу галектину-3 на тлі комбінації АСК та клопідогрелю у хворих після перенесеного ІМ за наявності супутнього ожиріння продемонстрував позитивні зміни у вигляді достовірного зниження даного параметра на 19,2%. Дані представлені в таблиці 6.2.</w:t>
      </w:r>
    </w:p>
    <w:p w:rsidR="00CE0F75" w:rsidRPr="00265BE8" w:rsidRDefault="00CE0F75" w:rsidP="00CE0F75">
      <w:pPr>
        <w:tabs>
          <w:tab w:val="num" w:pos="330"/>
        </w:tabs>
        <w:spacing w:after="0" w:line="360" w:lineRule="auto"/>
        <w:ind w:firstLine="709"/>
        <w:jc w:val="both"/>
        <w:rPr>
          <w:i/>
          <w:iCs/>
          <w:szCs w:val="28"/>
        </w:rPr>
      </w:pP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sidR="003360AA" w:rsidRPr="00F407BB">
        <w:rPr>
          <w:iCs/>
          <w:szCs w:val="28"/>
        </w:rPr>
        <w:tab/>
      </w:r>
      <w:r w:rsidRPr="00265BE8">
        <w:rPr>
          <w:i/>
          <w:iCs/>
          <w:szCs w:val="28"/>
        </w:rPr>
        <w:t>Таблиця 6.2</w:t>
      </w:r>
    </w:p>
    <w:p w:rsidR="00CE0F75" w:rsidRDefault="00CE0F75" w:rsidP="00CE0F75">
      <w:pPr>
        <w:tabs>
          <w:tab w:val="num" w:pos="330"/>
        </w:tabs>
        <w:spacing w:after="0" w:line="360" w:lineRule="auto"/>
        <w:ind w:firstLine="709"/>
        <w:jc w:val="center"/>
        <w:rPr>
          <w:iCs/>
          <w:szCs w:val="28"/>
        </w:rPr>
      </w:pPr>
      <w:r>
        <w:rPr>
          <w:iCs/>
          <w:szCs w:val="28"/>
        </w:rPr>
        <w:t>Динаміка рівнів галектину-3 та вітронектину у хворих з гострим інфарктом міокарда та ожирінням в залежності від препарату вибору у складі подвійної антитромбоцитарної терапії</w:t>
      </w:r>
    </w:p>
    <w:tbl>
      <w:tblPr>
        <w:tblStyle w:val="ab"/>
        <w:tblW w:w="10314" w:type="dxa"/>
        <w:tblLook w:val="04A0" w:firstRow="1" w:lastRow="0" w:firstColumn="1" w:lastColumn="0" w:noHBand="0" w:noVBand="1"/>
      </w:tblPr>
      <w:tblGrid>
        <w:gridCol w:w="2518"/>
        <w:gridCol w:w="2410"/>
        <w:gridCol w:w="2551"/>
        <w:gridCol w:w="2835"/>
      </w:tblGrid>
      <w:tr w:rsidR="00CE0F75" w:rsidTr="003360AA">
        <w:tc>
          <w:tcPr>
            <w:tcW w:w="2518" w:type="dxa"/>
            <w:vMerge w:val="restart"/>
          </w:tcPr>
          <w:p w:rsidR="00CE0F75" w:rsidRDefault="00CE0F75" w:rsidP="001576A9">
            <w:pPr>
              <w:tabs>
                <w:tab w:val="num" w:pos="330"/>
              </w:tabs>
              <w:spacing w:line="276" w:lineRule="auto"/>
              <w:jc w:val="both"/>
              <w:rPr>
                <w:iCs/>
                <w:szCs w:val="28"/>
              </w:rPr>
            </w:pPr>
            <w:r>
              <w:rPr>
                <w:iCs/>
                <w:szCs w:val="28"/>
              </w:rPr>
              <w:t>Показник, од. виміру</w:t>
            </w:r>
          </w:p>
        </w:tc>
        <w:tc>
          <w:tcPr>
            <w:tcW w:w="2410" w:type="dxa"/>
            <w:vMerge w:val="restart"/>
          </w:tcPr>
          <w:p w:rsidR="00CE0F75" w:rsidRDefault="00CE0F75" w:rsidP="001576A9">
            <w:pPr>
              <w:tabs>
                <w:tab w:val="num" w:pos="330"/>
              </w:tabs>
              <w:spacing w:line="276" w:lineRule="auto"/>
              <w:jc w:val="both"/>
              <w:rPr>
                <w:iCs/>
                <w:szCs w:val="28"/>
              </w:rPr>
            </w:pPr>
          </w:p>
        </w:tc>
        <w:tc>
          <w:tcPr>
            <w:tcW w:w="5386" w:type="dxa"/>
            <w:gridSpan w:val="2"/>
          </w:tcPr>
          <w:p w:rsidR="00CE0F75" w:rsidRDefault="00CE0F75" w:rsidP="001576A9">
            <w:pPr>
              <w:tabs>
                <w:tab w:val="num" w:pos="330"/>
              </w:tabs>
              <w:spacing w:line="276" w:lineRule="auto"/>
              <w:jc w:val="center"/>
              <w:rPr>
                <w:iCs/>
                <w:szCs w:val="28"/>
              </w:rPr>
            </w:pPr>
            <w:r>
              <w:rPr>
                <w:iCs/>
                <w:szCs w:val="28"/>
              </w:rPr>
              <w:t>Хворі на ГІМ та ожиріння</w:t>
            </w:r>
          </w:p>
        </w:tc>
      </w:tr>
      <w:tr w:rsidR="00CE0F75" w:rsidTr="003360AA">
        <w:tc>
          <w:tcPr>
            <w:tcW w:w="2518" w:type="dxa"/>
            <w:vMerge/>
          </w:tcPr>
          <w:p w:rsidR="00CE0F75" w:rsidRDefault="00CE0F75" w:rsidP="001576A9">
            <w:pPr>
              <w:tabs>
                <w:tab w:val="num" w:pos="330"/>
              </w:tabs>
              <w:spacing w:line="276" w:lineRule="auto"/>
              <w:jc w:val="both"/>
              <w:rPr>
                <w:iCs/>
                <w:szCs w:val="28"/>
              </w:rPr>
            </w:pPr>
          </w:p>
        </w:tc>
        <w:tc>
          <w:tcPr>
            <w:tcW w:w="2410" w:type="dxa"/>
            <w:vMerge/>
          </w:tcPr>
          <w:p w:rsidR="00CE0F75" w:rsidRDefault="00CE0F75" w:rsidP="001576A9">
            <w:pPr>
              <w:tabs>
                <w:tab w:val="num" w:pos="330"/>
              </w:tabs>
              <w:spacing w:line="276" w:lineRule="auto"/>
              <w:jc w:val="both"/>
              <w:rPr>
                <w:iCs/>
                <w:szCs w:val="28"/>
              </w:rPr>
            </w:pPr>
          </w:p>
        </w:tc>
        <w:tc>
          <w:tcPr>
            <w:tcW w:w="2551" w:type="dxa"/>
          </w:tcPr>
          <w:p w:rsidR="00CE0F75" w:rsidRDefault="00CE0F75" w:rsidP="001576A9">
            <w:pPr>
              <w:tabs>
                <w:tab w:val="num" w:pos="330"/>
              </w:tabs>
              <w:spacing w:line="276" w:lineRule="auto"/>
              <w:jc w:val="center"/>
              <w:rPr>
                <w:iCs/>
                <w:szCs w:val="28"/>
              </w:rPr>
            </w:pPr>
            <w:r>
              <w:rPr>
                <w:iCs/>
                <w:szCs w:val="28"/>
              </w:rPr>
              <w:t xml:space="preserve">Тикагрелор + АСК </w:t>
            </w:r>
            <w:r w:rsidRPr="00BB0252">
              <w:rPr>
                <w:iCs/>
                <w:szCs w:val="28"/>
              </w:rPr>
              <w:t>(</w:t>
            </w:r>
            <w:r w:rsidRPr="00BB0252">
              <w:rPr>
                <w:iCs/>
                <w:szCs w:val="28"/>
                <w:lang w:val="en-US"/>
              </w:rPr>
              <w:t>n=</w:t>
            </w:r>
            <w:r w:rsidRPr="00BB0252">
              <w:rPr>
                <w:iCs/>
                <w:szCs w:val="28"/>
              </w:rPr>
              <w:t>3</w:t>
            </w:r>
            <w:r>
              <w:rPr>
                <w:iCs/>
                <w:szCs w:val="28"/>
              </w:rPr>
              <w:t>8</w:t>
            </w:r>
            <w:r w:rsidRPr="00BB0252">
              <w:rPr>
                <w:iCs/>
                <w:szCs w:val="28"/>
              </w:rPr>
              <w:t>)</w:t>
            </w:r>
          </w:p>
        </w:tc>
        <w:tc>
          <w:tcPr>
            <w:tcW w:w="2835" w:type="dxa"/>
          </w:tcPr>
          <w:p w:rsidR="00CE0F75" w:rsidRDefault="00CE0F75" w:rsidP="001576A9">
            <w:pPr>
              <w:tabs>
                <w:tab w:val="num" w:pos="330"/>
              </w:tabs>
              <w:spacing w:line="276" w:lineRule="auto"/>
              <w:jc w:val="center"/>
              <w:rPr>
                <w:iCs/>
                <w:szCs w:val="28"/>
              </w:rPr>
            </w:pPr>
            <w:r>
              <w:rPr>
                <w:iCs/>
                <w:szCs w:val="28"/>
              </w:rPr>
              <w:t xml:space="preserve">Клопідогрель + АСК </w:t>
            </w:r>
            <w:r w:rsidRPr="00BB0252">
              <w:rPr>
                <w:iCs/>
                <w:szCs w:val="28"/>
              </w:rPr>
              <w:t>(</w:t>
            </w:r>
            <w:r w:rsidRPr="00BB0252">
              <w:rPr>
                <w:iCs/>
                <w:szCs w:val="28"/>
                <w:lang w:val="en-US"/>
              </w:rPr>
              <w:t>n=</w:t>
            </w:r>
            <w:r w:rsidRPr="00BB0252">
              <w:rPr>
                <w:iCs/>
                <w:szCs w:val="28"/>
              </w:rPr>
              <w:t>3</w:t>
            </w:r>
            <w:r>
              <w:rPr>
                <w:iCs/>
                <w:szCs w:val="28"/>
              </w:rPr>
              <w:t>7</w:t>
            </w:r>
            <w:r w:rsidRPr="00BB0252">
              <w:rPr>
                <w:iCs/>
                <w:szCs w:val="28"/>
              </w:rPr>
              <w:t>)</w:t>
            </w:r>
          </w:p>
        </w:tc>
      </w:tr>
      <w:tr w:rsidR="00CE0F75" w:rsidTr="003360AA">
        <w:tc>
          <w:tcPr>
            <w:tcW w:w="2518" w:type="dxa"/>
            <w:vMerge w:val="restart"/>
          </w:tcPr>
          <w:p w:rsidR="00CE0F75" w:rsidRDefault="00CE0F75" w:rsidP="001576A9">
            <w:pPr>
              <w:tabs>
                <w:tab w:val="num" w:pos="330"/>
              </w:tabs>
              <w:spacing w:line="276" w:lineRule="auto"/>
              <w:jc w:val="both"/>
              <w:rPr>
                <w:iCs/>
                <w:szCs w:val="28"/>
              </w:rPr>
            </w:pPr>
            <w:r>
              <w:rPr>
                <w:iCs/>
                <w:szCs w:val="28"/>
              </w:rPr>
              <w:t>Вітронектин,</w:t>
            </w:r>
          </w:p>
          <w:p w:rsidR="00CE0F75" w:rsidRDefault="00CE0F75" w:rsidP="001576A9">
            <w:pPr>
              <w:tabs>
                <w:tab w:val="num" w:pos="330"/>
              </w:tabs>
              <w:spacing w:line="276" w:lineRule="auto"/>
              <w:jc w:val="both"/>
              <w:rPr>
                <w:iCs/>
                <w:szCs w:val="28"/>
              </w:rPr>
            </w:pPr>
            <w:r>
              <w:rPr>
                <w:iCs/>
                <w:szCs w:val="28"/>
              </w:rPr>
              <w:t>нг/мл</w:t>
            </w:r>
          </w:p>
        </w:tc>
        <w:tc>
          <w:tcPr>
            <w:tcW w:w="2410" w:type="dxa"/>
          </w:tcPr>
          <w:p w:rsidR="00CE0F75" w:rsidRPr="00CC42AE" w:rsidRDefault="00CE0F75" w:rsidP="001576A9">
            <w:pPr>
              <w:tabs>
                <w:tab w:val="num" w:pos="330"/>
              </w:tabs>
              <w:spacing w:line="276" w:lineRule="auto"/>
              <w:jc w:val="both"/>
              <w:rPr>
                <w:iCs/>
                <w:szCs w:val="28"/>
              </w:rPr>
            </w:pPr>
            <w:r w:rsidRPr="00CC42AE">
              <w:rPr>
                <w:iCs/>
                <w:szCs w:val="28"/>
              </w:rPr>
              <w:t>До лікування</w:t>
            </w:r>
          </w:p>
        </w:tc>
        <w:tc>
          <w:tcPr>
            <w:tcW w:w="2551" w:type="dxa"/>
          </w:tcPr>
          <w:p w:rsidR="00CE0F75" w:rsidRPr="00CC42AE" w:rsidRDefault="00CE0F75" w:rsidP="001576A9">
            <w:pPr>
              <w:tabs>
                <w:tab w:val="num" w:pos="330"/>
              </w:tabs>
              <w:spacing w:line="276" w:lineRule="auto"/>
              <w:jc w:val="center"/>
              <w:rPr>
                <w:iCs/>
                <w:szCs w:val="28"/>
              </w:rPr>
            </w:pPr>
            <w:r w:rsidRPr="00CC42AE">
              <w:rPr>
                <w:iCs/>
                <w:szCs w:val="28"/>
              </w:rPr>
              <w:t>369,75 ±15,9</w:t>
            </w:r>
          </w:p>
        </w:tc>
        <w:tc>
          <w:tcPr>
            <w:tcW w:w="2835" w:type="dxa"/>
          </w:tcPr>
          <w:p w:rsidR="00CE0F75" w:rsidRPr="00CC42AE" w:rsidRDefault="00CE0F75" w:rsidP="001576A9">
            <w:pPr>
              <w:tabs>
                <w:tab w:val="num" w:pos="330"/>
              </w:tabs>
              <w:spacing w:line="276" w:lineRule="auto"/>
              <w:jc w:val="center"/>
              <w:rPr>
                <w:iCs/>
                <w:szCs w:val="28"/>
              </w:rPr>
            </w:pPr>
            <w:r w:rsidRPr="00CC42AE">
              <w:rPr>
                <w:iCs/>
                <w:szCs w:val="28"/>
              </w:rPr>
              <w:t>372,1±19,6</w:t>
            </w:r>
          </w:p>
        </w:tc>
      </w:tr>
      <w:tr w:rsidR="00CE0F75" w:rsidTr="003360AA">
        <w:tc>
          <w:tcPr>
            <w:tcW w:w="2518" w:type="dxa"/>
            <w:vMerge/>
          </w:tcPr>
          <w:p w:rsidR="00CE0F75" w:rsidRDefault="00CE0F75" w:rsidP="001576A9">
            <w:pPr>
              <w:tabs>
                <w:tab w:val="num" w:pos="330"/>
              </w:tabs>
              <w:spacing w:line="276" w:lineRule="auto"/>
              <w:jc w:val="both"/>
              <w:rPr>
                <w:iCs/>
                <w:szCs w:val="28"/>
              </w:rPr>
            </w:pPr>
          </w:p>
        </w:tc>
        <w:tc>
          <w:tcPr>
            <w:tcW w:w="2410" w:type="dxa"/>
          </w:tcPr>
          <w:p w:rsidR="00CE0F75" w:rsidRPr="00CC42AE" w:rsidRDefault="00CE0F75" w:rsidP="001576A9">
            <w:pPr>
              <w:tabs>
                <w:tab w:val="num" w:pos="330"/>
              </w:tabs>
              <w:spacing w:line="276" w:lineRule="auto"/>
              <w:jc w:val="both"/>
              <w:rPr>
                <w:iCs/>
                <w:szCs w:val="28"/>
              </w:rPr>
            </w:pPr>
            <w:r w:rsidRPr="00CC42AE">
              <w:rPr>
                <w:iCs/>
                <w:szCs w:val="28"/>
              </w:rPr>
              <w:t>Після лікування</w:t>
            </w:r>
          </w:p>
        </w:tc>
        <w:tc>
          <w:tcPr>
            <w:tcW w:w="2551" w:type="dxa"/>
          </w:tcPr>
          <w:p w:rsidR="00CE0F75" w:rsidRPr="00CC42AE" w:rsidRDefault="00CE0F75" w:rsidP="001576A9">
            <w:pPr>
              <w:tabs>
                <w:tab w:val="num" w:pos="330"/>
              </w:tabs>
              <w:spacing w:line="276" w:lineRule="auto"/>
              <w:jc w:val="center"/>
              <w:rPr>
                <w:iCs/>
                <w:szCs w:val="28"/>
                <w:lang w:val="en-US"/>
              </w:rPr>
            </w:pPr>
            <w:r w:rsidRPr="00CC42AE">
              <w:rPr>
                <w:iCs/>
                <w:szCs w:val="28"/>
              </w:rPr>
              <w:t>277,5±18,2</w:t>
            </w:r>
            <w:r w:rsidRPr="00CC42AE">
              <w:rPr>
                <w:iCs/>
                <w:szCs w:val="28"/>
                <w:lang w:val="en-US"/>
              </w:rPr>
              <w:t xml:space="preserve">* </w:t>
            </w:r>
          </w:p>
        </w:tc>
        <w:tc>
          <w:tcPr>
            <w:tcW w:w="2835" w:type="dxa"/>
          </w:tcPr>
          <w:p w:rsidR="00CE0F75" w:rsidRPr="00CC42AE" w:rsidRDefault="00CE0F75" w:rsidP="001576A9">
            <w:pPr>
              <w:tabs>
                <w:tab w:val="num" w:pos="330"/>
              </w:tabs>
              <w:spacing w:line="276" w:lineRule="auto"/>
              <w:jc w:val="center"/>
              <w:rPr>
                <w:iCs/>
                <w:szCs w:val="28"/>
                <w:lang w:val="en-US"/>
              </w:rPr>
            </w:pPr>
            <w:r w:rsidRPr="00CC42AE">
              <w:rPr>
                <w:iCs/>
                <w:szCs w:val="28"/>
              </w:rPr>
              <w:t>286,29±23,3</w:t>
            </w:r>
            <w:r w:rsidRPr="00CC42AE">
              <w:rPr>
                <w:iCs/>
                <w:szCs w:val="28"/>
                <w:lang w:val="en-US"/>
              </w:rPr>
              <w:t>*</w:t>
            </w:r>
          </w:p>
        </w:tc>
      </w:tr>
      <w:tr w:rsidR="00CE0F75" w:rsidTr="003360AA">
        <w:tc>
          <w:tcPr>
            <w:tcW w:w="2518" w:type="dxa"/>
            <w:vMerge w:val="restart"/>
          </w:tcPr>
          <w:p w:rsidR="00CE0F75" w:rsidRDefault="00CE0F75" w:rsidP="001576A9">
            <w:pPr>
              <w:tabs>
                <w:tab w:val="num" w:pos="330"/>
              </w:tabs>
              <w:spacing w:line="276" w:lineRule="auto"/>
              <w:jc w:val="both"/>
              <w:rPr>
                <w:iCs/>
                <w:szCs w:val="28"/>
              </w:rPr>
            </w:pPr>
            <w:r>
              <w:rPr>
                <w:iCs/>
                <w:szCs w:val="28"/>
              </w:rPr>
              <w:t>Галектин-3,</w:t>
            </w:r>
          </w:p>
          <w:p w:rsidR="00CE0F75" w:rsidRDefault="00CE0F75" w:rsidP="001576A9">
            <w:pPr>
              <w:tabs>
                <w:tab w:val="num" w:pos="330"/>
              </w:tabs>
              <w:spacing w:line="276" w:lineRule="auto"/>
              <w:jc w:val="both"/>
              <w:rPr>
                <w:iCs/>
                <w:szCs w:val="28"/>
              </w:rPr>
            </w:pPr>
            <w:r>
              <w:rPr>
                <w:iCs/>
                <w:szCs w:val="28"/>
              </w:rPr>
              <w:t>нг/мл</w:t>
            </w:r>
          </w:p>
        </w:tc>
        <w:tc>
          <w:tcPr>
            <w:tcW w:w="2410" w:type="dxa"/>
          </w:tcPr>
          <w:p w:rsidR="00CE0F75" w:rsidRDefault="00CE0F75" w:rsidP="001576A9">
            <w:pPr>
              <w:tabs>
                <w:tab w:val="num" w:pos="330"/>
              </w:tabs>
              <w:spacing w:line="276" w:lineRule="auto"/>
              <w:jc w:val="both"/>
              <w:rPr>
                <w:iCs/>
                <w:szCs w:val="28"/>
              </w:rPr>
            </w:pPr>
            <w:r>
              <w:rPr>
                <w:iCs/>
                <w:szCs w:val="28"/>
              </w:rPr>
              <w:t>До лікування</w:t>
            </w:r>
          </w:p>
        </w:tc>
        <w:tc>
          <w:tcPr>
            <w:tcW w:w="2551" w:type="dxa"/>
          </w:tcPr>
          <w:p w:rsidR="00CE0F75" w:rsidRDefault="00CE0F75" w:rsidP="001576A9">
            <w:pPr>
              <w:tabs>
                <w:tab w:val="num" w:pos="330"/>
              </w:tabs>
              <w:spacing w:line="276" w:lineRule="auto"/>
              <w:jc w:val="center"/>
              <w:rPr>
                <w:iCs/>
                <w:szCs w:val="28"/>
              </w:rPr>
            </w:pPr>
            <w:r>
              <w:rPr>
                <w:iCs/>
                <w:szCs w:val="28"/>
              </w:rPr>
              <w:t>23,16±4,31</w:t>
            </w:r>
          </w:p>
        </w:tc>
        <w:tc>
          <w:tcPr>
            <w:tcW w:w="2835" w:type="dxa"/>
          </w:tcPr>
          <w:p w:rsidR="00CE0F75" w:rsidRDefault="00CE0F75" w:rsidP="001576A9">
            <w:pPr>
              <w:tabs>
                <w:tab w:val="num" w:pos="330"/>
              </w:tabs>
              <w:spacing w:line="276" w:lineRule="auto"/>
              <w:jc w:val="center"/>
              <w:rPr>
                <w:iCs/>
                <w:szCs w:val="28"/>
              </w:rPr>
            </w:pPr>
            <w:r>
              <w:rPr>
                <w:iCs/>
                <w:szCs w:val="28"/>
              </w:rPr>
              <w:t>27,44±3,88</w:t>
            </w:r>
          </w:p>
        </w:tc>
      </w:tr>
      <w:tr w:rsidR="00CE0F75" w:rsidTr="003360AA">
        <w:tc>
          <w:tcPr>
            <w:tcW w:w="2518" w:type="dxa"/>
            <w:vMerge/>
          </w:tcPr>
          <w:p w:rsidR="00CE0F75" w:rsidRDefault="00CE0F75" w:rsidP="001576A9">
            <w:pPr>
              <w:tabs>
                <w:tab w:val="num" w:pos="330"/>
              </w:tabs>
              <w:spacing w:line="276" w:lineRule="auto"/>
              <w:jc w:val="both"/>
              <w:rPr>
                <w:iCs/>
                <w:szCs w:val="28"/>
              </w:rPr>
            </w:pPr>
          </w:p>
        </w:tc>
        <w:tc>
          <w:tcPr>
            <w:tcW w:w="2410" w:type="dxa"/>
          </w:tcPr>
          <w:p w:rsidR="00CE0F75" w:rsidRDefault="00CE0F75" w:rsidP="001576A9">
            <w:pPr>
              <w:tabs>
                <w:tab w:val="num" w:pos="330"/>
              </w:tabs>
              <w:spacing w:line="276" w:lineRule="auto"/>
              <w:jc w:val="both"/>
              <w:rPr>
                <w:iCs/>
                <w:szCs w:val="28"/>
              </w:rPr>
            </w:pPr>
            <w:r>
              <w:rPr>
                <w:iCs/>
                <w:szCs w:val="28"/>
              </w:rPr>
              <w:t>Після лікування</w:t>
            </w:r>
          </w:p>
        </w:tc>
        <w:tc>
          <w:tcPr>
            <w:tcW w:w="2551" w:type="dxa"/>
          </w:tcPr>
          <w:p w:rsidR="00CE0F75" w:rsidRPr="008C7ADC" w:rsidRDefault="00CE0F75" w:rsidP="001576A9">
            <w:pPr>
              <w:tabs>
                <w:tab w:val="num" w:pos="330"/>
              </w:tabs>
              <w:spacing w:line="276" w:lineRule="auto"/>
              <w:jc w:val="center"/>
              <w:rPr>
                <w:iCs/>
                <w:szCs w:val="28"/>
                <w:lang w:val="en-US"/>
              </w:rPr>
            </w:pPr>
            <w:r>
              <w:rPr>
                <w:iCs/>
                <w:szCs w:val="28"/>
              </w:rPr>
              <w:t>15,05±2,52</w:t>
            </w:r>
            <w:r>
              <w:rPr>
                <w:iCs/>
                <w:szCs w:val="28"/>
                <w:lang w:val="en-US"/>
              </w:rPr>
              <w:t xml:space="preserve">* </w:t>
            </w:r>
          </w:p>
        </w:tc>
        <w:tc>
          <w:tcPr>
            <w:tcW w:w="2835" w:type="dxa"/>
          </w:tcPr>
          <w:p w:rsidR="00CE0F75" w:rsidRPr="008C7ADC" w:rsidRDefault="00CE0F75" w:rsidP="001576A9">
            <w:pPr>
              <w:tabs>
                <w:tab w:val="num" w:pos="330"/>
              </w:tabs>
              <w:spacing w:line="276" w:lineRule="auto"/>
              <w:jc w:val="center"/>
              <w:rPr>
                <w:iCs/>
                <w:szCs w:val="28"/>
                <w:lang w:val="en-US"/>
              </w:rPr>
            </w:pPr>
            <w:r>
              <w:rPr>
                <w:iCs/>
                <w:szCs w:val="28"/>
              </w:rPr>
              <w:t>21,95±2,91</w:t>
            </w:r>
            <w:r>
              <w:rPr>
                <w:iCs/>
                <w:szCs w:val="28"/>
                <w:lang w:val="en-US"/>
              </w:rPr>
              <w:t>*</w:t>
            </w:r>
          </w:p>
        </w:tc>
      </w:tr>
    </w:tbl>
    <w:p w:rsidR="00CE0F75" w:rsidRDefault="00CE0F75" w:rsidP="00CE0F75">
      <w:pPr>
        <w:tabs>
          <w:tab w:val="num" w:pos="330"/>
        </w:tabs>
        <w:spacing w:after="0" w:line="360" w:lineRule="auto"/>
        <w:ind w:firstLine="709"/>
        <w:jc w:val="both"/>
        <w:rPr>
          <w:iCs/>
          <w:szCs w:val="28"/>
        </w:rPr>
      </w:pPr>
      <w:r>
        <w:rPr>
          <w:iCs/>
          <w:szCs w:val="28"/>
        </w:rPr>
        <w:t xml:space="preserve">Примітка: * - </w:t>
      </w:r>
      <w:r>
        <w:rPr>
          <w:iCs/>
          <w:szCs w:val="28"/>
          <w:lang w:val="en-US"/>
        </w:rPr>
        <w:t>p</w:t>
      </w:r>
      <w:r w:rsidRPr="006470B6">
        <w:rPr>
          <w:iCs/>
          <w:szCs w:val="28"/>
        </w:rPr>
        <w:t>&lt;0,05</w:t>
      </w:r>
      <w:r>
        <w:rPr>
          <w:iCs/>
          <w:szCs w:val="28"/>
        </w:rPr>
        <w:t xml:space="preserve"> при порівнянні з вихідним </w:t>
      </w:r>
      <w:r w:rsidRPr="00CC42AE">
        <w:rPr>
          <w:iCs/>
          <w:szCs w:val="28"/>
        </w:rPr>
        <w:t>рівнем.</w:t>
      </w:r>
    </w:p>
    <w:p w:rsidR="00D24350" w:rsidRDefault="00CE0F75" w:rsidP="00D24350">
      <w:pPr>
        <w:tabs>
          <w:tab w:val="num" w:pos="330"/>
        </w:tabs>
        <w:spacing w:after="0" w:line="360" w:lineRule="auto"/>
        <w:ind w:firstLine="709"/>
        <w:jc w:val="both"/>
        <w:rPr>
          <w:iCs/>
          <w:szCs w:val="28"/>
        </w:rPr>
      </w:pPr>
      <w:r>
        <w:rPr>
          <w:iCs/>
          <w:szCs w:val="28"/>
        </w:rPr>
        <w:t>У таблиці 6.3 наведено інформацію щодо динаміки рівнів галектину-3 та вітронектину у хворих з гострим інфарктом міокарда та ожирінням в залежності від препарату вибору у складі подвійної антитромбоцитарної терапії</w:t>
      </w:r>
      <w:r w:rsidRPr="001004DD">
        <w:rPr>
          <w:iCs/>
          <w:szCs w:val="28"/>
        </w:rPr>
        <w:t xml:space="preserve"> </w:t>
      </w:r>
      <w:r>
        <w:rPr>
          <w:iCs/>
          <w:szCs w:val="28"/>
        </w:rPr>
        <w:t xml:space="preserve">та ризику згідно балів </w:t>
      </w:r>
      <w:r>
        <w:rPr>
          <w:iCs/>
          <w:szCs w:val="28"/>
          <w:lang w:val="en-US"/>
        </w:rPr>
        <w:t>GRAC</w:t>
      </w:r>
      <w:r>
        <w:rPr>
          <w:iCs/>
          <w:szCs w:val="28"/>
        </w:rPr>
        <w:t>Е. За</w:t>
      </w:r>
      <w:r w:rsidRPr="008C7ADC">
        <w:rPr>
          <w:iCs/>
          <w:szCs w:val="28"/>
        </w:rPr>
        <w:t xml:space="preserve">стосування комбінації </w:t>
      </w:r>
      <w:r>
        <w:rPr>
          <w:iCs/>
          <w:szCs w:val="28"/>
        </w:rPr>
        <w:t>АСК</w:t>
      </w:r>
      <w:r w:rsidRPr="008C7ADC">
        <w:rPr>
          <w:iCs/>
          <w:szCs w:val="28"/>
        </w:rPr>
        <w:t xml:space="preserve"> </w:t>
      </w:r>
      <w:r>
        <w:rPr>
          <w:iCs/>
          <w:szCs w:val="28"/>
        </w:rPr>
        <w:t>та тикагрелор</w:t>
      </w:r>
      <w:r w:rsidRPr="008C7ADC">
        <w:rPr>
          <w:iCs/>
          <w:szCs w:val="28"/>
        </w:rPr>
        <w:t xml:space="preserve">у у складі </w:t>
      </w:r>
      <w:r>
        <w:rPr>
          <w:iCs/>
          <w:szCs w:val="28"/>
        </w:rPr>
        <w:t>ПАТ</w:t>
      </w:r>
      <w:r w:rsidRPr="008C7ADC">
        <w:rPr>
          <w:iCs/>
          <w:szCs w:val="28"/>
        </w:rPr>
        <w:t xml:space="preserve"> у хворих з ожирінням після перенесеного </w:t>
      </w:r>
      <w:r>
        <w:rPr>
          <w:iCs/>
          <w:szCs w:val="28"/>
        </w:rPr>
        <w:t>ГІМ</w:t>
      </w:r>
      <w:r w:rsidRPr="008C7ADC">
        <w:rPr>
          <w:iCs/>
          <w:szCs w:val="28"/>
        </w:rPr>
        <w:t>, порівняно з використанням клопідогрелю, сприяє більш виразному зниженню маркеру адгезії вітронектину та</w:t>
      </w:r>
      <w:r>
        <w:rPr>
          <w:iCs/>
          <w:szCs w:val="28"/>
        </w:rPr>
        <w:t xml:space="preserve"> фактору фіброгенезу галектину-3 у хворих високого ризику згідно балів </w:t>
      </w:r>
      <w:r>
        <w:rPr>
          <w:iCs/>
          <w:szCs w:val="28"/>
          <w:lang w:val="en-US"/>
        </w:rPr>
        <w:t>GRACE</w:t>
      </w:r>
      <w:r>
        <w:rPr>
          <w:iCs/>
          <w:szCs w:val="28"/>
        </w:rPr>
        <w:t>, що свідчить про можливість віддавати перевагу при лікуванні даної когорти хворих комбінації АСК та тикагрелору.</w:t>
      </w:r>
    </w:p>
    <w:p w:rsidR="00D24350" w:rsidRDefault="00D24350">
      <w:pPr>
        <w:rPr>
          <w:iCs/>
          <w:szCs w:val="28"/>
        </w:rPr>
      </w:pPr>
      <w:r>
        <w:rPr>
          <w:iCs/>
          <w:szCs w:val="28"/>
        </w:rPr>
        <w:br w:type="page"/>
      </w:r>
    </w:p>
    <w:p w:rsidR="00CE0F75" w:rsidRPr="001004DD" w:rsidRDefault="00CE0F75" w:rsidP="00CE0F75">
      <w:pPr>
        <w:tabs>
          <w:tab w:val="num" w:pos="330"/>
        </w:tabs>
        <w:spacing w:after="0" w:line="360" w:lineRule="auto"/>
        <w:ind w:firstLine="709"/>
        <w:jc w:val="right"/>
        <w:rPr>
          <w:i/>
          <w:iCs/>
          <w:szCs w:val="28"/>
        </w:rPr>
      </w:pPr>
      <w:r w:rsidRPr="00265BE8">
        <w:rPr>
          <w:i/>
          <w:iCs/>
          <w:szCs w:val="28"/>
        </w:rPr>
        <w:lastRenderedPageBreak/>
        <w:t>Таблиця 6.</w:t>
      </w:r>
      <w:r w:rsidRPr="001004DD">
        <w:rPr>
          <w:i/>
          <w:iCs/>
          <w:szCs w:val="28"/>
        </w:rPr>
        <w:t>3</w:t>
      </w:r>
    </w:p>
    <w:p w:rsidR="00CE0F75" w:rsidRPr="001004DD" w:rsidRDefault="00CE0F75" w:rsidP="00CE0F75">
      <w:pPr>
        <w:tabs>
          <w:tab w:val="num" w:pos="330"/>
        </w:tabs>
        <w:spacing w:after="0" w:line="360" w:lineRule="auto"/>
        <w:ind w:firstLine="709"/>
        <w:jc w:val="center"/>
        <w:rPr>
          <w:iCs/>
          <w:szCs w:val="28"/>
        </w:rPr>
      </w:pPr>
      <w:r>
        <w:rPr>
          <w:iCs/>
          <w:szCs w:val="28"/>
        </w:rPr>
        <w:t>Динаміка рівнів галектину-3 та вітронектину у хворих з гострим інфарктом міокарда та ожирінням в залежності від препарату вибору у складі подвійної антитромбоцитарної терапії</w:t>
      </w:r>
      <w:r w:rsidRPr="001004DD">
        <w:rPr>
          <w:iCs/>
          <w:szCs w:val="28"/>
        </w:rPr>
        <w:t xml:space="preserve"> </w:t>
      </w:r>
      <w:r>
        <w:rPr>
          <w:iCs/>
          <w:szCs w:val="28"/>
        </w:rPr>
        <w:t xml:space="preserve">та ризику згідно балів </w:t>
      </w:r>
      <w:r>
        <w:rPr>
          <w:iCs/>
          <w:szCs w:val="28"/>
          <w:lang w:val="en-US"/>
        </w:rPr>
        <w:t>GRACE</w:t>
      </w:r>
    </w:p>
    <w:tbl>
      <w:tblPr>
        <w:tblStyle w:val="ab"/>
        <w:tblW w:w="10314" w:type="dxa"/>
        <w:tblLook w:val="04A0" w:firstRow="1" w:lastRow="0" w:firstColumn="1" w:lastColumn="0" w:noHBand="0" w:noVBand="1"/>
      </w:tblPr>
      <w:tblGrid>
        <w:gridCol w:w="1809"/>
        <w:gridCol w:w="3119"/>
        <w:gridCol w:w="2693"/>
        <w:gridCol w:w="2693"/>
      </w:tblGrid>
      <w:tr w:rsidR="00CE0F75" w:rsidTr="003360AA">
        <w:tc>
          <w:tcPr>
            <w:tcW w:w="1809" w:type="dxa"/>
            <w:vMerge w:val="restart"/>
          </w:tcPr>
          <w:p w:rsidR="00CE0F75" w:rsidRDefault="00CE0F75" w:rsidP="003360AA">
            <w:pPr>
              <w:tabs>
                <w:tab w:val="num" w:pos="330"/>
              </w:tabs>
              <w:spacing w:line="276" w:lineRule="auto"/>
              <w:jc w:val="both"/>
              <w:rPr>
                <w:iCs/>
                <w:szCs w:val="28"/>
              </w:rPr>
            </w:pPr>
            <w:r>
              <w:rPr>
                <w:iCs/>
                <w:szCs w:val="28"/>
              </w:rPr>
              <w:t>Показник, од. виміру</w:t>
            </w:r>
          </w:p>
        </w:tc>
        <w:tc>
          <w:tcPr>
            <w:tcW w:w="3119" w:type="dxa"/>
            <w:vMerge w:val="restart"/>
          </w:tcPr>
          <w:p w:rsidR="00CE0F75" w:rsidRDefault="00CE0F75" w:rsidP="003360AA">
            <w:pPr>
              <w:tabs>
                <w:tab w:val="num" w:pos="330"/>
              </w:tabs>
              <w:spacing w:line="276" w:lineRule="auto"/>
              <w:jc w:val="both"/>
              <w:rPr>
                <w:iCs/>
                <w:szCs w:val="28"/>
              </w:rPr>
            </w:pPr>
          </w:p>
        </w:tc>
        <w:tc>
          <w:tcPr>
            <w:tcW w:w="5386" w:type="dxa"/>
            <w:gridSpan w:val="2"/>
          </w:tcPr>
          <w:p w:rsidR="00CE0F75" w:rsidRDefault="00CE0F75" w:rsidP="003360AA">
            <w:pPr>
              <w:tabs>
                <w:tab w:val="num" w:pos="330"/>
              </w:tabs>
              <w:spacing w:line="276" w:lineRule="auto"/>
              <w:jc w:val="center"/>
              <w:rPr>
                <w:iCs/>
                <w:szCs w:val="28"/>
              </w:rPr>
            </w:pPr>
            <w:r>
              <w:rPr>
                <w:iCs/>
                <w:szCs w:val="28"/>
              </w:rPr>
              <w:t>Хворі на ГІМ та ожиріння</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vMerge/>
          </w:tcPr>
          <w:p w:rsidR="00CE0F75" w:rsidRDefault="00CE0F75" w:rsidP="003360AA">
            <w:pPr>
              <w:tabs>
                <w:tab w:val="num" w:pos="330"/>
              </w:tabs>
              <w:spacing w:line="276" w:lineRule="auto"/>
              <w:jc w:val="both"/>
              <w:rPr>
                <w:iCs/>
                <w:szCs w:val="28"/>
              </w:rPr>
            </w:pPr>
          </w:p>
        </w:tc>
        <w:tc>
          <w:tcPr>
            <w:tcW w:w="2693" w:type="dxa"/>
          </w:tcPr>
          <w:p w:rsidR="00CE0F75" w:rsidRDefault="00CE0F75" w:rsidP="003360AA">
            <w:pPr>
              <w:tabs>
                <w:tab w:val="num" w:pos="330"/>
              </w:tabs>
              <w:spacing w:line="276" w:lineRule="auto"/>
              <w:jc w:val="center"/>
              <w:rPr>
                <w:iCs/>
                <w:szCs w:val="28"/>
              </w:rPr>
            </w:pPr>
            <w:r>
              <w:rPr>
                <w:iCs/>
                <w:szCs w:val="28"/>
              </w:rPr>
              <w:t>Тикагрелор + АСК</w:t>
            </w:r>
            <w:r w:rsidRPr="00BB0252">
              <w:rPr>
                <w:iCs/>
                <w:szCs w:val="28"/>
              </w:rPr>
              <w:t xml:space="preserve"> (</w:t>
            </w:r>
            <w:r w:rsidRPr="00BB0252">
              <w:rPr>
                <w:iCs/>
                <w:szCs w:val="28"/>
                <w:lang w:val="en-US"/>
              </w:rPr>
              <w:t>n=</w:t>
            </w:r>
            <w:r w:rsidRPr="00BB0252">
              <w:rPr>
                <w:iCs/>
                <w:szCs w:val="28"/>
              </w:rPr>
              <w:t>3</w:t>
            </w:r>
            <w:r>
              <w:rPr>
                <w:iCs/>
                <w:szCs w:val="28"/>
              </w:rPr>
              <w:t>8</w:t>
            </w:r>
            <w:r w:rsidRPr="00BB0252">
              <w:rPr>
                <w:iCs/>
                <w:szCs w:val="28"/>
              </w:rPr>
              <w:t>)</w:t>
            </w:r>
          </w:p>
        </w:tc>
        <w:tc>
          <w:tcPr>
            <w:tcW w:w="2693" w:type="dxa"/>
          </w:tcPr>
          <w:p w:rsidR="00CE0F75" w:rsidRDefault="00CE0F75" w:rsidP="003360AA">
            <w:pPr>
              <w:tabs>
                <w:tab w:val="num" w:pos="330"/>
              </w:tabs>
              <w:spacing w:line="276" w:lineRule="auto"/>
              <w:jc w:val="center"/>
              <w:rPr>
                <w:iCs/>
                <w:szCs w:val="28"/>
              </w:rPr>
            </w:pPr>
            <w:r>
              <w:rPr>
                <w:iCs/>
                <w:szCs w:val="28"/>
              </w:rPr>
              <w:t xml:space="preserve">Клопідогрель + АСК </w:t>
            </w:r>
            <w:r w:rsidRPr="00BB0252">
              <w:rPr>
                <w:iCs/>
                <w:szCs w:val="28"/>
              </w:rPr>
              <w:t>(</w:t>
            </w:r>
            <w:r w:rsidRPr="00BB0252">
              <w:rPr>
                <w:iCs/>
                <w:szCs w:val="28"/>
                <w:lang w:val="en-US"/>
              </w:rPr>
              <w:t>n=</w:t>
            </w:r>
            <w:r w:rsidRPr="00BB0252">
              <w:rPr>
                <w:iCs/>
                <w:szCs w:val="28"/>
              </w:rPr>
              <w:t>3</w:t>
            </w:r>
            <w:r>
              <w:rPr>
                <w:iCs/>
                <w:szCs w:val="28"/>
              </w:rPr>
              <w:t>7</w:t>
            </w:r>
            <w:r w:rsidRPr="00BB0252">
              <w:rPr>
                <w:iCs/>
                <w:szCs w:val="28"/>
              </w:rPr>
              <w:t>)</w:t>
            </w:r>
          </w:p>
        </w:tc>
      </w:tr>
      <w:tr w:rsidR="00CE0F75" w:rsidTr="003360AA">
        <w:tc>
          <w:tcPr>
            <w:tcW w:w="1809" w:type="dxa"/>
            <w:vMerge w:val="restart"/>
          </w:tcPr>
          <w:p w:rsidR="00CE0F75" w:rsidRDefault="00CE0F75" w:rsidP="003360AA">
            <w:pPr>
              <w:tabs>
                <w:tab w:val="num" w:pos="330"/>
              </w:tabs>
              <w:spacing w:line="276" w:lineRule="auto"/>
              <w:jc w:val="both"/>
              <w:rPr>
                <w:iCs/>
                <w:szCs w:val="28"/>
              </w:rPr>
            </w:pPr>
            <w:r>
              <w:rPr>
                <w:iCs/>
                <w:szCs w:val="28"/>
              </w:rPr>
              <w:t>Вітронектин,</w:t>
            </w:r>
          </w:p>
          <w:p w:rsidR="00CE0F75" w:rsidRDefault="00CE0F75" w:rsidP="003360AA">
            <w:pPr>
              <w:tabs>
                <w:tab w:val="num" w:pos="330"/>
              </w:tabs>
              <w:spacing w:line="276" w:lineRule="auto"/>
              <w:jc w:val="both"/>
              <w:rPr>
                <w:iCs/>
                <w:szCs w:val="28"/>
              </w:rPr>
            </w:pPr>
            <w:r>
              <w:rPr>
                <w:iCs/>
                <w:szCs w:val="28"/>
              </w:rPr>
              <w:t>нг/мл</w:t>
            </w:r>
          </w:p>
        </w:tc>
        <w:tc>
          <w:tcPr>
            <w:tcW w:w="3119" w:type="dxa"/>
          </w:tcPr>
          <w:p w:rsidR="00CE0F75" w:rsidRPr="00CC42AE" w:rsidRDefault="00CE0F75" w:rsidP="003360AA">
            <w:pPr>
              <w:tabs>
                <w:tab w:val="num" w:pos="330"/>
              </w:tabs>
              <w:spacing w:line="276" w:lineRule="auto"/>
              <w:jc w:val="both"/>
              <w:rPr>
                <w:iCs/>
                <w:szCs w:val="28"/>
              </w:rPr>
            </w:pPr>
            <w:r w:rsidRPr="00CC42AE">
              <w:rPr>
                <w:iCs/>
                <w:szCs w:val="28"/>
              </w:rPr>
              <w:t>До лікування</w:t>
            </w:r>
          </w:p>
        </w:tc>
        <w:tc>
          <w:tcPr>
            <w:tcW w:w="2693" w:type="dxa"/>
          </w:tcPr>
          <w:p w:rsidR="00CE0F75" w:rsidRPr="00CC42AE" w:rsidRDefault="00CE0F75" w:rsidP="003360AA">
            <w:pPr>
              <w:tabs>
                <w:tab w:val="num" w:pos="330"/>
              </w:tabs>
              <w:spacing w:line="276" w:lineRule="auto"/>
              <w:jc w:val="center"/>
              <w:rPr>
                <w:iCs/>
                <w:szCs w:val="28"/>
              </w:rPr>
            </w:pPr>
            <w:r w:rsidRPr="00CC42AE">
              <w:rPr>
                <w:iCs/>
                <w:szCs w:val="28"/>
              </w:rPr>
              <w:t>369,75 ±15,9</w:t>
            </w:r>
          </w:p>
        </w:tc>
        <w:tc>
          <w:tcPr>
            <w:tcW w:w="2693" w:type="dxa"/>
          </w:tcPr>
          <w:p w:rsidR="00CE0F75" w:rsidRPr="00CC42AE" w:rsidRDefault="00CE0F75" w:rsidP="003360AA">
            <w:pPr>
              <w:tabs>
                <w:tab w:val="num" w:pos="330"/>
              </w:tabs>
              <w:spacing w:line="276" w:lineRule="auto"/>
              <w:jc w:val="center"/>
              <w:rPr>
                <w:iCs/>
                <w:szCs w:val="28"/>
              </w:rPr>
            </w:pPr>
            <w:r w:rsidRPr="00CC42AE">
              <w:rPr>
                <w:iCs/>
                <w:szCs w:val="28"/>
              </w:rPr>
              <w:t>372,1±19,6</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Pr="00CC42AE" w:rsidRDefault="00CE0F75" w:rsidP="003360AA">
            <w:pPr>
              <w:tabs>
                <w:tab w:val="num" w:pos="330"/>
              </w:tabs>
              <w:spacing w:line="276" w:lineRule="auto"/>
              <w:jc w:val="both"/>
              <w:rPr>
                <w:iCs/>
                <w:szCs w:val="28"/>
              </w:rPr>
            </w:pPr>
            <w:r w:rsidRPr="00CC42AE">
              <w:rPr>
                <w:iCs/>
                <w:szCs w:val="28"/>
              </w:rPr>
              <w:t xml:space="preserve">Після лікування у групі середнього ризику </w:t>
            </w:r>
            <w:r w:rsidRPr="00891F17">
              <w:rPr>
                <w:iCs/>
                <w:szCs w:val="28"/>
              </w:rPr>
              <w:t>(</w:t>
            </w:r>
            <w:r w:rsidRPr="00891F17">
              <w:rPr>
                <w:iCs/>
                <w:szCs w:val="28"/>
                <w:lang w:val="en-US"/>
              </w:rPr>
              <w:t>GRACE</w:t>
            </w:r>
            <w:r>
              <w:rPr>
                <w:iCs/>
                <w:szCs w:val="28"/>
              </w:rPr>
              <w:t xml:space="preserve"> 89-118 балів</w:t>
            </w:r>
            <w:r w:rsidRPr="00CC42AE">
              <w:rPr>
                <w:iCs/>
                <w:szCs w:val="28"/>
              </w:rPr>
              <w:t>)</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273,37±25,1</w:t>
            </w:r>
            <w:r w:rsidRPr="00CC42AE">
              <w:rPr>
                <w:iCs/>
                <w:szCs w:val="28"/>
                <w:lang w:val="en-US"/>
              </w:rPr>
              <w:t xml:space="preserve">* </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281,33±14,1</w:t>
            </w:r>
            <w:r w:rsidRPr="00CC42AE">
              <w:rPr>
                <w:iCs/>
                <w:szCs w:val="28"/>
                <w:lang w:val="en-US"/>
              </w:rPr>
              <w:t>*</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Pr="001004DD" w:rsidRDefault="00CE0F75" w:rsidP="003360AA">
            <w:pPr>
              <w:tabs>
                <w:tab w:val="num" w:pos="330"/>
              </w:tabs>
              <w:spacing w:line="276" w:lineRule="auto"/>
              <w:jc w:val="both"/>
              <w:rPr>
                <w:iCs/>
                <w:szCs w:val="28"/>
              </w:rPr>
            </w:pPr>
            <w:r w:rsidRPr="00CC42AE">
              <w:rPr>
                <w:iCs/>
                <w:szCs w:val="28"/>
              </w:rPr>
              <w:t>Після лікування</w:t>
            </w:r>
            <w:r w:rsidRPr="001004DD">
              <w:rPr>
                <w:iCs/>
                <w:szCs w:val="28"/>
              </w:rPr>
              <w:t xml:space="preserve"> </w:t>
            </w:r>
            <w:r w:rsidRPr="00CC42AE">
              <w:rPr>
                <w:iCs/>
                <w:szCs w:val="28"/>
              </w:rPr>
              <w:t xml:space="preserve">у групі </w:t>
            </w:r>
            <w:r w:rsidRPr="001004DD">
              <w:rPr>
                <w:iCs/>
                <w:szCs w:val="28"/>
              </w:rPr>
              <w:t>в</w:t>
            </w:r>
            <w:r w:rsidRPr="00CC42AE">
              <w:rPr>
                <w:iCs/>
                <w:szCs w:val="28"/>
              </w:rPr>
              <w:t>и</w:t>
            </w:r>
            <w:r w:rsidRPr="001004DD">
              <w:rPr>
                <w:iCs/>
                <w:szCs w:val="28"/>
              </w:rPr>
              <w:t>сокого</w:t>
            </w:r>
            <w:r w:rsidRPr="00CC42AE">
              <w:rPr>
                <w:iCs/>
                <w:szCs w:val="28"/>
              </w:rPr>
              <w:t xml:space="preserve"> </w:t>
            </w:r>
            <w:r w:rsidRPr="00891F17">
              <w:rPr>
                <w:iCs/>
                <w:szCs w:val="28"/>
              </w:rPr>
              <w:t>ризику (</w:t>
            </w:r>
            <w:r w:rsidRPr="00891F17">
              <w:rPr>
                <w:iCs/>
                <w:szCs w:val="28"/>
                <w:lang w:val="en-US"/>
              </w:rPr>
              <w:t>GRACE</w:t>
            </w:r>
            <w:r>
              <w:rPr>
                <w:iCs/>
                <w:szCs w:val="28"/>
              </w:rPr>
              <w:t xml:space="preserve"> &gt;118 балів</w:t>
            </w:r>
            <w:r w:rsidRPr="00891F17">
              <w:rPr>
                <w:iCs/>
                <w:szCs w:val="28"/>
              </w:rPr>
              <w:t>)</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265,82±</w:t>
            </w:r>
            <w:r>
              <w:rPr>
                <w:iCs/>
                <w:szCs w:val="28"/>
              </w:rPr>
              <w:t>15</w:t>
            </w:r>
            <w:r w:rsidRPr="00CC42AE">
              <w:rPr>
                <w:iCs/>
                <w:szCs w:val="28"/>
              </w:rPr>
              <w:t>,4</w:t>
            </w:r>
            <w:r w:rsidRPr="00CC42AE">
              <w:rPr>
                <w:iCs/>
                <w:szCs w:val="28"/>
                <w:lang w:val="en-US"/>
              </w:rPr>
              <w:t xml:space="preserve">*# </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297,16±1</w:t>
            </w:r>
            <w:r>
              <w:rPr>
                <w:iCs/>
                <w:szCs w:val="28"/>
              </w:rPr>
              <w:t>1</w:t>
            </w:r>
            <w:r w:rsidRPr="00CC42AE">
              <w:rPr>
                <w:iCs/>
                <w:szCs w:val="28"/>
              </w:rPr>
              <w:t>,6</w:t>
            </w:r>
            <w:r w:rsidRPr="00CC42AE">
              <w:rPr>
                <w:iCs/>
                <w:szCs w:val="28"/>
                <w:lang w:val="en-US"/>
              </w:rPr>
              <w:t>*</w:t>
            </w:r>
          </w:p>
        </w:tc>
      </w:tr>
      <w:tr w:rsidR="00CE0F75" w:rsidTr="003360AA">
        <w:tc>
          <w:tcPr>
            <w:tcW w:w="1809" w:type="dxa"/>
            <w:vMerge w:val="restart"/>
          </w:tcPr>
          <w:p w:rsidR="00CE0F75" w:rsidRDefault="00CE0F75" w:rsidP="003360AA">
            <w:pPr>
              <w:tabs>
                <w:tab w:val="num" w:pos="330"/>
              </w:tabs>
              <w:spacing w:line="276" w:lineRule="auto"/>
              <w:jc w:val="both"/>
              <w:rPr>
                <w:iCs/>
                <w:szCs w:val="28"/>
              </w:rPr>
            </w:pPr>
            <w:r>
              <w:rPr>
                <w:iCs/>
                <w:szCs w:val="28"/>
              </w:rPr>
              <w:t>Галектин-3,</w:t>
            </w:r>
          </w:p>
          <w:p w:rsidR="00CE0F75" w:rsidRDefault="00CE0F75" w:rsidP="003360AA">
            <w:pPr>
              <w:tabs>
                <w:tab w:val="num" w:pos="330"/>
              </w:tabs>
              <w:spacing w:line="276" w:lineRule="auto"/>
              <w:jc w:val="both"/>
              <w:rPr>
                <w:iCs/>
                <w:szCs w:val="28"/>
              </w:rPr>
            </w:pPr>
            <w:r>
              <w:rPr>
                <w:iCs/>
                <w:szCs w:val="28"/>
              </w:rPr>
              <w:t>нг/мл</w:t>
            </w:r>
          </w:p>
        </w:tc>
        <w:tc>
          <w:tcPr>
            <w:tcW w:w="3119" w:type="dxa"/>
          </w:tcPr>
          <w:p w:rsidR="00CE0F75" w:rsidRDefault="00CE0F75" w:rsidP="003360AA">
            <w:pPr>
              <w:tabs>
                <w:tab w:val="num" w:pos="330"/>
              </w:tabs>
              <w:spacing w:line="276" w:lineRule="auto"/>
              <w:jc w:val="both"/>
              <w:rPr>
                <w:iCs/>
                <w:szCs w:val="28"/>
              </w:rPr>
            </w:pPr>
            <w:r>
              <w:rPr>
                <w:iCs/>
                <w:szCs w:val="28"/>
              </w:rPr>
              <w:t>До лікування</w:t>
            </w:r>
          </w:p>
        </w:tc>
        <w:tc>
          <w:tcPr>
            <w:tcW w:w="2693" w:type="dxa"/>
          </w:tcPr>
          <w:p w:rsidR="00CE0F75" w:rsidRDefault="00CE0F75" w:rsidP="003360AA">
            <w:pPr>
              <w:tabs>
                <w:tab w:val="num" w:pos="330"/>
              </w:tabs>
              <w:spacing w:line="276" w:lineRule="auto"/>
              <w:jc w:val="center"/>
              <w:rPr>
                <w:iCs/>
                <w:szCs w:val="28"/>
              </w:rPr>
            </w:pPr>
            <w:r>
              <w:rPr>
                <w:iCs/>
                <w:szCs w:val="28"/>
              </w:rPr>
              <w:t>23,16±4,31</w:t>
            </w:r>
          </w:p>
        </w:tc>
        <w:tc>
          <w:tcPr>
            <w:tcW w:w="2693" w:type="dxa"/>
          </w:tcPr>
          <w:p w:rsidR="00CE0F75" w:rsidRDefault="00CE0F75" w:rsidP="003360AA">
            <w:pPr>
              <w:tabs>
                <w:tab w:val="num" w:pos="330"/>
              </w:tabs>
              <w:spacing w:line="276" w:lineRule="auto"/>
              <w:jc w:val="center"/>
              <w:rPr>
                <w:iCs/>
                <w:szCs w:val="28"/>
              </w:rPr>
            </w:pPr>
            <w:r>
              <w:rPr>
                <w:iCs/>
                <w:szCs w:val="28"/>
              </w:rPr>
              <w:t>27,44±3,88</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Default="00CE0F75" w:rsidP="003360AA">
            <w:pPr>
              <w:tabs>
                <w:tab w:val="num" w:pos="330"/>
              </w:tabs>
              <w:spacing w:line="276" w:lineRule="auto"/>
              <w:jc w:val="both"/>
              <w:rPr>
                <w:iCs/>
                <w:szCs w:val="28"/>
              </w:rPr>
            </w:pPr>
            <w:r>
              <w:rPr>
                <w:iCs/>
                <w:szCs w:val="28"/>
              </w:rPr>
              <w:t>Після лікування у групі середнього ризику (</w:t>
            </w:r>
            <w:r w:rsidRPr="00891F17">
              <w:rPr>
                <w:iCs/>
                <w:szCs w:val="28"/>
                <w:lang w:val="en-US"/>
              </w:rPr>
              <w:t>GRACE</w:t>
            </w:r>
            <w:r>
              <w:rPr>
                <w:iCs/>
                <w:szCs w:val="28"/>
              </w:rPr>
              <w:t xml:space="preserve"> 89-118 балів)</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16,98±3,06</w:t>
            </w:r>
            <w:r>
              <w:rPr>
                <w:iCs/>
                <w:szCs w:val="28"/>
                <w:lang w:val="en-US"/>
              </w:rPr>
              <w:t xml:space="preserve">* </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19,01±2,77</w:t>
            </w:r>
            <w:r>
              <w:rPr>
                <w:iCs/>
                <w:szCs w:val="28"/>
                <w:lang w:val="en-US"/>
              </w:rPr>
              <w:t>*</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Pr="001004DD" w:rsidRDefault="00CE0F75" w:rsidP="003360AA">
            <w:pPr>
              <w:tabs>
                <w:tab w:val="num" w:pos="330"/>
              </w:tabs>
              <w:spacing w:line="276" w:lineRule="auto"/>
              <w:jc w:val="both"/>
              <w:rPr>
                <w:iCs/>
                <w:szCs w:val="28"/>
              </w:rPr>
            </w:pPr>
            <w:r>
              <w:rPr>
                <w:iCs/>
                <w:szCs w:val="28"/>
              </w:rPr>
              <w:t>Після лікування</w:t>
            </w:r>
            <w:r w:rsidRPr="001004DD">
              <w:rPr>
                <w:iCs/>
                <w:szCs w:val="28"/>
              </w:rPr>
              <w:t xml:space="preserve"> </w:t>
            </w:r>
            <w:r>
              <w:rPr>
                <w:iCs/>
                <w:szCs w:val="28"/>
              </w:rPr>
              <w:t xml:space="preserve">у групі </w:t>
            </w:r>
            <w:r w:rsidRPr="001004DD">
              <w:rPr>
                <w:iCs/>
                <w:szCs w:val="28"/>
              </w:rPr>
              <w:t>в</w:t>
            </w:r>
            <w:r>
              <w:rPr>
                <w:iCs/>
                <w:szCs w:val="28"/>
              </w:rPr>
              <w:t>и</w:t>
            </w:r>
            <w:r w:rsidRPr="001004DD">
              <w:rPr>
                <w:iCs/>
                <w:szCs w:val="28"/>
              </w:rPr>
              <w:t>сокого</w:t>
            </w:r>
            <w:r>
              <w:rPr>
                <w:iCs/>
                <w:szCs w:val="28"/>
              </w:rPr>
              <w:t xml:space="preserve"> ризику (</w:t>
            </w:r>
            <w:r>
              <w:rPr>
                <w:iCs/>
                <w:szCs w:val="28"/>
                <w:lang w:val="en-US"/>
              </w:rPr>
              <w:t>GRACE</w:t>
            </w:r>
            <w:r>
              <w:rPr>
                <w:iCs/>
                <w:szCs w:val="28"/>
              </w:rPr>
              <w:t>&gt;118 балів)</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13,51±1,77</w:t>
            </w:r>
            <w:r>
              <w:rPr>
                <w:iCs/>
                <w:szCs w:val="28"/>
                <w:lang w:val="en-US"/>
              </w:rPr>
              <w:t xml:space="preserve">*# </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20,32±2,15</w:t>
            </w:r>
            <w:r>
              <w:rPr>
                <w:iCs/>
                <w:szCs w:val="28"/>
                <w:lang w:val="en-US"/>
              </w:rPr>
              <w:t>*</w:t>
            </w:r>
          </w:p>
        </w:tc>
      </w:tr>
    </w:tbl>
    <w:p w:rsidR="003360AA" w:rsidRDefault="003360AA" w:rsidP="00CE0F75">
      <w:pPr>
        <w:tabs>
          <w:tab w:val="num" w:pos="330"/>
        </w:tabs>
        <w:spacing w:after="0" w:line="360" w:lineRule="auto"/>
        <w:ind w:firstLine="709"/>
        <w:jc w:val="both"/>
        <w:rPr>
          <w:iCs/>
          <w:szCs w:val="28"/>
          <w:lang w:val="ru-RU"/>
        </w:rPr>
      </w:pPr>
    </w:p>
    <w:p w:rsidR="00CE0F75" w:rsidRPr="001004DD" w:rsidRDefault="00CE0F75" w:rsidP="00CE0F75">
      <w:pPr>
        <w:tabs>
          <w:tab w:val="num" w:pos="330"/>
        </w:tabs>
        <w:spacing w:after="0" w:line="360" w:lineRule="auto"/>
        <w:ind w:firstLine="709"/>
        <w:jc w:val="both"/>
        <w:rPr>
          <w:iCs/>
          <w:szCs w:val="28"/>
        </w:rPr>
      </w:pPr>
      <w:r>
        <w:rPr>
          <w:iCs/>
          <w:szCs w:val="28"/>
        </w:rPr>
        <w:t xml:space="preserve">Примітка: * - </w:t>
      </w:r>
      <w:r>
        <w:rPr>
          <w:iCs/>
          <w:szCs w:val="28"/>
          <w:lang w:val="en-US"/>
        </w:rPr>
        <w:t>p</w:t>
      </w:r>
      <w:r w:rsidRPr="006470B6">
        <w:rPr>
          <w:iCs/>
          <w:szCs w:val="28"/>
        </w:rPr>
        <w:t>&lt;0,05</w:t>
      </w:r>
      <w:r>
        <w:rPr>
          <w:iCs/>
          <w:szCs w:val="28"/>
        </w:rPr>
        <w:t xml:space="preserve"> при порівнянні з вихідним рівнем, </w:t>
      </w:r>
      <w:r w:rsidRPr="00DD76DC">
        <w:rPr>
          <w:iCs/>
          <w:szCs w:val="28"/>
        </w:rPr>
        <w:t xml:space="preserve"># - </w:t>
      </w:r>
      <w:r w:rsidRPr="00DD76DC">
        <w:rPr>
          <w:iCs/>
          <w:szCs w:val="28"/>
          <w:lang w:val="en-US"/>
        </w:rPr>
        <w:t>p</w:t>
      </w:r>
      <w:r w:rsidRPr="00DD76DC">
        <w:rPr>
          <w:iCs/>
          <w:szCs w:val="28"/>
        </w:rPr>
        <w:t xml:space="preserve">&lt;0,05 при порівнянні </w:t>
      </w:r>
      <w:r w:rsidRPr="001004DD">
        <w:rPr>
          <w:iCs/>
          <w:szCs w:val="28"/>
        </w:rPr>
        <w:t xml:space="preserve">групи, що отримує тикагрелор, та </w:t>
      </w:r>
      <w:r>
        <w:rPr>
          <w:iCs/>
          <w:szCs w:val="28"/>
        </w:rPr>
        <w:t xml:space="preserve">групи </w:t>
      </w:r>
      <w:r w:rsidRPr="001004DD">
        <w:rPr>
          <w:iCs/>
          <w:szCs w:val="28"/>
        </w:rPr>
        <w:t xml:space="preserve">пацієнтів, які </w:t>
      </w:r>
      <w:r>
        <w:rPr>
          <w:iCs/>
          <w:szCs w:val="28"/>
        </w:rPr>
        <w:t>лікуються з застосуванням клопідогрелю</w:t>
      </w:r>
      <w:r w:rsidRPr="00DD76DC">
        <w:rPr>
          <w:iCs/>
          <w:szCs w:val="28"/>
        </w:rPr>
        <w:t>.</w:t>
      </w:r>
    </w:p>
    <w:p w:rsidR="003360AA" w:rsidRDefault="003360AA" w:rsidP="00CE0F75">
      <w:pPr>
        <w:tabs>
          <w:tab w:val="num" w:pos="330"/>
        </w:tabs>
        <w:spacing w:after="0" w:line="360" w:lineRule="auto"/>
        <w:ind w:firstLine="709"/>
        <w:jc w:val="both"/>
        <w:rPr>
          <w:iCs/>
          <w:szCs w:val="28"/>
          <w:lang w:val="ru-RU"/>
        </w:rPr>
      </w:pPr>
    </w:p>
    <w:p w:rsidR="00CE0F75" w:rsidRDefault="00CE0F75" w:rsidP="00CE0F75">
      <w:pPr>
        <w:tabs>
          <w:tab w:val="num" w:pos="330"/>
        </w:tabs>
        <w:spacing w:after="0" w:line="360" w:lineRule="auto"/>
        <w:ind w:firstLine="709"/>
        <w:jc w:val="both"/>
        <w:rPr>
          <w:iCs/>
          <w:szCs w:val="28"/>
          <w:lang w:val="ru-RU"/>
        </w:rPr>
      </w:pPr>
      <w:r>
        <w:rPr>
          <w:iCs/>
          <w:szCs w:val="28"/>
        </w:rPr>
        <w:t>Наступним етапом дослідження був аналіз розвитку повторних кардіоваскулярних подій протягом 6-місячного терміну спостереже</w:t>
      </w:r>
      <w:r w:rsidR="003360AA">
        <w:rPr>
          <w:iCs/>
          <w:szCs w:val="28"/>
        </w:rPr>
        <w:t>ння. Дані наведено у таблиці 6.</w:t>
      </w:r>
      <w:r w:rsidR="003360AA">
        <w:rPr>
          <w:iCs/>
          <w:szCs w:val="28"/>
          <w:lang w:val="ru-RU"/>
        </w:rPr>
        <w:t>4</w:t>
      </w:r>
      <w:r>
        <w:rPr>
          <w:iCs/>
          <w:szCs w:val="28"/>
        </w:rPr>
        <w:t>.</w:t>
      </w:r>
    </w:p>
    <w:p w:rsidR="003360AA" w:rsidRDefault="003360AA" w:rsidP="00CE0F75">
      <w:pPr>
        <w:tabs>
          <w:tab w:val="num" w:pos="330"/>
        </w:tabs>
        <w:spacing w:after="0" w:line="360" w:lineRule="auto"/>
        <w:ind w:firstLine="709"/>
        <w:jc w:val="both"/>
        <w:rPr>
          <w:iCs/>
          <w:szCs w:val="28"/>
          <w:lang w:val="ru-RU"/>
        </w:rPr>
      </w:pPr>
    </w:p>
    <w:p w:rsidR="003360AA" w:rsidRPr="003360AA" w:rsidRDefault="003360AA" w:rsidP="00CE0F75">
      <w:pPr>
        <w:tabs>
          <w:tab w:val="num" w:pos="330"/>
        </w:tabs>
        <w:spacing w:after="0" w:line="360" w:lineRule="auto"/>
        <w:ind w:firstLine="709"/>
        <w:jc w:val="both"/>
        <w:rPr>
          <w:iCs/>
          <w:szCs w:val="28"/>
          <w:lang w:val="ru-RU"/>
        </w:rPr>
      </w:pPr>
    </w:p>
    <w:p w:rsidR="00CE0F75" w:rsidRPr="003360AA" w:rsidRDefault="00CE0F75" w:rsidP="00CE0F75">
      <w:pPr>
        <w:tabs>
          <w:tab w:val="num" w:pos="330"/>
        </w:tabs>
        <w:spacing w:after="0" w:line="360" w:lineRule="auto"/>
        <w:ind w:firstLine="709"/>
        <w:jc w:val="right"/>
        <w:rPr>
          <w:i/>
          <w:iCs/>
          <w:szCs w:val="28"/>
          <w:lang w:val="ru-RU"/>
        </w:rPr>
      </w:pPr>
      <w:r w:rsidRPr="00B62486">
        <w:rPr>
          <w:i/>
          <w:iCs/>
          <w:szCs w:val="28"/>
        </w:rPr>
        <w:lastRenderedPageBreak/>
        <w:t>Таблиця 6.</w:t>
      </w:r>
      <w:r w:rsidR="003360AA">
        <w:rPr>
          <w:i/>
          <w:iCs/>
          <w:szCs w:val="28"/>
          <w:lang w:val="ru-RU"/>
        </w:rPr>
        <w:t>4</w:t>
      </w:r>
    </w:p>
    <w:p w:rsidR="00CE0F75" w:rsidRPr="001004DD" w:rsidRDefault="00CE0F75" w:rsidP="00CE0F75">
      <w:pPr>
        <w:tabs>
          <w:tab w:val="num" w:pos="330"/>
        </w:tabs>
        <w:spacing w:after="0" w:line="360" w:lineRule="auto"/>
        <w:ind w:firstLine="709"/>
        <w:jc w:val="center"/>
        <w:rPr>
          <w:iCs/>
          <w:szCs w:val="28"/>
        </w:rPr>
      </w:pPr>
      <w:r>
        <w:rPr>
          <w:iCs/>
          <w:szCs w:val="28"/>
        </w:rPr>
        <w:t>Характеристика хворих з ожирінням після перенесеного інфаркту міокарда згідно розвитку повторних коронарних подій протягом 6 місяців спостереження</w:t>
      </w:r>
    </w:p>
    <w:tbl>
      <w:tblPr>
        <w:tblStyle w:val="ab"/>
        <w:tblW w:w="0" w:type="auto"/>
        <w:tblLook w:val="04A0" w:firstRow="1" w:lastRow="0" w:firstColumn="1" w:lastColumn="0" w:noHBand="0" w:noVBand="1"/>
      </w:tblPr>
      <w:tblGrid>
        <w:gridCol w:w="2802"/>
        <w:gridCol w:w="3685"/>
        <w:gridCol w:w="3827"/>
      </w:tblGrid>
      <w:tr w:rsidR="00CE0F75" w:rsidRPr="001004DD" w:rsidTr="003360AA">
        <w:trPr>
          <w:trHeight w:val="976"/>
        </w:trPr>
        <w:tc>
          <w:tcPr>
            <w:tcW w:w="2802" w:type="dxa"/>
          </w:tcPr>
          <w:p w:rsidR="00CE0F75" w:rsidRDefault="00CE0F75" w:rsidP="003360AA">
            <w:pPr>
              <w:tabs>
                <w:tab w:val="num" w:pos="330"/>
              </w:tabs>
              <w:spacing w:line="276" w:lineRule="auto"/>
              <w:jc w:val="center"/>
              <w:rPr>
                <w:iCs/>
                <w:szCs w:val="28"/>
              </w:rPr>
            </w:pPr>
          </w:p>
        </w:tc>
        <w:tc>
          <w:tcPr>
            <w:tcW w:w="7512" w:type="dxa"/>
            <w:gridSpan w:val="2"/>
          </w:tcPr>
          <w:p w:rsidR="00CE0F75" w:rsidRPr="001004DD" w:rsidRDefault="00CE0F75" w:rsidP="003360AA">
            <w:pPr>
              <w:tabs>
                <w:tab w:val="num" w:pos="330"/>
              </w:tabs>
              <w:spacing w:line="276" w:lineRule="auto"/>
              <w:jc w:val="center"/>
              <w:rPr>
                <w:iCs/>
                <w:szCs w:val="28"/>
              </w:rPr>
            </w:pPr>
            <w:r>
              <w:rPr>
                <w:iCs/>
                <w:szCs w:val="28"/>
              </w:rPr>
              <w:t xml:space="preserve">Хворі </w:t>
            </w:r>
            <w:r w:rsidRPr="001004DD">
              <w:rPr>
                <w:iCs/>
                <w:szCs w:val="28"/>
              </w:rPr>
              <w:t>п</w:t>
            </w:r>
            <w:r>
              <w:rPr>
                <w:iCs/>
                <w:szCs w:val="28"/>
              </w:rPr>
              <w:t>ісля лікування з ожирінням після перенесеного ІМ (</w:t>
            </w:r>
            <w:r>
              <w:rPr>
                <w:iCs/>
                <w:szCs w:val="28"/>
                <w:lang w:val="en-US"/>
              </w:rPr>
              <w:t>n</w:t>
            </w:r>
            <w:r w:rsidRPr="001004DD">
              <w:rPr>
                <w:iCs/>
                <w:szCs w:val="28"/>
              </w:rPr>
              <w:t>=75)</w:t>
            </w:r>
          </w:p>
        </w:tc>
      </w:tr>
      <w:tr w:rsidR="00CE0F75" w:rsidTr="003360AA">
        <w:trPr>
          <w:trHeight w:val="558"/>
        </w:trPr>
        <w:tc>
          <w:tcPr>
            <w:tcW w:w="2802" w:type="dxa"/>
            <w:vMerge w:val="restart"/>
          </w:tcPr>
          <w:p w:rsidR="00CE0F75" w:rsidRDefault="00CE0F75" w:rsidP="003360AA">
            <w:pPr>
              <w:tabs>
                <w:tab w:val="num" w:pos="330"/>
              </w:tabs>
              <w:spacing w:line="276" w:lineRule="auto"/>
              <w:jc w:val="center"/>
              <w:rPr>
                <w:iCs/>
                <w:szCs w:val="28"/>
              </w:rPr>
            </w:pPr>
            <w:r>
              <w:rPr>
                <w:iCs/>
                <w:szCs w:val="28"/>
              </w:rPr>
              <w:t>Розвиток повторного ІМ та/або НС через 6 місяців після перенесеного ІМ</w:t>
            </w:r>
          </w:p>
        </w:tc>
        <w:tc>
          <w:tcPr>
            <w:tcW w:w="7512" w:type="dxa"/>
            <w:gridSpan w:val="2"/>
          </w:tcPr>
          <w:p w:rsidR="00CE0F75" w:rsidRPr="00BB0252" w:rsidRDefault="00CE0F75" w:rsidP="003360AA">
            <w:pPr>
              <w:tabs>
                <w:tab w:val="num" w:pos="330"/>
              </w:tabs>
              <w:spacing w:line="276" w:lineRule="auto"/>
              <w:jc w:val="center"/>
              <w:rPr>
                <w:iCs/>
                <w:szCs w:val="28"/>
                <w:lang w:val="en-US"/>
              </w:rPr>
            </w:pPr>
            <w:r>
              <w:rPr>
                <w:iCs/>
                <w:szCs w:val="28"/>
              </w:rPr>
              <w:t>28 (37,56%)</w:t>
            </w:r>
          </w:p>
        </w:tc>
      </w:tr>
      <w:tr w:rsidR="00CE0F75" w:rsidTr="003360AA">
        <w:trPr>
          <w:trHeight w:val="310"/>
        </w:trPr>
        <w:tc>
          <w:tcPr>
            <w:tcW w:w="2802" w:type="dxa"/>
            <w:vMerge/>
          </w:tcPr>
          <w:p w:rsidR="00CE0F75" w:rsidRDefault="00CE0F75" w:rsidP="003360AA">
            <w:pPr>
              <w:tabs>
                <w:tab w:val="num" w:pos="330"/>
              </w:tabs>
              <w:spacing w:line="276" w:lineRule="auto"/>
              <w:jc w:val="center"/>
              <w:rPr>
                <w:iCs/>
                <w:szCs w:val="28"/>
              </w:rPr>
            </w:pPr>
          </w:p>
        </w:tc>
        <w:tc>
          <w:tcPr>
            <w:tcW w:w="3685" w:type="dxa"/>
          </w:tcPr>
          <w:p w:rsidR="00CE0F75" w:rsidRDefault="00CE0F75" w:rsidP="003360AA">
            <w:pPr>
              <w:tabs>
                <w:tab w:val="num" w:pos="330"/>
              </w:tabs>
              <w:spacing w:line="276" w:lineRule="auto"/>
              <w:jc w:val="center"/>
              <w:rPr>
                <w:iCs/>
                <w:szCs w:val="28"/>
                <w:lang w:val="en-US"/>
              </w:rPr>
            </w:pPr>
            <w:r>
              <w:rPr>
                <w:iCs/>
                <w:szCs w:val="28"/>
              </w:rPr>
              <w:t>11 (14,76%)</w:t>
            </w:r>
          </w:p>
          <w:p w:rsidR="00CE0F75" w:rsidRDefault="00CE0F75" w:rsidP="003360AA">
            <w:pPr>
              <w:tabs>
                <w:tab w:val="num" w:pos="330"/>
              </w:tabs>
              <w:spacing w:line="276" w:lineRule="auto"/>
              <w:jc w:val="center"/>
              <w:rPr>
                <w:iCs/>
                <w:szCs w:val="28"/>
              </w:rPr>
            </w:pPr>
            <w:r>
              <w:rPr>
                <w:iCs/>
                <w:szCs w:val="28"/>
              </w:rPr>
              <w:t xml:space="preserve">АСК + тикагрелор </w:t>
            </w:r>
          </w:p>
          <w:p w:rsidR="00CE0F75" w:rsidRDefault="00CE0F75" w:rsidP="003360AA">
            <w:pPr>
              <w:tabs>
                <w:tab w:val="num" w:pos="330"/>
              </w:tabs>
              <w:spacing w:line="276" w:lineRule="auto"/>
              <w:jc w:val="center"/>
              <w:rPr>
                <w:iCs/>
                <w:szCs w:val="28"/>
              </w:rPr>
            </w:pPr>
          </w:p>
        </w:tc>
        <w:tc>
          <w:tcPr>
            <w:tcW w:w="3827" w:type="dxa"/>
          </w:tcPr>
          <w:p w:rsidR="00CE0F75" w:rsidRDefault="00CE0F75" w:rsidP="003360AA">
            <w:pPr>
              <w:tabs>
                <w:tab w:val="num" w:pos="330"/>
              </w:tabs>
              <w:spacing w:line="276" w:lineRule="auto"/>
              <w:jc w:val="center"/>
              <w:rPr>
                <w:iCs/>
                <w:szCs w:val="28"/>
                <w:lang w:val="en-US"/>
              </w:rPr>
            </w:pPr>
            <w:r>
              <w:rPr>
                <w:iCs/>
                <w:szCs w:val="28"/>
              </w:rPr>
              <w:t>17 (22,8%)</w:t>
            </w:r>
          </w:p>
          <w:p w:rsidR="00CE0F75" w:rsidRDefault="00CE0F75" w:rsidP="003360AA">
            <w:pPr>
              <w:tabs>
                <w:tab w:val="num" w:pos="330"/>
              </w:tabs>
              <w:spacing w:line="276" w:lineRule="auto"/>
              <w:jc w:val="center"/>
              <w:rPr>
                <w:iCs/>
                <w:szCs w:val="28"/>
              </w:rPr>
            </w:pPr>
            <w:r>
              <w:rPr>
                <w:iCs/>
                <w:szCs w:val="28"/>
              </w:rPr>
              <w:t>АСК + клопідогрель</w:t>
            </w:r>
          </w:p>
        </w:tc>
      </w:tr>
    </w:tbl>
    <w:p w:rsidR="003360AA" w:rsidRDefault="003360AA" w:rsidP="00CE0F75">
      <w:pPr>
        <w:tabs>
          <w:tab w:val="num" w:pos="330"/>
        </w:tabs>
        <w:spacing w:after="0" w:line="360" w:lineRule="auto"/>
        <w:ind w:firstLine="709"/>
        <w:jc w:val="both"/>
        <w:rPr>
          <w:iCs/>
          <w:szCs w:val="28"/>
          <w:lang w:val="ru-RU"/>
        </w:rPr>
      </w:pPr>
    </w:p>
    <w:p w:rsidR="00CE0F75" w:rsidRDefault="00CE0F75" w:rsidP="00CE0F75">
      <w:pPr>
        <w:tabs>
          <w:tab w:val="num" w:pos="330"/>
        </w:tabs>
        <w:spacing w:after="0" w:line="360" w:lineRule="auto"/>
        <w:ind w:firstLine="709"/>
        <w:jc w:val="both"/>
        <w:rPr>
          <w:iCs/>
          <w:szCs w:val="28"/>
        </w:rPr>
      </w:pPr>
      <w:r>
        <w:rPr>
          <w:iCs/>
          <w:szCs w:val="28"/>
        </w:rPr>
        <w:t xml:space="preserve">Спостереження за хворими з ожирінням після перенесеного ІМ протягом 6 місяців показало, що у 28 осіб розвинувся повторний ІМ та/або НС, що складає 37,56% всіх хворих. Аналіз балів шкали </w:t>
      </w:r>
      <w:r>
        <w:rPr>
          <w:iCs/>
          <w:szCs w:val="28"/>
          <w:lang w:val="en-US"/>
        </w:rPr>
        <w:t>GRACE</w:t>
      </w:r>
      <w:r w:rsidRPr="006530BC">
        <w:rPr>
          <w:iCs/>
          <w:szCs w:val="28"/>
        </w:rPr>
        <w:t xml:space="preserve"> </w:t>
      </w:r>
      <w:r>
        <w:rPr>
          <w:iCs/>
          <w:szCs w:val="28"/>
        </w:rPr>
        <w:t xml:space="preserve">у когорті хворих з повторними серцево-судинними катастрофами виявив, що усі хворі увійшли до групи високого ризику (бали за шкалою </w:t>
      </w:r>
      <w:r>
        <w:rPr>
          <w:iCs/>
          <w:szCs w:val="28"/>
          <w:lang w:val="en-US"/>
        </w:rPr>
        <w:t>GRACE</w:t>
      </w:r>
      <w:r>
        <w:rPr>
          <w:iCs/>
          <w:szCs w:val="28"/>
        </w:rPr>
        <w:t xml:space="preserve"> перевищували 136 балів).</w:t>
      </w:r>
    </w:p>
    <w:p w:rsidR="00CE0F75" w:rsidRDefault="00CE0F75" w:rsidP="00CE0F75">
      <w:pPr>
        <w:tabs>
          <w:tab w:val="num" w:pos="330"/>
        </w:tabs>
        <w:spacing w:after="0" w:line="360" w:lineRule="auto"/>
        <w:ind w:firstLine="709"/>
        <w:jc w:val="both"/>
        <w:rPr>
          <w:iCs/>
          <w:szCs w:val="28"/>
        </w:rPr>
      </w:pPr>
      <w:r>
        <w:rPr>
          <w:iCs/>
          <w:szCs w:val="28"/>
        </w:rPr>
        <w:t xml:space="preserve">З урахуванням того факту, що до ПАТ увійшли комбінації АСК з тикагрелором або клопідогрелем, ми дослідили розвиток кардіоваскулярних подій у хворих з ожирінням через півроку після перенесеного ГКС з елевацією сегмента </w:t>
      </w:r>
      <w:r>
        <w:rPr>
          <w:iCs/>
          <w:szCs w:val="28"/>
          <w:lang w:val="en-US"/>
        </w:rPr>
        <w:t>ST</w:t>
      </w:r>
      <w:r>
        <w:rPr>
          <w:iCs/>
          <w:szCs w:val="28"/>
        </w:rPr>
        <w:t>. У групі хворих, які отримували ПАТ із залученням АСК та тикагрелору в 11 осіб зафіксовано повторний ІМ та/або НС, що складає 37,56%. У той час, коли в групі хворих, що отримували ПАТ у комбінації АСК з клопідогрелем, повторні серцево-судинні катастрофи виявлено у 17 осіб, що складає 22,8%. Тобто у групі хворих, які отримували лікування з використанням АСК з тикагрелором у складі ПАТ спостерігається нижчій рівень розвитку повторних коронарних подій, ніж у групі пацієнтів, що отримували АСК з клопідогрелем.</w:t>
      </w:r>
    </w:p>
    <w:p w:rsidR="00CE0F75" w:rsidRDefault="00CE0F75" w:rsidP="00CE0F75">
      <w:pPr>
        <w:tabs>
          <w:tab w:val="num" w:pos="330"/>
        </w:tabs>
        <w:spacing w:after="0" w:line="360" w:lineRule="auto"/>
        <w:ind w:firstLine="709"/>
        <w:jc w:val="both"/>
        <w:rPr>
          <w:iCs/>
          <w:szCs w:val="28"/>
        </w:rPr>
      </w:pPr>
      <w:r>
        <w:rPr>
          <w:iCs/>
          <w:szCs w:val="28"/>
        </w:rPr>
        <w:t xml:space="preserve">Таким чином хворим з ожирінням після перенесеного ІМ, що увійшли до групи високого ризику за шкалою </w:t>
      </w:r>
      <w:r>
        <w:rPr>
          <w:iCs/>
          <w:szCs w:val="28"/>
          <w:lang w:val="en-US"/>
        </w:rPr>
        <w:t>GRACE</w:t>
      </w:r>
      <w:r>
        <w:rPr>
          <w:iCs/>
          <w:szCs w:val="28"/>
        </w:rPr>
        <w:t xml:space="preserve">, доцільно проводити лікування з залученням комбінації АСК та тикагрелору внаслідок більш виразного зменшення </w:t>
      </w:r>
      <w:r>
        <w:rPr>
          <w:iCs/>
          <w:szCs w:val="28"/>
        </w:rPr>
        <w:lastRenderedPageBreak/>
        <w:t>ризику виникнення повторних серцево-судинних катастроф, порівняно з комбінацією АСК та клопідогрелю.</w:t>
      </w:r>
    </w:p>
    <w:p w:rsidR="00CE0F75" w:rsidRDefault="00CE0F75" w:rsidP="00CE0F75">
      <w:pPr>
        <w:tabs>
          <w:tab w:val="num" w:pos="330"/>
        </w:tabs>
        <w:spacing w:after="0" w:line="360" w:lineRule="auto"/>
        <w:ind w:firstLine="709"/>
        <w:jc w:val="both"/>
        <w:rPr>
          <w:iCs/>
          <w:szCs w:val="28"/>
        </w:rPr>
      </w:pPr>
      <w:r>
        <w:rPr>
          <w:iCs/>
          <w:szCs w:val="28"/>
        </w:rPr>
        <w:t xml:space="preserve">Також до дизайну нашого дослідження входила оцінка динаміки ЯЖ. </w:t>
      </w:r>
    </w:p>
    <w:p w:rsidR="00CE0F75" w:rsidRPr="00F407BB" w:rsidRDefault="00CE0F75" w:rsidP="00CE0F75">
      <w:pPr>
        <w:tabs>
          <w:tab w:val="num" w:pos="330"/>
        </w:tabs>
        <w:spacing w:after="0" w:line="360" w:lineRule="auto"/>
        <w:ind w:firstLine="709"/>
        <w:jc w:val="right"/>
        <w:rPr>
          <w:i/>
          <w:iCs/>
          <w:szCs w:val="28"/>
        </w:rPr>
      </w:pPr>
      <w:r w:rsidRPr="006B2148">
        <w:rPr>
          <w:i/>
          <w:iCs/>
          <w:szCs w:val="28"/>
        </w:rPr>
        <w:t>Таблиця 6.</w:t>
      </w:r>
      <w:r w:rsidR="00610BD1" w:rsidRPr="00F407BB">
        <w:rPr>
          <w:i/>
          <w:iCs/>
          <w:szCs w:val="28"/>
        </w:rPr>
        <w:t>5</w:t>
      </w:r>
    </w:p>
    <w:p w:rsidR="00CE0F75" w:rsidRPr="000E1825" w:rsidRDefault="00CE0F75" w:rsidP="00CE0F75">
      <w:pPr>
        <w:autoSpaceDE w:val="0"/>
        <w:autoSpaceDN w:val="0"/>
        <w:adjustRightInd w:val="0"/>
        <w:jc w:val="center"/>
        <w:rPr>
          <w:szCs w:val="28"/>
        </w:rPr>
      </w:pPr>
      <w:r w:rsidRPr="000E1825">
        <w:rPr>
          <w:szCs w:val="28"/>
        </w:rPr>
        <w:t xml:space="preserve">Рівень якості життя хворих із </w:t>
      </w:r>
      <w:r>
        <w:rPr>
          <w:szCs w:val="28"/>
        </w:rPr>
        <w:t>гострим інфарктом міокарда</w:t>
      </w:r>
      <w:r w:rsidRPr="000E1825">
        <w:rPr>
          <w:szCs w:val="28"/>
        </w:rPr>
        <w:t xml:space="preserve"> </w:t>
      </w:r>
      <w:r>
        <w:rPr>
          <w:szCs w:val="28"/>
        </w:rPr>
        <w:t xml:space="preserve">та </w:t>
      </w:r>
      <w:r w:rsidRPr="000E1825">
        <w:rPr>
          <w:szCs w:val="28"/>
        </w:rPr>
        <w:t>ожиріння</w:t>
      </w:r>
      <w:r>
        <w:rPr>
          <w:szCs w:val="28"/>
        </w:rPr>
        <w:t>м в залежності від обраного метода реперфузії міокарда</w:t>
      </w:r>
    </w:p>
    <w:tbl>
      <w:tblPr>
        <w:tblStyle w:val="1"/>
        <w:tblW w:w="10314" w:type="dxa"/>
        <w:tblLayout w:type="fixed"/>
        <w:tblLook w:val="04A0" w:firstRow="1" w:lastRow="0" w:firstColumn="1" w:lastColumn="0" w:noHBand="0" w:noVBand="1"/>
      </w:tblPr>
      <w:tblGrid>
        <w:gridCol w:w="2660"/>
        <w:gridCol w:w="1559"/>
        <w:gridCol w:w="2126"/>
        <w:gridCol w:w="2127"/>
        <w:gridCol w:w="1842"/>
      </w:tblGrid>
      <w:tr w:rsidR="00CE0F75" w:rsidRPr="000E1825" w:rsidTr="003360AA">
        <w:trPr>
          <w:trHeight w:val="113"/>
        </w:trPr>
        <w:tc>
          <w:tcPr>
            <w:tcW w:w="2660" w:type="dxa"/>
            <w:vMerge w:val="restart"/>
          </w:tcPr>
          <w:p w:rsidR="00CE0F75" w:rsidRPr="000E1825" w:rsidRDefault="00CE0F75" w:rsidP="001576A9">
            <w:pPr>
              <w:autoSpaceDE w:val="0"/>
              <w:autoSpaceDN w:val="0"/>
              <w:adjustRightInd w:val="0"/>
              <w:jc w:val="both"/>
              <w:rPr>
                <w:rFonts w:ascii="Times New Roman,Bold" w:hAnsi="Times New Roman,Bold" w:cs="Times New Roman,Bold"/>
                <w:b/>
                <w:bCs/>
              </w:rPr>
            </w:pPr>
          </w:p>
          <w:p w:rsidR="00CE0F75" w:rsidRPr="000E1825" w:rsidRDefault="00CE0F75" w:rsidP="001576A9">
            <w:pPr>
              <w:autoSpaceDE w:val="0"/>
              <w:autoSpaceDN w:val="0"/>
              <w:adjustRightInd w:val="0"/>
              <w:ind w:firstLine="0"/>
              <w:jc w:val="both"/>
            </w:pPr>
            <w:r w:rsidRPr="000E1825">
              <w:rPr>
                <w:rFonts w:ascii="Times New Roman,Bold" w:hAnsi="Times New Roman,Bold" w:cs="Times New Roman,Bold"/>
                <w:bCs/>
              </w:rPr>
              <w:t>Параметри шкали SF</w:t>
            </w:r>
            <w:r w:rsidRPr="000E1825">
              <w:rPr>
                <w:bCs/>
              </w:rPr>
              <w:t>-36</w:t>
            </w:r>
          </w:p>
        </w:tc>
        <w:tc>
          <w:tcPr>
            <w:tcW w:w="5812" w:type="dxa"/>
            <w:gridSpan w:val="3"/>
          </w:tcPr>
          <w:p w:rsidR="00CE0F75" w:rsidRPr="000E1825" w:rsidRDefault="00CE0F75" w:rsidP="001576A9">
            <w:pPr>
              <w:autoSpaceDE w:val="0"/>
              <w:autoSpaceDN w:val="0"/>
              <w:adjustRightInd w:val="0"/>
              <w:ind w:firstLine="0"/>
              <w:jc w:val="center"/>
            </w:pPr>
            <w:r>
              <w:t xml:space="preserve">Хворі на </w:t>
            </w:r>
            <w:r w:rsidRPr="000E1825">
              <w:t xml:space="preserve">ГІМ + ожиріння (n = </w:t>
            </w:r>
            <w:r>
              <w:t>7</w:t>
            </w:r>
            <w:r w:rsidRPr="000E1825">
              <w:t>5)</w:t>
            </w:r>
          </w:p>
        </w:tc>
        <w:tc>
          <w:tcPr>
            <w:tcW w:w="1842" w:type="dxa"/>
            <w:vMerge w:val="restart"/>
          </w:tcPr>
          <w:p w:rsidR="00CE0F75" w:rsidRPr="000E1825" w:rsidRDefault="00CE0F75" w:rsidP="001576A9">
            <w:pPr>
              <w:autoSpaceDE w:val="0"/>
              <w:autoSpaceDN w:val="0"/>
              <w:adjustRightInd w:val="0"/>
              <w:jc w:val="both"/>
              <w:rPr>
                <w:b/>
              </w:rPr>
            </w:pPr>
          </w:p>
          <w:p w:rsidR="00CE0F75" w:rsidRDefault="00CE0F75" w:rsidP="001576A9">
            <w:pPr>
              <w:autoSpaceDE w:val="0"/>
              <w:autoSpaceDN w:val="0"/>
              <w:adjustRightInd w:val="0"/>
              <w:ind w:firstLine="0"/>
              <w:jc w:val="center"/>
              <w:rPr>
                <w:b/>
              </w:rPr>
            </w:pPr>
          </w:p>
          <w:p w:rsidR="00CE0F75" w:rsidRDefault="00CE0F75" w:rsidP="001576A9">
            <w:pPr>
              <w:autoSpaceDE w:val="0"/>
              <w:autoSpaceDN w:val="0"/>
              <w:adjustRightInd w:val="0"/>
              <w:ind w:firstLine="0"/>
              <w:jc w:val="center"/>
              <w:rPr>
                <w:b/>
              </w:rPr>
            </w:pPr>
          </w:p>
          <w:p w:rsidR="00CE0F75" w:rsidRPr="000E1825" w:rsidRDefault="00CE0F75" w:rsidP="001576A9">
            <w:pPr>
              <w:autoSpaceDE w:val="0"/>
              <w:autoSpaceDN w:val="0"/>
              <w:adjustRightInd w:val="0"/>
              <w:ind w:firstLine="0"/>
              <w:jc w:val="center"/>
              <w:rPr>
                <w:b/>
              </w:rPr>
            </w:pPr>
            <w:r w:rsidRPr="000E1825">
              <w:rPr>
                <w:b/>
              </w:rPr>
              <w:t>p</w:t>
            </w:r>
          </w:p>
        </w:tc>
      </w:tr>
      <w:tr w:rsidR="00CE0F75" w:rsidRPr="000E1825" w:rsidTr="003360AA">
        <w:trPr>
          <w:trHeight w:val="667"/>
        </w:trPr>
        <w:tc>
          <w:tcPr>
            <w:tcW w:w="2660" w:type="dxa"/>
            <w:vMerge/>
          </w:tcPr>
          <w:p w:rsidR="00CE0F75" w:rsidRPr="000E1825" w:rsidRDefault="00CE0F75" w:rsidP="001576A9">
            <w:pPr>
              <w:autoSpaceDE w:val="0"/>
              <w:autoSpaceDN w:val="0"/>
              <w:adjustRightInd w:val="0"/>
              <w:jc w:val="both"/>
              <w:rPr>
                <w:rFonts w:ascii="Times New Roman,Bold" w:hAnsi="Times New Roman,Bold" w:cs="Times New Roman,Bold"/>
                <w:b/>
                <w:bCs/>
              </w:rPr>
            </w:pPr>
          </w:p>
        </w:tc>
        <w:tc>
          <w:tcPr>
            <w:tcW w:w="1559" w:type="dxa"/>
            <w:vMerge w:val="restart"/>
          </w:tcPr>
          <w:p w:rsidR="00CE0F75" w:rsidRDefault="00CE0F75" w:rsidP="001576A9">
            <w:pPr>
              <w:autoSpaceDE w:val="0"/>
              <w:autoSpaceDN w:val="0"/>
              <w:adjustRightInd w:val="0"/>
              <w:ind w:firstLine="0"/>
            </w:pPr>
            <w:r>
              <w:t>до лікування</w:t>
            </w:r>
          </w:p>
        </w:tc>
        <w:tc>
          <w:tcPr>
            <w:tcW w:w="4253" w:type="dxa"/>
            <w:gridSpan w:val="2"/>
          </w:tcPr>
          <w:p w:rsidR="00CE0F75" w:rsidRPr="000E1825" w:rsidRDefault="00CE0F75" w:rsidP="001576A9">
            <w:pPr>
              <w:autoSpaceDE w:val="0"/>
              <w:autoSpaceDN w:val="0"/>
              <w:adjustRightInd w:val="0"/>
              <w:ind w:firstLine="0"/>
              <w:jc w:val="center"/>
            </w:pPr>
            <w:r>
              <w:t>після лікування</w:t>
            </w:r>
          </w:p>
        </w:tc>
        <w:tc>
          <w:tcPr>
            <w:tcW w:w="1842" w:type="dxa"/>
            <w:vMerge/>
          </w:tcPr>
          <w:p w:rsidR="00CE0F75" w:rsidRPr="000E1825" w:rsidRDefault="00CE0F75" w:rsidP="001576A9">
            <w:pPr>
              <w:autoSpaceDE w:val="0"/>
              <w:autoSpaceDN w:val="0"/>
              <w:adjustRightInd w:val="0"/>
              <w:jc w:val="both"/>
            </w:pPr>
          </w:p>
        </w:tc>
      </w:tr>
      <w:tr w:rsidR="00CE0F75" w:rsidRPr="000E1825" w:rsidTr="003360AA">
        <w:trPr>
          <w:trHeight w:val="925"/>
        </w:trPr>
        <w:tc>
          <w:tcPr>
            <w:tcW w:w="2660" w:type="dxa"/>
            <w:vMerge/>
          </w:tcPr>
          <w:p w:rsidR="00CE0F75" w:rsidRPr="000E1825" w:rsidRDefault="00CE0F75" w:rsidP="001576A9">
            <w:pPr>
              <w:autoSpaceDE w:val="0"/>
              <w:autoSpaceDN w:val="0"/>
              <w:adjustRightInd w:val="0"/>
              <w:jc w:val="both"/>
              <w:rPr>
                <w:rFonts w:ascii="Times New Roman,Bold" w:hAnsi="Times New Roman,Bold" w:cs="Times New Roman,Bold"/>
                <w:b/>
                <w:bCs/>
              </w:rPr>
            </w:pPr>
          </w:p>
        </w:tc>
        <w:tc>
          <w:tcPr>
            <w:tcW w:w="1559" w:type="dxa"/>
            <w:vMerge/>
          </w:tcPr>
          <w:p w:rsidR="00CE0F75" w:rsidRDefault="00CE0F75" w:rsidP="001576A9">
            <w:pPr>
              <w:autoSpaceDE w:val="0"/>
              <w:autoSpaceDN w:val="0"/>
              <w:adjustRightInd w:val="0"/>
              <w:jc w:val="center"/>
            </w:pPr>
          </w:p>
        </w:tc>
        <w:tc>
          <w:tcPr>
            <w:tcW w:w="2126" w:type="dxa"/>
          </w:tcPr>
          <w:p w:rsidR="00CE0F75" w:rsidRDefault="00CE0F75" w:rsidP="001576A9">
            <w:pPr>
              <w:autoSpaceDE w:val="0"/>
              <w:autoSpaceDN w:val="0"/>
              <w:adjustRightInd w:val="0"/>
              <w:ind w:firstLine="0"/>
            </w:pPr>
            <w:r>
              <w:t>після ПКВ</w:t>
            </w:r>
          </w:p>
          <w:p w:rsidR="00CE0F75" w:rsidRDefault="00CE0F75" w:rsidP="001576A9">
            <w:pPr>
              <w:autoSpaceDE w:val="0"/>
              <w:autoSpaceDN w:val="0"/>
              <w:adjustRightInd w:val="0"/>
              <w:ind w:firstLine="0"/>
            </w:pPr>
            <w:r>
              <w:t>(</w:t>
            </w:r>
            <w:r w:rsidRPr="000E1825">
              <w:t xml:space="preserve">n = </w:t>
            </w:r>
            <w:r>
              <w:t>31)</w:t>
            </w:r>
          </w:p>
        </w:tc>
        <w:tc>
          <w:tcPr>
            <w:tcW w:w="2127" w:type="dxa"/>
          </w:tcPr>
          <w:p w:rsidR="00CE0F75" w:rsidRDefault="00CE0F75" w:rsidP="003360AA">
            <w:pPr>
              <w:autoSpaceDE w:val="0"/>
              <w:autoSpaceDN w:val="0"/>
              <w:adjustRightInd w:val="0"/>
              <w:ind w:firstLine="0"/>
            </w:pPr>
            <w:r>
              <w:t xml:space="preserve">після </w:t>
            </w:r>
            <w:r w:rsidR="003360AA">
              <w:rPr>
                <w:lang w:val="ru-RU"/>
              </w:rPr>
              <w:t>тромб</w:t>
            </w:r>
            <w:r>
              <w:t xml:space="preserve">олітичної терапії </w:t>
            </w:r>
            <w:r w:rsidRPr="000E1825">
              <w:t xml:space="preserve">(n = </w:t>
            </w:r>
            <w:r>
              <w:t>4</w:t>
            </w:r>
            <w:r w:rsidRPr="000E1825">
              <w:t>4)</w:t>
            </w:r>
          </w:p>
        </w:tc>
        <w:tc>
          <w:tcPr>
            <w:tcW w:w="1842" w:type="dxa"/>
            <w:vMerge/>
          </w:tcPr>
          <w:p w:rsidR="00CE0F75" w:rsidRPr="000E1825" w:rsidRDefault="00CE0F75" w:rsidP="001576A9">
            <w:pPr>
              <w:autoSpaceDE w:val="0"/>
              <w:autoSpaceDN w:val="0"/>
              <w:adjustRightInd w:val="0"/>
              <w:jc w:val="both"/>
            </w:pPr>
          </w:p>
        </w:tc>
      </w:tr>
      <w:tr w:rsidR="00CE0F75" w:rsidRPr="000E1825" w:rsidTr="003360AA">
        <w:trPr>
          <w:trHeight w:val="389"/>
        </w:trPr>
        <w:tc>
          <w:tcPr>
            <w:tcW w:w="2660" w:type="dxa"/>
            <w:vMerge/>
          </w:tcPr>
          <w:p w:rsidR="00CE0F75" w:rsidRPr="000E1825" w:rsidRDefault="00CE0F75" w:rsidP="001576A9">
            <w:pPr>
              <w:autoSpaceDE w:val="0"/>
              <w:autoSpaceDN w:val="0"/>
              <w:adjustRightInd w:val="0"/>
              <w:jc w:val="both"/>
              <w:rPr>
                <w:rFonts w:ascii="Times New Roman,Bold" w:hAnsi="Times New Roman,Bold" w:cs="Times New Roman,Bold"/>
                <w:b/>
                <w:bCs/>
              </w:rPr>
            </w:pPr>
          </w:p>
        </w:tc>
        <w:tc>
          <w:tcPr>
            <w:tcW w:w="1559" w:type="dxa"/>
          </w:tcPr>
          <w:p w:rsidR="00CE0F75" w:rsidRDefault="00CE0F75" w:rsidP="001576A9">
            <w:pPr>
              <w:autoSpaceDE w:val="0"/>
              <w:autoSpaceDN w:val="0"/>
              <w:adjustRightInd w:val="0"/>
            </w:pPr>
            <w:r>
              <w:t>1</w:t>
            </w:r>
          </w:p>
        </w:tc>
        <w:tc>
          <w:tcPr>
            <w:tcW w:w="2126" w:type="dxa"/>
          </w:tcPr>
          <w:p w:rsidR="00CE0F75" w:rsidRDefault="00CE0F75" w:rsidP="001576A9">
            <w:pPr>
              <w:autoSpaceDE w:val="0"/>
              <w:autoSpaceDN w:val="0"/>
              <w:adjustRightInd w:val="0"/>
            </w:pPr>
            <w:r>
              <w:t>2</w:t>
            </w:r>
          </w:p>
        </w:tc>
        <w:tc>
          <w:tcPr>
            <w:tcW w:w="2127" w:type="dxa"/>
          </w:tcPr>
          <w:p w:rsidR="00CE0F75" w:rsidRDefault="00CE0F75" w:rsidP="001576A9">
            <w:pPr>
              <w:autoSpaceDE w:val="0"/>
              <w:autoSpaceDN w:val="0"/>
              <w:adjustRightInd w:val="0"/>
              <w:ind w:firstLine="0"/>
              <w:jc w:val="center"/>
            </w:pPr>
            <w:r>
              <w:t>3</w:t>
            </w:r>
          </w:p>
        </w:tc>
        <w:tc>
          <w:tcPr>
            <w:tcW w:w="1842" w:type="dxa"/>
            <w:vMerge/>
          </w:tcPr>
          <w:p w:rsidR="00CE0F75" w:rsidRPr="000E1825" w:rsidRDefault="00CE0F75" w:rsidP="001576A9">
            <w:pPr>
              <w:autoSpaceDE w:val="0"/>
              <w:autoSpaceDN w:val="0"/>
              <w:adjustRightInd w:val="0"/>
              <w:jc w:val="both"/>
            </w:pP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Фізичне функціонування (PF)</w:t>
            </w:r>
          </w:p>
        </w:tc>
        <w:tc>
          <w:tcPr>
            <w:tcW w:w="1559" w:type="dxa"/>
          </w:tcPr>
          <w:p w:rsidR="00CE0F75" w:rsidRPr="000E1825" w:rsidRDefault="00CE0F75" w:rsidP="001576A9">
            <w:pPr>
              <w:autoSpaceDE w:val="0"/>
              <w:autoSpaceDN w:val="0"/>
              <w:adjustRightInd w:val="0"/>
              <w:ind w:firstLine="0"/>
            </w:pPr>
            <w:r w:rsidRPr="000E1825">
              <w:t>23,46 ± 3,9</w:t>
            </w:r>
          </w:p>
        </w:tc>
        <w:tc>
          <w:tcPr>
            <w:tcW w:w="2126" w:type="dxa"/>
          </w:tcPr>
          <w:p w:rsidR="00CE0F75" w:rsidRPr="000E1825" w:rsidRDefault="00CE0F75" w:rsidP="001576A9">
            <w:pPr>
              <w:autoSpaceDE w:val="0"/>
              <w:autoSpaceDN w:val="0"/>
              <w:adjustRightInd w:val="0"/>
              <w:ind w:firstLine="0"/>
              <w:jc w:val="center"/>
            </w:pPr>
            <w:r>
              <w:t>48,63</w:t>
            </w:r>
            <w:r w:rsidRPr="000E1825">
              <w:t xml:space="preserve"> ± 3,</w:t>
            </w:r>
            <w:r>
              <w:t>21</w:t>
            </w:r>
          </w:p>
        </w:tc>
        <w:tc>
          <w:tcPr>
            <w:tcW w:w="2127" w:type="dxa"/>
          </w:tcPr>
          <w:p w:rsidR="00CE0F75" w:rsidRPr="000E1825" w:rsidRDefault="00CE0F75" w:rsidP="001576A9">
            <w:pPr>
              <w:autoSpaceDE w:val="0"/>
              <w:autoSpaceDN w:val="0"/>
              <w:adjustRightInd w:val="0"/>
              <w:ind w:firstLine="0"/>
              <w:jc w:val="center"/>
            </w:pPr>
            <w:r>
              <w:t>39,17</w:t>
            </w:r>
            <w:r w:rsidRPr="000E1825">
              <w:t xml:space="preserve"> ± 2,58</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0,05</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0,05</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Фізично-рольове функціонування (RР)</w:t>
            </w:r>
          </w:p>
        </w:tc>
        <w:tc>
          <w:tcPr>
            <w:tcW w:w="1559" w:type="dxa"/>
          </w:tcPr>
          <w:p w:rsidR="00CE0F75" w:rsidRPr="000E1825" w:rsidRDefault="00CE0F75" w:rsidP="001576A9">
            <w:pPr>
              <w:autoSpaceDE w:val="0"/>
              <w:autoSpaceDN w:val="0"/>
              <w:adjustRightInd w:val="0"/>
              <w:ind w:firstLine="0"/>
            </w:pPr>
            <w:r w:rsidRPr="000E1825">
              <w:t>16,35 ± 5,54</w:t>
            </w:r>
          </w:p>
        </w:tc>
        <w:tc>
          <w:tcPr>
            <w:tcW w:w="2126" w:type="dxa"/>
          </w:tcPr>
          <w:p w:rsidR="00CE0F75" w:rsidRPr="000E1825" w:rsidRDefault="00CE0F75" w:rsidP="001576A9">
            <w:pPr>
              <w:autoSpaceDE w:val="0"/>
              <w:autoSpaceDN w:val="0"/>
              <w:adjustRightInd w:val="0"/>
              <w:ind w:firstLine="0"/>
              <w:jc w:val="center"/>
            </w:pPr>
            <w:r>
              <w:t xml:space="preserve">78,43 </w:t>
            </w:r>
            <w:r w:rsidRPr="000E1825">
              <w:t xml:space="preserve">± </w:t>
            </w:r>
            <w:r>
              <w:t>4</w:t>
            </w:r>
            <w:r w:rsidRPr="000E1825">
              <w:t>,5</w:t>
            </w:r>
            <w:r>
              <w:t>3</w:t>
            </w:r>
          </w:p>
        </w:tc>
        <w:tc>
          <w:tcPr>
            <w:tcW w:w="2127" w:type="dxa"/>
          </w:tcPr>
          <w:p w:rsidR="00CE0F75" w:rsidRPr="000E1825" w:rsidRDefault="00CE0F75" w:rsidP="001576A9">
            <w:pPr>
              <w:autoSpaceDE w:val="0"/>
              <w:autoSpaceDN w:val="0"/>
              <w:adjustRightInd w:val="0"/>
              <w:ind w:firstLine="0"/>
              <w:jc w:val="center"/>
            </w:pPr>
            <w:r>
              <w:t>44</w:t>
            </w:r>
            <w:r w:rsidRPr="000E1825">
              <w:t>,</w:t>
            </w:r>
            <w:r>
              <w:t>36</w:t>
            </w:r>
            <w:r w:rsidRPr="000E1825">
              <w:t xml:space="preserve"> ± 3,</w:t>
            </w:r>
            <w:r>
              <w:t>78</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w:t>
            </w:r>
            <w:r>
              <w:rPr>
                <w:lang w:eastAsia="uk-UA"/>
              </w:rPr>
              <w:t>1</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w:t>
            </w:r>
            <w:r>
              <w:rPr>
                <w:lang w:eastAsia="uk-UA"/>
              </w:rPr>
              <w:t>1</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w:t>
            </w:r>
            <w:r>
              <w:rPr>
                <w:lang w:eastAsia="uk-UA"/>
              </w:rPr>
              <w:t>1</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Інтенсивність болю (ВР)</w:t>
            </w:r>
          </w:p>
        </w:tc>
        <w:tc>
          <w:tcPr>
            <w:tcW w:w="1559" w:type="dxa"/>
          </w:tcPr>
          <w:p w:rsidR="00CE0F75" w:rsidRPr="000E1825" w:rsidRDefault="00CE0F75" w:rsidP="001576A9">
            <w:pPr>
              <w:autoSpaceDE w:val="0"/>
              <w:autoSpaceDN w:val="0"/>
              <w:adjustRightInd w:val="0"/>
              <w:ind w:firstLine="0"/>
            </w:pPr>
            <w:r w:rsidRPr="000E1825">
              <w:t>13,31 ± 2,11</w:t>
            </w:r>
          </w:p>
        </w:tc>
        <w:tc>
          <w:tcPr>
            <w:tcW w:w="2126" w:type="dxa"/>
          </w:tcPr>
          <w:p w:rsidR="00CE0F75" w:rsidRPr="000E1825" w:rsidRDefault="00CE0F75" w:rsidP="001576A9">
            <w:pPr>
              <w:autoSpaceDE w:val="0"/>
              <w:autoSpaceDN w:val="0"/>
              <w:adjustRightInd w:val="0"/>
              <w:ind w:firstLine="0"/>
              <w:jc w:val="center"/>
            </w:pPr>
            <w:r>
              <w:t>11,2</w:t>
            </w:r>
            <w:r w:rsidRPr="000E1825">
              <w:t xml:space="preserve"> ± </w:t>
            </w:r>
            <w:r>
              <w:t>1,06</w:t>
            </w:r>
          </w:p>
        </w:tc>
        <w:tc>
          <w:tcPr>
            <w:tcW w:w="2127" w:type="dxa"/>
          </w:tcPr>
          <w:p w:rsidR="00CE0F75" w:rsidRPr="000E1825" w:rsidRDefault="00CE0F75" w:rsidP="001576A9">
            <w:pPr>
              <w:autoSpaceDE w:val="0"/>
              <w:autoSpaceDN w:val="0"/>
              <w:adjustRightInd w:val="0"/>
              <w:ind w:firstLine="0"/>
              <w:jc w:val="center"/>
            </w:pPr>
            <w:r>
              <w:t>9,7</w:t>
            </w:r>
            <w:r w:rsidRPr="000E1825">
              <w:t xml:space="preserve"> ± </w:t>
            </w:r>
            <w:r>
              <w:t>0,88</w:t>
            </w:r>
          </w:p>
        </w:tc>
        <w:tc>
          <w:tcPr>
            <w:tcW w:w="1842" w:type="dxa"/>
          </w:tcPr>
          <w:p w:rsidR="00CE0F75" w:rsidRPr="000E1825" w:rsidRDefault="00CE0F75" w:rsidP="001576A9">
            <w:pPr>
              <w:autoSpaceDE w:val="0"/>
              <w:autoSpaceDN w:val="0"/>
              <w:adjustRightInd w:val="0"/>
              <w:ind w:firstLine="0"/>
              <w:jc w:val="both"/>
            </w:pPr>
            <w:r>
              <w:rPr>
                <w:lang w:val="en-US" w:eastAsia="uk-UA"/>
              </w:rPr>
              <w:t>&gt;</w:t>
            </w:r>
            <w:r w:rsidRPr="000E1825">
              <w:t>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Загальний стан здоров'я (GH)</w:t>
            </w:r>
          </w:p>
        </w:tc>
        <w:tc>
          <w:tcPr>
            <w:tcW w:w="1559" w:type="dxa"/>
          </w:tcPr>
          <w:p w:rsidR="00CE0F75" w:rsidRPr="000E1825" w:rsidRDefault="00CE0F75" w:rsidP="001576A9">
            <w:pPr>
              <w:autoSpaceDE w:val="0"/>
              <w:autoSpaceDN w:val="0"/>
              <w:adjustRightInd w:val="0"/>
              <w:ind w:firstLine="0"/>
            </w:pPr>
            <w:r w:rsidRPr="000E1825">
              <w:t>28,96 ± 4,68</w:t>
            </w:r>
          </w:p>
        </w:tc>
        <w:tc>
          <w:tcPr>
            <w:tcW w:w="2126" w:type="dxa"/>
          </w:tcPr>
          <w:p w:rsidR="00CE0F75" w:rsidRPr="000E1825" w:rsidRDefault="00CE0F75" w:rsidP="001576A9">
            <w:pPr>
              <w:autoSpaceDE w:val="0"/>
              <w:autoSpaceDN w:val="0"/>
              <w:adjustRightInd w:val="0"/>
              <w:ind w:firstLine="0"/>
              <w:jc w:val="center"/>
            </w:pPr>
            <w:r>
              <w:t>64,27</w:t>
            </w:r>
            <w:r w:rsidRPr="000E1825">
              <w:t xml:space="preserve"> ± 4,</w:t>
            </w:r>
            <w:r>
              <w:t>39</w:t>
            </w:r>
          </w:p>
        </w:tc>
        <w:tc>
          <w:tcPr>
            <w:tcW w:w="2127" w:type="dxa"/>
          </w:tcPr>
          <w:p w:rsidR="00CE0F75" w:rsidRPr="000E1825" w:rsidRDefault="00CE0F75" w:rsidP="001576A9">
            <w:pPr>
              <w:autoSpaceDE w:val="0"/>
              <w:autoSpaceDN w:val="0"/>
              <w:adjustRightInd w:val="0"/>
              <w:ind w:firstLine="0"/>
              <w:jc w:val="center"/>
            </w:pPr>
            <w:r>
              <w:t>53</w:t>
            </w:r>
            <w:r w:rsidRPr="000E1825">
              <w:t>,</w:t>
            </w:r>
            <w:r>
              <w:t>75</w:t>
            </w:r>
            <w:r w:rsidRPr="000E1825">
              <w:t xml:space="preserve"> ± 2,</w:t>
            </w:r>
            <w:r>
              <w:t>26</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w:t>
            </w:r>
            <w:r>
              <w:rPr>
                <w:lang w:eastAsia="uk-UA"/>
              </w:rPr>
              <w:t>1</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w:t>
            </w:r>
            <w:r>
              <w:rPr>
                <w:lang w:eastAsia="uk-UA"/>
              </w:rPr>
              <w:t>1</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Життєва активність (VT)</w:t>
            </w:r>
          </w:p>
        </w:tc>
        <w:tc>
          <w:tcPr>
            <w:tcW w:w="1559" w:type="dxa"/>
          </w:tcPr>
          <w:p w:rsidR="00CE0F75" w:rsidRPr="000E1825" w:rsidRDefault="00CE0F75" w:rsidP="001576A9">
            <w:pPr>
              <w:autoSpaceDE w:val="0"/>
              <w:autoSpaceDN w:val="0"/>
              <w:adjustRightInd w:val="0"/>
              <w:ind w:firstLine="0"/>
            </w:pPr>
            <w:r w:rsidRPr="000E1825">
              <w:t>24,23 ± 3,99</w:t>
            </w:r>
          </w:p>
        </w:tc>
        <w:tc>
          <w:tcPr>
            <w:tcW w:w="2126" w:type="dxa"/>
          </w:tcPr>
          <w:p w:rsidR="00CE0F75" w:rsidRPr="000E1825" w:rsidRDefault="00CE0F75" w:rsidP="001576A9">
            <w:pPr>
              <w:autoSpaceDE w:val="0"/>
              <w:autoSpaceDN w:val="0"/>
              <w:adjustRightInd w:val="0"/>
              <w:ind w:firstLine="0"/>
              <w:jc w:val="center"/>
            </w:pPr>
            <w:r>
              <w:t>7</w:t>
            </w:r>
            <w:r w:rsidRPr="000E1825">
              <w:t>4,2</w:t>
            </w:r>
            <w:r>
              <w:t>6</w:t>
            </w:r>
            <w:r w:rsidRPr="000E1825">
              <w:t xml:space="preserve"> ± 3,</w:t>
            </w:r>
            <w:r>
              <w:t>48</w:t>
            </w:r>
          </w:p>
        </w:tc>
        <w:tc>
          <w:tcPr>
            <w:tcW w:w="2127" w:type="dxa"/>
          </w:tcPr>
          <w:p w:rsidR="00CE0F75" w:rsidRPr="000E1825" w:rsidRDefault="00CE0F75" w:rsidP="001576A9">
            <w:pPr>
              <w:autoSpaceDE w:val="0"/>
              <w:autoSpaceDN w:val="0"/>
              <w:adjustRightInd w:val="0"/>
              <w:ind w:firstLine="0"/>
              <w:jc w:val="center"/>
            </w:pPr>
            <w:r>
              <w:t>63</w:t>
            </w:r>
            <w:r w:rsidRPr="000E1825">
              <w:t>,</w:t>
            </w:r>
            <w:r>
              <w:t>71</w:t>
            </w:r>
            <w:r w:rsidRPr="000E1825">
              <w:t xml:space="preserve"> ± </w:t>
            </w:r>
            <w:r>
              <w:t>2,74</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w:t>
            </w:r>
            <w:r>
              <w:rPr>
                <w:lang w:eastAsia="uk-UA"/>
              </w:rPr>
              <w:t>1</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w:t>
            </w:r>
            <w:r>
              <w:rPr>
                <w:lang w:eastAsia="uk-UA"/>
              </w:rPr>
              <w:t>1</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Соціальне функціонування (SF)</w:t>
            </w:r>
          </w:p>
        </w:tc>
        <w:tc>
          <w:tcPr>
            <w:tcW w:w="1559" w:type="dxa"/>
          </w:tcPr>
          <w:p w:rsidR="00CE0F75" w:rsidRPr="000E1825" w:rsidRDefault="00CE0F75" w:rsidP="001576A9">
            <w:pPr>
              <w:autoSpaceDE w:val="0"/>
              <w:autoSpaceDN w:val="0"/>
              <w:adjustRightInd w:val="0"/>
              <w:ind w:firstLine="0"/>
            </w:pPr>
            <w:r w:rsidRPr="000E1825">
              <w:t>37,98 ± 5,39</w:t>
            </w:r>
          </w:p>
        </w:tc>
        <w:tc>
          <w:tcPr>
            <w:tcW w:w="2126" w:type="dxa"/>
          </w:tcPr>
          <w:p w:rsidR="00CE0F75" w:rsidRPr="000E1825" w:rsidRDefault="00CE0F75" w:rsidP="001576A9">
            <w:pPr>
              <w:autoSpaceDE w:val="0"/>
              <w:autoSpaceDN w:val="0"/>
              <w:adjustRightInd w:val="0"/>
              <w:ind w:firstLine="0"/>
              <w:jc w:val="center"/>
            </w:pPr>
            <w:r>
              <w:t>68</w:t>
            </w:r>
            <w:r w:rsidRPr="000E1825">
              <w:t>,</w:t>
            </w:r>
            <w:r>
              <w:t>33</w:t>
            </w:r>
            <w:r w:rsidRPr="000E1825">
              <w:t xml:space="preserve"> ± 5,3</w:t>
            </w:r>
            <w:r>
              <w:t>1</w:t>
            </w:r>
          </w:p>
        </w:tc>
        <w:tc>
          <w:tcPr>
            <w:tcW w:w="2127" w:type="dxa"/>
          </w:tcPr>
          <w:p w:rsidR="00CE0F75" w:rsidRPr="000E1825" w:rsidRDefault="00CE0F75" w:rsidP="001576A9">
            <w:pPr>
              <w:autoSpaceDE w:val="0"/>
              <w:autoSpaceDN w:val="0"/>
              <w:adjustRightInd w:val="0"/>
              <w:ind w:firstLine="0"/>
              <w:jc w:val="center"/>
            </w:pPr>
            <w:r>
              <w:t>59</w:t>
            </w:r>
            <w:r w:rsidRPr="000E1825">
              <w:t>,</w:t>
            </w:r>
            <w:r>
              <w:t>1</w:t>
            </w:r>
            <w:r w:rsidRPr="000E1825">
              <w:t>9 ± 3,</w:t>
            </w:r>
            <w:r>
              <w:t>76</w:t>
            </w:r>
          </w:p>
        </w:tc>
        <w:tc>
          <w:tcPr>
            <w:tcW w:w="1842" w:type="dxa"/>
          </w:tcPr>
          <w:p w:rsidR="00CE0F75" w:rsidRPr="0090084F" w:rsidRDefault="00CE0F75" w:rsidP="001576A9">
            <w:pPr>
              <w:autoSpaceDE w:val="0"/>
              <w:autoSpaceDN w:val="0"/>
              <w:adjustRightInd w:val="0"/>
              <w:ind w:firstLine="0"/>
              <w:jc w:val="both"/>
            </w:pPr>
            <w:r w:rsidRPr="0090084F">
              <w:t>р</w:t>
            </w:r>
            <w:r w:rsidRPr="0090084F">
              <w:rPr>
                <w:vertAlign w:val="subscript"/>
              </w:rPr>
              <w:t>1 і 2</w:t>
            </w:r>
            <w:r w:rsidRPr="0090084F">
              <w:t>&lt; 0,0</w:t>
            </w:r>
            <w:r>
              <w:t>1</w:t>
            </w:r>
          </w:p>
          <w:p w:rsidR="00CE0F75" w:rsidRPr="0090084F" w:rsidRDefault="00CE0F75" w:rsidP="001576A9">
            <w:pPr>
              <w:autoSpaceDE w:val="0"/>
              <w:autoSpaceDN w:val="0"/>
              <w:adjustRightInd w:val="0"/>
              <w:ind w:firstLine="0"/>
              <w:jc w:val="both"/>
            </w:pPr>
            <w:r w:rsidRPr="0090084F">
              <w:t>р</w:t>
            </w:r>
            <w:r w:rsidRPr="0090084F">
              <w:rPr>
                <w:vertAlign w:val="subscript"/>
              </w:rPr>
              <w:t>1 і 3</w:t>
            </w:r>
            <w:r w:rsidRPr="0090084F">
              <w:t>&lt; 0,05</w:t>
            </w:r>
          </w:p>
          <w:p w:rsidR="00CE0F75" w:rsidRPr="000E1825" w:rsidRDefault="00CE0F75" w:rsidP="001576A9">
            <w:pPr>
              <w:autoSpaceDE w:val="0"/>
              <w:autoSpaceDN w:val="0"/>
              <w:adjustRightInd w:val="0"/>
              <w:ind w:firstLine="0"/>
              <w:jc w:val="both"/>
            </w:pPr>
            <w:r w:rsidRPr="0090084F">
              <w:t>р</w:t>
            </w:r>
            <w:r w:rsidRPr="0090084F">
              <w:rPr>
                <w:vertAlign w:val="subscript"/>
              </w:rPr>
              <w:t>2 і 3</w:t>
            </w:r>
            <w:r w:rsidRPr="0090084F">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Емоціонально-рольове функціонування (RE)</w:t>
            </w:r>
          </w:p>
        </w:tc>
        <w:tc>
          <w:tcPr>
            <w:tcW w:w="1559" w:type="dxa"/>
          </w:tcPr>
          <w:p w:rsidR="00CE0F75" w:rsidRPr="000E1825" w:rsidRDefault="00CE0F75" w:rsidP="001576A9">
            <w:pPr>
              <w:autoSpaceDE w:val="0"/>
              <w:autoSpaceDN w:val="0"/>
              <w:adjustRightInd w:val="0"/>
              <w:ind w:firstLine="0"/>
            </w:pPr>
            <w:r w:rsidRPr="000E1825">
              <w:t>19,21 ± 4,59</w:t>
            </w:r>
          </w:p>
        </w:tc>
        <w:tc>
          <w:tcPr>
            <w:tcW w:w="2126" w:type="dxa"/>
          </w:tcPr>
          <w:p w:rsidR="00CE0F75" w:rsidRPr="000E1825" w:rsidRDefault="00CE0F75" w:rsidP="001576A9">
            <w:pPr>
              <w:autoSpaceDE w:val="0"/>
              <w:autoSpaceDN w:val="0"/>
              <w:adjustRightInd w:val="0"/>
              <w:ind w:firstLine="0"/>
              <w:jc w:val="center"/>
            </w:pPr>
            <w:r>
              <w:t>75</w:t>
            </w:r>
            <w:r w:rsidRPr="000E1825">
              <w:t>,21 ± 4,</w:t>
            </w:r>
            <w:r>
              <w:t>22</w:t>
            </w:r>
          </w:p>
        </w:tc>
        <w:tc>
          <w:tcPr>
            <w:tcW w:w="2127" w:type="dxa"/>
          </w:tcPr>
          <w:p w:rsidR="00CE0F75" w:rsidRPr="000E1825" w:rsidRDefault="00CE0F75" w:rsidP="001576A9">
            <w:pPr>
              <w:autoSpaceDE w:val="0"/>
              <w:autoSpaceDN w:val="0"/>
              <w:adjustRightInd w:val="0"/>
              <w:ind w:firstLine="0"/>
              <w:jc w:val="center"/>
            </w:pPr>
            <w:r>
              <w:t>6</w:t>
            </w:r>
            <w:r w:rsidRPr="000E1825">
              <w:t>3,</w:t>
            </w:r>
            <w:r>
              <w:t>92</w:t>
            </w:r>
            <w:r w:rsidRPr="000E1825">
              <w:t xml:space="preserve"> ± 6,</w:t>
            </w:r>
            <w:r>
              <w:t>47</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0,05</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0,05</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Ментальне функціонування (MH)</w:t>
            </w:r>
          </w:p>
        </w:tc>
        <w:tc>
          <w:tcPr>
            <w:tcW w:w="1559" w:type="dxa"/>
          </w:tcPr>
          <w:p w:rsidR="00CE0F75" w:rsidRPr="000E1825" w:rsidRDefault="00CE0F75" w:rsidP="001576A9">
            <w:pPr>
              <w:autoSpaceDE w:val="0"/>
              <w:autoSpaceDN w:val="0"/>
              <w:adjustRightInd w:val="0"/>
              <w:ind w:firstLine="0"/>
            </w:pPr>
            <w:r w:rsidRPr="000E1825">
              <w:t>35,08 ± 4,90</w:t>
            </w:r>
          </w:p>
        </w:tc>
        <w:tc>
          <w:tcPr>
            <w:tcW w:w="2126" w:type="dxa"/>
          </w:tcPr>
          <w:p w:rsidR="00CE0F75" w:rsidRPr="000E1825" w:rsidRDefault="00CE0F75" w:rsidP="001576A9">
            <w:pPr>
              <w:autoSpaceDE w:val="0"/>
              <w:autoSpaceDN w:val="0"/>
              <w:adjustRightInd w:val="0"/>
              <w:ind w:firstLine="0"/>
              <w:jc w:val="center"/>
            </w:pPr>
            <w:r>
              <w:t>77</w:t>
            </w:r>
            <w:r w:rsidRPr="000E1825">
              <w:t>,</w:t>
            </w:r>
            <w:r>
              <w:t>1</w:t>
            </w:r>
            <w:r w:rsidRPr="000E1825">
              <w:t>8 ± 4,</w:t>
            </w:r>
            <w:r>
              <w:t>17</w:t>
            </w:r>
          </w:p>
        </w:tc>
        <w:tc>
          <w:tcPr>
            <w:tcW w:w="2127" w:type="dxa"/>
          </w:tcPr>
          <w:p w:rsidR="00CE0F75" w:rsidRPr="000E1825" w:rsidRDefault="00CE0F75" w:rsidP="001576A9">
            <w:pPr>
              <w:autoSpaceDE w:val="0"/>
              <w:autoSpaceDN w:val="0"/>
              <w:adjustRightInd w:val="0"/>
              <w:ind w:firstLine="0"/>
              <w:jc w:val="center"/>
            </w:pPr>
            <w:r w:rsidRPr="000E1825">
              <w:t>6</w:t>
            </w:r>
            <w:r>
              <w:t>4</w:t>
            </w:r>
            <w:r w:rsidRPr="000E1825">
              <w:t>,</w:t>
            </w:r>
            <w:r>
              <w:t>1</w:t>
            </w:r>
            <w:r w:rsidRPr="000E1825">
              <w:t>2 ± 3,</w:t>
            </w:r>
            <w:r>
              <w:t>25</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0,05</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0,05</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bl>
    <w:p w:rsidR="00D24350" w:rsidRDefault="00D24350" w:rsidP="00D24350">
      <w:pPr>
        <w:tabs>
          <w:tab w:val="num" w:pos="330"/>
        </w:tabs>
        <w:spacing w:after="0" w:line="360" w:lineRule="auto"/>
        <w:ind w:firstLine="709"/>
        <w:jc w:val="both"/>
        <w:rPr>
          <w:iCs/>
          <w:szCs w:val="28"/>
        </w:rPr>
      </w:pPr>
      <w:r>
        <w:rPr>
          <w:iCs/>
          <w:szCs w:val="28"/>
        </w:rPr>
        <w:lastRenderedPageBreak/>
        <w:t>Дослідження параметрів ЯЖ у хворих з ожирінням після перенесеного ІМ в залежності</w:t>
      </w:r>
      <w:r w:rsidRPr="0090084F">
        <w:rPr>
          <w:iCs/>
          <w:szCs w:val="28"/>
        </w:rPr>
        <w:t xml:space="preserve"> </w:t>
      </w:r>
      <w:r>
        <w:rPr>
          <w:iCs/>
          <w:szCs w:val="28"/>
        </w:rPr>
        <w:t xml:space="preserve">від обраного метода реперфузії міокарда показало наявність змін. У хворих за наявності коморбідного ожиріння після перенесеного ІМ, яким було виконано ПКВ, спостерігалося вірогідне зростання балів за шкалою фізичного функціонування (PF). У хворих, яким було проведено </w:t>
      </w:r>
      <w:r w:rsidR="00301E40">
        <w:rPr>
          <w:iCs/>
          <w:szCs w:val="28"/>
        </w:rPr>
        <w:t>тромб</w:t>
      </w:r>
      <w:r>
        <w:rPr>
          <w:iCs/>
          <w:szCs w:val="28"/>
        </w:rPr>
        <w:t>олітичну терапію, також виявлено покращення фізичного функціонування у вигляді достовірного збільшення балів. Подібні результати отримані за параметром фізично-рольового функціонування (RP), який вірогідно зростав за кількістю балів як в групі після ПКВ, так і після проведеної тромболітичної терапії (p&lt;0,01). У хворих після перенесеного ІМ, яким було проведено ПКВ або терапію фібринолітиками, покращилась життєва активність (</w:t>
      </w:r>
      <w:r>
        <w:rPr>
          <w:iCs/>
          <w:szCs w:val="28"/>
          <w:lang w:val="en-US"/>
        </w:rPr>
        <w:t>VT</w:t>
      </w:r>
      <w:r>
        <w:rPr>
          <w:iCs/>
          <w:szCs w:val="28"/>
        </w:rPr>
        <w:t>)</w:t>
      </w:r>
      <w:r w:rsidRPr="001004DD">
        <w:rPr>
          <w:iCs/>
          <w:szCs w:val="28"/>
        </w:rPr>
        <w:t xml:space="preserve"> (</w:t>
      </w:r>
      <w:r>
        <w:rPr>
          <w:iCs/>
          <w:szCs w:val="28"/>
          <w:lang w:val="en-US"/>
        </w:rPr>
        <w:t>p</w:t>
      </w:r>
      <w:r w:rsidRPr="001004DD">
        <w:rPr>
          <w:iCs/>
          <w:szCs w:val="28"/>
        </w:rPr>
        <w:t>&lt;0,01). Позитивн</w:t>
      </w:r>
      <w:r>
        <w:rPr>
          <w:iCs/>
          <w:szCs w:val="28"/>
        </w:rPr>
        <w:t>і</w:t>
      </w:r>
      <w:r w:rsidRPr="001004DD">
        <w:rPr>
          <w:iCs/>
          <w:szCs w:val="28"/>
        </w:rPr>
        <w:t xml:space="preserve"> зм</w:t>
      </w:r>
      <w:r>
        <w:rPr>
          <w:iCs/>
          <w:szCs w:val="28"/>
        </w:rPr>
        <w:t>і</w:t>
      </w:r>
      <w:r w:rsidRPr="001004DD">
        <w:rPr>
          <w:iCs/>
          <w:szCs w:val="28"/>
        </w:rPr>
        <w:t>ни виявлено за показник</w:t>
      </w:r>
      <w:r>
        <w:rPr>
          <w:iCs/>
          <w:szCs w:val="28"/>
        </w:rPr>
        <w:t>ом соціального функціонування, кількість балів якого зростала на 79,9% та 55,8% відповідно в групі пацієнтів після ПКВ та на тлі проведення тромболітичної терапії. Параметри, що відображають емоційний компонент  ЯЖ, а саме емоційно-рольове (</w:t>
      </w:r>
      <w:r>
        <w:rPr>
          <w:iCs/>
          <w:szCs w:val="28"/>
          <w:lang w:val="en-US"/>
        </w:rPr>
        <w:t>RE</w:t>
      </w:r>
      <w:r>
        <w:rPr>
          <w:iCs/>
          <w:szCs w:val="28"/>
        </w:rPr>
        <w:t>) та ментальне функціонування</w:t>
      </w:r>
      <w:r w:rsidRPr="001004DD">
        <w:rPr>
          <w:iCs/>
          <w:szCs w:val="28"/>
        </w:rPr>
        <w:t xml:space="preserve"> (</w:t>
      </w:r>
      <w:r>
        <w:rPr>
          <w:iCs/>
          <w:szCs w:val="28"/>
          <w:lang w:val="en-US"/>
        </w:rPr>
        <w:t>MH</w:t>
      </w:r>
      <w:r w:rsidRPr="001004DD">
        <w:rPr>
          <w:iCs/>
          <w:szCs w:val="28"/>
        </w:rPr>
        <w:t>)</w:t>
      </w:r>
      <w:r>
        <w:rPr>
          <w:iCs/>
          <w:szCs w:val="28"/>
        </w:rPr>
        <w:t xml:space="preserve">, покращилися як при проведенні ПКВ, так і після </w:t>
      </w:r>
      <w:r w:rsidR="00301E40">
        <w:rPr>
          <w:iCs/>
          <w:szCs w:val="28"/>
        </w:rPr>
        <w:t>тромб</w:t>
      </w:r>
      <w:r>
        <w:rPr>
          <w:iCs/>
          <w:szCs w:val="28"/>
        </w:rPr>
        <w:t>олітичної терапії. Дані наведені в таблиці 6.</w:t>
      </w:r>
      <w:r w:rsidRPr="00F407BB">
        <w:rPr>
          <w:iCs/>
          <w:szCs w:val="28"/>
        </w:rPr>
        <w:t>5</w:t>
      </w:r>
      <w:r>
        <w:rPr>
          <w:iCs/>
          <w:szCs w:val="28"/>
        </w:rPr>
        <w:t>.</w:t>
      </w:r>
    </w:p>
    <w:p w:rsidR="00CE0F75" w:rsidRDefault="00CE0F75">
      <w:pPr>
        <w:rPr>
          <w:iCs/>
          <w:szCs w:val="28"/>
        </w:rPr>
      </w:pPr>
      <w:r>
        <w:rPr>
          <w:iCs/>
          <w:szCs w:val="28"/>
        </w:rPr>
        <w:br w:type="page"/>
      </w:r>
    </w:p>
    <w:p w:rsidR="00CE0F75" w:rsidRDefault="00CE0F75" w:rsidP="00CE0F75">
      <w:pPr>
        <w:spacing w:after="0" w:line="360" w:lineRule="auto"/>
        <w:ind w:firstLine="708"/>
        <w:jc w:val="center"/>
        <w:rPr>
          <w:szCs w:val="28"/>
        </w:rPr>
      </w:pPr>
      <w:r>
        <w:rPr>
          <w:szCs w:val="28"/>
        </w:rPr>
        <w:lastRenderedPageBreak/>
        <w:t>РОЗДІЛ 7</w:t>
      </w:r>
    </w:p>
    <w:p w:rsidR="00CE0F75" w:rsidRDefault="00CE0F75" w:rsidP="00CE0F75">
      <w:pPr>
        <w:spacing w:after="0" w:line="360" w:lineRule="auto"/>
        <w:ind w:firstLine="708"/>
        <w:jc w:val="center"/>
        <w:rPr>
          <w:szCs w:val="28"/>
        </w:rPr>
      </w:pPr>
      <w:r>
        <w:rPr>
          <w:szCs w:val="28"/>
        </w:rPr>
        <w:t>СТРАТИФІКАЦІЯ РИЗИКУ ВИНИКНЕННЯ ПОВТОРНИХ КАРДІОВАСКУЛЯРНИХ ПОДІЙ ПРОТЯГОМ 6-МІСЯЧНОГО ТЕРМІНУ СПОСТЕРЕЖЕННЯ ЗА ХВОРИМИ, ЩО ПЕРЕНЕСЛИ ІНФАРКТ МІОКАРДА НА ТЛІ ОЖИРІННЯ</w:t>
      </w:r>
    </w:p>
    <w:p w:rsidR="00CE0F75" w:rsidRDefault="00CE0F75" w:rsidP="00CE0F75">
      <w:pPr>
        <w:spacing w:after="0" w:line="360" w:lineRule="auto"/>
        <w:ind w:firstLine="708"/>
        <w:jc w:val="center"/>
        <w:rPr>
          <w:szCs w:val="28"/>
        </w:rPr>
      </w:pPr>
    </w:p>
    <w:p w:rsidR="00CE0F75" w:rsidRPr="00B55ADC" w:rsidRDefault="00CE0F75" w:rsidP="00CE0F75">
      <w:pPr>
        <w:spacing w:after="0" w:line="360" w:lineRule="auto"/>
        <w:ind w:firstLine="708"/>
        <w:jc w:val="both"/>
        <w:rPr>
          <w:szCs w:val="28"/>
        </w:rPr>
      </w:pPr>
      <w:r w:rsidRPr="00B55ADC">
        <w:rPr>
          <w:szCs w:val="28"/>
        </w:rPr>
        <w:t xml:space="preserve">На сьогоднішній день пошук нових маркерів та факторів ризику виникнення небажаних кардіоваскулярних наслідків після перенесеного ГІМ у хворих, що мають коморбідні метаболічні порушення, а саме ожиріння, є ключовим завданням сучасної </w:t>
      </w:r>
      <w:r>
        <w:rPr>
          <w:szCs w:val="28"/>
        </w:rPr>
        <w:t>медицини</w:t>
      </w:r>
      <w:r w:rsidRPr="00B55ADC">
        <w:rPr>
          <w:szCs w:val="28"/>
        </w:rPr>
        <w:t xml:space="preserve">. </w:t>
      </w:r>
    </w:p>
    <w:p w:rsidR="00CE0F75" w:rsidRPr="00B55ADC" w:rsidRDefault="00CE0F75" w:rsidP="00CE0F75">
      <w:pPr>
        <w:spacing w:after="0" w:line="360" w:lineRule="auto"/>
        <w:ind w:firstLine="708"/>
        <w:jc w:val="both"/>
        <w:rPr>
          <w:szCs w:val="28"/>
        </w:rPr>
      </w:pPr>
      <w:r w:rsidRPr="00B55ADC">
        <w:rPr>
          <w:szCs w:val="28"/>
        </w:rPr>
        <w:t xml:space="preserve">У нашому дослідженні під час 6-місячного терміну спостереження за хворими після перенесеного ГІМ на тлі супутнього ожиріння було виявлено, що 37,56% хворих мали в анамнезі повторні події у вигляді </w:t>
      </w:r>
      <w:r w:rsidR="00301E40">
        <w:rPr>
          <w:szCs w:val="28"/>
        </w:rPr>
        <w:t>НС</w:t>
      </w:r>
      <w:r w:rsidRPr="00B55ADC">
        <w:rPr>
          <w:szCs w:val="28"/>
        </w:rPr>
        <w:t xml:space="preserve"> та/або повторного ГІМ. У даній виборці НС було зіфіксовано у 43,18%, а повторний ГІМ – у 56,82% хворих. Крім того, рівень ІМТ перевищував 30 кг/м</w:t>
      </w:r>
      <w:r w:rsidRPr="00B55ADC">
        <w:rPr>
          <w:szCs w:val="28"/>
          <w:vertAlign w:val="superscript"/>
        </w:rPr>
        <w:t xml:space="preserve">2 </w:t>
      </w:r>
      <w:r w:rsidRPr="00B55ADC">
        <w:rPr>
          <w:szCs w:val="28"/>
        </w:rPr>
        <w:t xml:space="preserve">у всіх хворих, креатинін сироватки крові коливався в межах від 57 мкмоль/л до 276 мкмоль/л, розрахунок за шкалою </w:t>
      </w:r>
      <w:r w:rsidRPr="00B55ADC">
        <w:rPr>
          <w:szCs w:val="28"/>
          <w:lang w:val="en-US"/>
        </w:rPr>
        <w:t>GRACE</w:t>
      </w:r>
      <w:r>
        <w:rPr>
          <w:szCs w:val="28"/>
        </w:rPr>
        <w:t xml:space="preserve"> </w:t>
      </w:r>
      <w:r w:rsidRPr="00B55ADC">
        <w:rPr>
          <w:szCs w:val="28"/>
        </w:rPr>
        <w:t>перевищував 127 балів та становив у середньому 136,7±4,94 балів, а галектин-3 коливався в межах від 18,56 нг/мл до 33,74 нг/мл та складав в середньому 23,83±5,27 нг/мл.</w:t>
      </w:r>
    </w:p>
    <w:p w:rsidR="00CE0F75" w:rsidRPr="0039204D" w:rsidRDefault="00CE0F75" w:rsidP="00CE0F75">
      <w:pPr>
        <w:tabs>
          <w:tab w:val="left" w:pos="8364"/>
        </w:tabs>
        <w:spacing w:after="0" w:line="360" w:lineRule="auto"/>
        <w:ind w:firstLine="708"/>
        <w:jc w:val="both"/>
        <w:rPr>
          <w:szCs w:val="28"/>
        </w:rPr>
      </w:pPr>
      <w:r w:rsidRPr="00B55ADC">
        <w:rPr>
          <w:szCs w:val="28"/>
        </w:rPr>
        <w:t xml:space="preserve">Згідно дизайну дослідження, наступний етап був присвячений аналізу предикторних властивостей показників. За допомогою </w:t>
      </w:r>
      <w:r w:rsidRPr="00B55ADC">
        <w:rPr>
          <w:szCs w:val="28"/>
          <w:lang w:val="en-US"/>
        </w:rPr>
        <w:t>ROC</w:t>
      </w:r>
      <w:r w:rsidRPr="00B55ADC">
        <w:rPr>
          <w:szCs w:val="28"/>
        </w:rPr>
        <w:t xml:space="preserve">-аналізу встановлено прогностичну цінність ОТ, ІМТ та креатиніну щодо повторних кардіоваскулярних подій у хворих після перенесеного ГІМ на тлі супутнього ожиріння протягом півроку спостереження. За даними </w:t>
      </w:r>
      <w:r w:rsidRPr="00B55ADC">
        <w:rPr>
          <w:szCs w:val="28"/>
          <w:lang w:val="en-US"/>
        </w:rPr>
        <w:t>ROC</w:t>
      </w:r>
      <w:r w:rsidRPr="00B55ADC">
        <w:rPr>
          <w:szCs w:val="28"/>
        </w:rPr>
        <w:t>-кривої ОТ виявив прогностичну інформативність при його рівні більш ніж 130 см</w:t>
      </w:r>
      <w:r>
        <w:rPr>
          <w:szCs w:val="28"/>
        </w:rPr>
        <w:t xml:space="preserve"> </w:t>
      </w:r>
      <w:r w:rsidRPr="0039204D">
        <w:rPr>
          <w:szCs w:val="28"/>
        </w:rPr>
        <w:t>(рис.</w:t>
      </w:r>
      <w:r>
        <w:rPr>
          <w:szCs w:val="28"/>
        </w:rPr>
        <w:t> 7.</w:t>
      </w:r>
      <w:r w:rsidRPr="0039204D">
        <w:rPr>
          <w:szCs w:val="28"/>
        </w:rPr>
        <w:t xml:space="preserve">1). </w:t>
      </w:r>
    </w:p>
    <w:p w:rsidR="00CE0F75" w:rsidRPr="00B55ADC" w:rsidRDefault="00CE0F75" w:rsidP="00CE0F75">
      <w:pPr>
        <w:tabs>
          <w:tab w:val="left" w:pos="8364"/>
        </w:tabs>
        <w:spacing w:after="0" w:line="360" w:lineRule="auto"/>
        <w:jc w:val="both"/>
        <w:rPr>
          <w:szCs w:val="28"/>
        </w:rPr>
      </w:pPr>
      <w:r w:rsidRPr="00B55ADC">
        <w:rPr>
          <w:szCs w:val="28"/>
        </w:rPr>
        <w:lastRenderedPageBreak/>
        <w:t xml:space="preserve"> </w:t>
      </w:r>
      <w:r>
        <w:rPr>
          <w:noProof/>
          <w:szCs w:val="28"/>
          <w:lang w:val="ru-RU" w:eastAsia="ru-RU"/>
        </w:rPr>
        <w:drawing>
          <wp:inline distT="0" distB="0" distL="0" distR="0">
            <wp:extent cx="5879332" cy="3697793"/>
            <wp:effectExtent l="19050" t="0" r="7118"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2" cstate="print"/>
                    <a:srcRect/>
                    <a:stretch>
                      <a:fillRect/>
                    </a:stretch>
                  </pic:blipFill>
                  <pic:spPr bwMode="auto">
                    <a:xfrm>
                      <a:off x="0" y="0"/>
                      <a:ext cx="5883669" cy="3700521"/>
                    </a:xfrm>
                    <a:prstGeom prst="rect">
                      <a:avLst/>
                    </a:prstGeom>
                    <a:noFill/>
                    <a:ln w="9525">
                      <a:noFill/>
                      <a:miter lim="800000"/>
                      <a:headEnd/>
                      <a:tailEnd/>
                    </a:ln>
                  </pic:spPr>
                </pic:pic>
              </a:graphicData>
            </a:graphic>
          </wp:inline>
        </w:drawing>
      </w:r>
    </w:p>
    <w:p w:rsidR="00CE0F75" w:rsidRDefault="00CE0F75" w:rsidP="00CE0F75">
      <w:pPr>
        <w:spacing w:after="0" w:line="360" w:lineRule="auto"/>
        <w:jc w:val="both"/>
        <w:rPr>
          <w:szCs w:val="28"/>
        </w:rPr>
      </w:pPr>
      <w:r w:rsidRPr="0039204D">
        <w:rPr>
          <w:szCs w:val="28"/>
        </w:rPr>
        <w:t xml:space="preserve">Рис. </w:t>
      </w:r>
      <w:r>
        <w:rPr>
          <w:szCs w:val="28"/>
        </w:rPr>
        <w:t>7.</w:t>
      </w:r>
      <w:r w:rsidRPr="0039204D">
        <w:rPr>
          <w:szCs w:val="28"/>
        </w:rPr>
        <w:t>1</w:t>
      </w:r>
      <w:r>
        <w:rPr>
          <w:szCs w:val="28"/>
        </w:rPr>
        <w:t xml:space="preserve"> – </w:t>
      </w:r>
      <w:r w:rsidRPr="00B55ADC">
        <w:rPr>
          <w:szCs w:val="28"/>
        </w:rPr>
        <w:t xml:space="preserve"> Прогностична цінність об’єму талії у хворих на гострий інфаркт міокарда на тлі супутнього ожиріння щодо розвитку повторної</w:t>
      </w:r>
      <w:r>
        <w:rPr>
          <w:szCs w:val="28"/>
        </w:rPr>
        <w:t xml:space="preserve"> </w:t>
      </w:r>
      <w:r w:rsidRPr="00B55ADC">
        <w:rPr>
          <w:szCs w:val="28"/>
        </w:rPr>
        <w:t>кардіоваскулярної под</w:t>
      </w:r>
      <w:r>
        <w:rPr>
          <w:szCs w:val="28"/>
        </w:rPr>
        <w:t>ії протягом 6-місячного терміну</w:t>
      </w:r>
    </w:p>
    <w:p w:rsidR="00CE0F75" w:rsidRPr="00B55ADC" w:rsidRDefault="00CE0F75" w:rsidP="00CE0F75">
      <w:pPr>
        <w:spacing w:after="0" w:line="360" w:lineRule="auto"/>
        <w:jc w:val="center"/>
        <w:rPr>
          <w:szCs w:val="28"/>
        </w:rPr>
      </w:pPr>
    </w:p>
    <w:p w:rsidR="00CE0F75" w:rsidRPr="00B55ADC" w:rsidRDefault="00CE0F75" w:rsidP="00CE0F75">
      <w:pPr>
        <w:spacing w:after="0" w:line="360" w:lineRule="auto"/>
        <w:ind w:firstLine="708"/>
        <w:jc w:val="both"/>
        <w:rPr>
          <w:szCs w:val="28"/>
        </w:rPr>
      </w:pPr>
      <w:r w:rsidRPr="00B55ADC">
        <w:rPr>
          <w:szCs w:val="28"/>
        </w:rPr>
        <w:t>Визначена висока специфічність параметра - 96%, проте чутливість склала лише 33,3%, що деяким чином знижує його цінність. Площа під кривою (</w:t>
      </w:r>
      <w:r w:rsidRPr="00B55ADC">
        <w:rPr>
          <w:szCs w:val="28"/>
          <w:lang w:val="en-US"/>
        </w:rPr>
        <w:t>AUC</w:t>
      </w:r>
      <w:r w:rsidRPr="00B55ADC">
        <w:rPr>
          <w:szCs w:val="28"/>
        </w:rPr>
        <w:t xml:space="preserve">) склала 0,65. </w:t>
      </w:r>
    </w:p>
    <w:p w:rsidR="00610BD1" w:rsidRPr="00F407BB" w:rsidRDefault="00CE0F75" w:rsidP="00610BD1">
      <w:pPr>
        <w:spacing w:after="0" w:line="360" w:lineRule="auto"/>
        <w:ind w:firstLine="708"/>
        <w:jc w:val="both"/>
        <w:rPr>
          <w:szCs w:val="28"/>
        </w:rPr>
      </w:pPr>
      <w:r w:rsidRPr="00B55ADC">
        <w:rPr>
          <w:szCs w:val="28"/>
        </w:rPr>
        <w:t>Що стосується рівня ІМТ</w:t>
      </w:r>
      <w:r w:rsidRPr="00D57D17">
        <w:rPr>
          <w:szCs w:val="28"/>
        </w:rPr>
        <w:t xml:space="preserve">, </w:t>
      </w:r>
      <w:r w:rsidRPr="00B55ADC">
        <w:rPr>
          <w:szCs w:val="28"/>
        </w:rPr>
        <w:t xml:space="preserve">то даний параметр володів кращою прогностичною цінністю за рахунок чутливості 66,7% та специфічності 79,2%, </w:t>
      </w:r>
      <w:r w:rsidRPr="00B55ADC">
        <w:rPr>
          <w:szCs w:val="28"/>
          <w:lang w:val="en-US"/>
        </w:rPr>
        <w:t>AUC</w:t>
      </w:r>
      <w:r w:rsidRPr="00D57D17">
        <w:rPr>
          <w:szCs w:val="28"/>
        </w:rPr>
        <w:t xml:space="preserve"> </w:t>
      </w:r>
      <w:r w:rsidRPr="00B55ADC">
        <w:rPr>
          <w:szCs w:val="28"/>
        </w:rPr>
        <w:t xml:space="preserve">склала 0,704. Дані </w:t>
      </w:r>
      <w:r w:rsidRPr="00B55ADC">
        <w:rPr>
          <w:szCs w:val="28"/>
          <w:lang w:val="en-US"/>
        </w:rPr>
        <w:t>ROC</w:t>
      </w:r>
      <w:r w:rsidRPr="00B55ADC">
        <w:rPr>
          <w:szCs w:val="28"/>
        </w:rPr>
        <w:t>-аналізу показали, що при ІМТ&gt;34,13кг/м</w:t>
      </w:r>
      <w:r w:rsidRPr="00B55ADC">
        <w:rPr>
          <w:szCs w:val="28"/>
          <w:vertAlign w:val="superscript"/>
        </w:rPr>
        <w:t xml:space="preserve">2 </w:t>
      </w:r>
      <w:r w:rsidRPr="00B55ADC">
        <w:rPr>
          <w:szCs w:val="28"/>
        </w:rPr>
        <w:t>можна прогнозувати кардіоваскулярні події протягом 6 місяців після перенесеного ГІМ у хворих, що мають супутнє ожиріння</w:t>
      </w:r>
      <w:r>
        <w:rPr>
          <w:szCs w:val="28"/>
        </w:rPr>
        <w:t xml:space="preserve"> (рис. 7.</w:t>
      </w:r>
      <w:r w:rsidRPr="000A2A14">
        <w:rPr>
          <w:szCs w:val="28"/>
        </w:rPr>
        <w:t xml:space="preserve">2). </w:t>
      </w:r>
    </w:p>
    <w:p w:rsidR="00610BD1" w:rsidRPr="00F407BB" w:rsidRDefault="00610BD1" w:rsidP="00CE0F75">
      <w:pPr>
        <w:spacing w:after="0" w:line="360" w:lineRule="auto"/>
        <w:jc w:val="both"/>
        <w:rPr>
          <w:szCs w:val="28"/>
        </w:rPr>
      </w:pPr>
    </w:p>
    <w:p w:rsidR="00610BD1" w:rsidRPr="00F407BB" w:rsidRDefault="00610BD1" w:rsidP="00CE0F75">
      <w:pPr>
        <w:spacing w:after="0" w:line="360" w:lineRule="auto"/>
        <w:jc w:val="both"/>
        <w:rPr>
          <w:szCs w:val="28"/>
        </w:rPr>
      </w:pPr>
    </w:p>
    <w:p w:rsidR="00610BD1" w:rsidRPr="00F407BB" w:rsidRDefault="00610BD1" w:rsidP="00CE0F75">
      <w:pPr>
        <w:spacing w:after="0" w:line="360" w:lineRule="auto"/>
        <w:jc w:val="both"/>
        <w:rPr>
          <w:szCs w:val="28"/>
        </w:rPr>
      </w:pPr>
    </w:p>
    <w:p w:rsidR="00610BD1" w:rsidRDefault="00610BD1" w:rsidP="00CE0F75">
      <w:pPr>
        <w:spacing w:after="0" w:line="360" w:lineRule="auto"/>
        <w:jc w:val="both"/>
        <w:rPr>
          <w:szCs w:val="28"/>
          <w:lang w:val="ru-RU"/>
        </w:rPr>
      </w:pPr>
      <w:r w:rsidRPr="00610BD1">
        <w:rPr>
          <w:noProof/>
          <w:szCs w:val="28"/>
          <w:lang w:val="ru-RU" w:eastAsia="ru-RU"/>
        </w:rPr>
        <w:lastRenderedPageBreak/>
        <w:drawing>
          <wp:inline distT="0" distB="0" distL="0" distR="0">
            <wp:extent cx="6145776" cy="4454013"/>
            <wp:effectExtent l="19050" t="0" r="7374"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3" cstate="print"/>
                    <a:srcRect/>
                    <a:stretch>
                      <a:fillRect/>
                    </a:stretch>
                  </pic:blipFill>
                  <pic:spPr bwMode="auto">
                    <a:xfrm>
                      <a:off x="0" y="0"/>
                      <a:ext cx="6145776" cy="4454013"/>
                    </a:xfrm>
                    <a:prstGeom prst="rect">
                      <a:avLst/>
                    </a:prstGeom>
                    <a:noFill/>
                    <a:ln w="9525">
                      <a:noFill/>
                      <a:miter lim="800000"/>
                      <a:headEnd/>
                      <a:tailEnd/>
                    </a:ln>
                  </pic:spPr>
                </pic:pic>
              </a:graphicData>
            </a:graphic>
          </wp:inline>
        </w:drawing>
      </w:r>
    </w:p>
    <w:p w:rsidR="00984B86" w:rsidRDefault="00984B86" w:rsidP="00CE0F75">
      <w:pPr>
        <w:spacing w:after="0" w:line="360" w:lineRule="auto"/>
        <w:jc w:val="both"/>
        <w:rPr>
          <w:szCs w:val="28"/>
          <w:lang w:val="ru-RU"/>
        </w:rPr>
      </w:pPr>
    </w:p>
    <w:p w:rsidR="00CE0F75" w:rsidRDefault="00CE0F75" w:rsidP="00CE0F75">
      <w:pPr>
        <w:spacing w:after="0" w:line="360" w:lineRule="auto"/>
        <w:jc w:val="both"/>
        <w:rPr>
          <w:szCs w:val="28"/>
        </w:rPr>
      </w:pPr>
      <w:r w:rsidRPr="0039204D">
        <w:rPr>
          <w:szCs w:val="28"/>
        </w:rPr>
        <w:t>Рис.</w:t>
      </w:r>
      <w:r>
        <w:rPr>
          <w:szCs w:val="28"/>
        </w:rPr>
        <w:t xml:space="preserve"> 7.2 – </w:t>
      </w:r>
      <w:r w:rsidRPr="00B55ADC">
        <w:rPr>
          <w:szCs w:val="28"/>
        </w:rPr>
        <w:t xml:space="preserve"> Прогностична цінність індексу маси тіла у хворих на гострий інфаркт міокарда на тлі супутнього ожиріння щодо розвитку повторної кардіоваскулярної под</w:t>
      </w:r>
      <w:r>
        <w:rPr>
          <w:szCs w:val="28"/>
        </w:rPr>
        <w:t>ії протягом 6-місячного терміну</w:t>
      </w:r>
    </w:p>
    <w:p w:rsidR="00CE0F75" w:rsidRPr="00F407BB" w:rsidRDefault="00CE0F75" w:rsidP="00CE0F75">
      <w:pPr>
        <w:spacing w:after="0" w:line="360" w:lineRule="auto"/>
        <w:ind w:firstLine="708"/>
        <w:jc w:val="both"/>
        <w:rPr>
          <w:szCs w:val="28"/>
          <w:lang w:val="ru-RU"/>
        </w:rPr>
      </w:pPr>
    </w:p>
    <w:p w:rsidR="00CE0F75" w:rsidRPr="00B55ADC" w:rsidRDefault="00CE0F75" w:rsidP="00CE0F75">
      <w:pPr>
        <w:spacing w:after="0" w:line="360" w:lineRule="auto"/>
        <w:ind w:firstLine="708"/>
        <w:jc w:val="both"/>
        <w:rPr>
          <w:szCs w:val="28"/>
        </w:rPr>
      </w:pPr>
      <w:r w:rsidRPr="00B55ADC">
        <w:rPr>
          <w:szCs w:val="28"/>
        </w:rPr>
        <w:t xml:space="preserve">Дещо нижчим був показник специфічності креатиніну – 49,3%, але чутливість показала достатньо високий рівень у вигляді 75% у відношенні розвитку повторного ГІМ та/або НС протягом півроку після ГІМ, </w:t>
      </w:r>
      <w:r w:rsidRPr="00B55ADC">
        <w:rPr>
          <w:szCs w:val="28"/>
          <w:lang w:val="en-US"/>
        </w:rPr>
        <w:t>AUC</w:t>
      </w:r>
      <w:r w:rsidRPr="00B55ADC">
        <w:rPr>
          <w:szCs w:val="28"/>
        </w:rPr>
        <w:t xml:space="preserve"> склала 0,63. За даними </w:t>
      </w:r>
      <w:r w:rsidRPr="00B55ADC">
        <w:rPr>
          <w:szCs w:val="28"/>
          <w:lang w:val="en-US"/>
        </w:rPr>
        <w:t>ROC</w:t>
      </w:r>
      <w:r w:rsidRPr="00B55ADC">
        <w:rPr>
          <w:szCs w:val="28"/>
        </w:rPr>
        <w:t>-кривої креатинін виявив предикторні властивості при рівні &gt;85 мкмоль/</w:t>
      </w:r>
      <w:r w:rsidRPr="0039204D">
        <w:rPr>
          <w:szCs w:val="28"/>
        </w:rPr>
        <w:t xml:space="preserve">л (рис. </w:t>
      </w:r>
      <w:r>
        <w:rPr>
          <w:szCs w:val="28"/>
        </w:rPr>
        <w:t>7.</w:t>
      </w:r>
      <w:r w:rsidRPr="0039204D">
        <w:rPr>
          <w:szCs w:val="28"/>
        </w:rPr>
        <w:t>3).</w:t>
      </w:r>
    </w:p>
    <w:p w:rsidR="00CE0F75" w:rsidRPr="00B55ADC" w:rsidRDefault="00CE0F75" w:rsidP="00CE0F75">
      <w:pPr>
        <w:spacing w:after="0" w:line="360" w:lineRule="auto"/>
        <w:ind w:firstLine="708"/>
        <w:jc w:val="both"/>
        <w:rPr>
          <w:szCs w:val="28"/>
        </w:rPr>
      </w:pPr>
    </w:p>
    <w:p w:rsidR="00CE0F75" w:rsidRPr="00B55ADC" w:rsidRDefault="00CE0F75" w:rsidP="00CE0F75">
      <w:pPr>
        <w:spacing w:after="0" w:line="360" w:lineRule="auto"/>
        <w:jc w:val="both"/>
        <w:rPr>
          <w:szCs w:val="28"/>
        </w:rPr>
      </w:pPr>
      <w:r>
        <w:rPr>
          <w:noProof/>
          <w:szCs w:val="28"/>
          <w:lang w:val="ru-RU" w:eastAsia="ru-RU"/>
        </w:rPr>
        <w:lastRenderedPageBreak/>
        <w:drawing>
          <wp:inline distT="0" distB="0" distL="0" distR="0">
            <wp:extent cx="5038725" cy="3095625"/>
            <wp:effectExtent l="19050" t="0" r="9525"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4" cstate="print"/>
                    <a:srcRect/>
                    <a:stretch>
                      <a:fillRect/>
                    </a:stretch>
                  </pic:blipFill>
                  <pic:spPr bwMode="auto">
                    <a:xfrm>
                      <a:off x="0" y="0"/>
                      <a:ext cx="5041509" cy="3097335"/>
                    </a:xfrm>
                    <a:prstGeom prst="rect">
                      <a:avLst/>
                    </a:prstGeom>
                    <a:noFill/>
                    <a:ln w="9525">
                      <a:noFill/>
                      <a:miter lim="800000"/>
                      <a:headEnd/>
                      <a:tailEnd/>
                    </a:ln>
                  </pic:spPr>
                </pic:pic>
              </a:graphicData>
            </a:graphic>
          </wp:inline>
        </w:drawing>
      </w:r>
    </w:p>
    <w:p w:rsidR="00CE0F75" w:rsidRDefault="00CE0F75" w:rsidP="00CE0F75">
      <w:pPr>
        <w:spacing w:after="0" w:line="360" w:lineRule="auto"/>
        <w:jc w:val="both"/>
        <w:rPr>
          <w:szCs w:val="28"/>
        </w:rPr>
      </w:pPr>
      <w:r w:rsidRPr="0039204D">
        <w:rPr>
          <w:szCs w:val="28"/>
        </w:rPr>
        <w:t xml:space="preserve">Рис. </w:t>
      </w:r>
      <w:r>
        <w:rPr>
          <w:szCs w:val="28"/>
        </w:rPr>
        <w:t>7.</w:t>
      </w:r>
      <w:r w:rsidRPr="0039204D">
        <w:rPr>
          <w:szCs w:val="28"/>
        </w:rPr>
        <w:t>3</w:t>
      </w:r>
      <w:r>
        <w:rPr>
          <w:szCs w:val="28"/>
        </w:rPr>
        <w:t xml:space="preserve"> –</w:t>
      </w:r>
      <w:r w:rsidRPr="00B55ADC">
        <w:rPr>
          <w:szCs w:val="28"/>
        </w:rPr>
        <w:t xml:space="preserve"> Прогностична цінність креатиніну у хворих на гострий інфаркт міокарда на тлі супутнього ожиріння щодо розвитку повторної кардіоваскулярної под</w:t>
      </w:r>
      <w:r>
        <w:rPr>
          <w:szCs w:val="28"/>
        </w:rPr>
        <w:t>ії протягом 6-місячного терміну</w:t>
      </w:r>
    </w:p>
    <w:p w:rsidR="00CE0F75" w:rsidRPr="00B55ADC" w:rsidRDefault="00CE0F75" w:rsidP="00CE0F75">
      <w:pPr>
        <w:spacing w:after="0" w:line="360" w:lineRule="auto"/>
        <w:ind w:firstLine="708"/>
        <w:jc w:val="both"/>
        <w:rPr>
          <w:szCs w:val="28"/>
        </w:rPr>
      </w:pPr>
      <w:r w:rsidRPr="00B55ADC">
        <w:rPr>
          <w:szCs w:val="28"/>
        </w:rPr>
        <w:t xml:space="preserve">Дані щодо характеристик змінних величин представлені у </w:t>
      </w:r>
      <w:r w:rsidRPr="0039204D">
        <w:rPr>
          <w:szCs w:val="28"/>
        </w:rPr>
        <w:t xml:space="preserve">таблиці </w:t>
      </w:r>
      <w:r>
        <w:rPr>
          <w:szCs w:val="28"/>
        </w:rPr>
        <w:t>7.1</w:t>
      </w:r>
      <w:r w:rsidRPr="0039204D">
        <w:rPr>
          <w:szCs w:val="28"/>
        </w:rPr>
        <w:t>.</w:t>
      </w:r>
    </w:p>
    <w:p w:rsidR="00CE0F75" w:rsidRPr="00D57D17" w:rsidRDefault="00CE0F75" w:rsidP="00CE0F75">
      <w:pPr>
        <w:spacing w:after="0" w:line="360" w:lineRule="auto"/>
        <w:ind w:left="7200" w:firstLine="720"/>
        <w:jc w:val="both"/>
        <w:rPr>
          <w:i/>
          <w:szCs w:val="28"/>
        </w:rPr>
      </w:pPr>
      <w:r w:rsidRPr="00D57D17">
        <w:rPr>
          <w:i/>
          <w:szCs w:val="28"/>
        </w:rPr>
        <w:t>Таблиця 7.1</w:t>
      </w:r>
    </w:p>
    <w:p w:rsidR="00CE0F75" w:rsidRPr="00B55ADC" w:rsidRDefault="00CE0F75" w:rsidP="00CE0F75">
      <w:pPr>
        <w:spacing w:after="0"/>
        <w:jc w:val="center"/>
        <w:rPr>
          <w:b/>
          <w:szCs w:val="28"/>
        </w:rPr>
      </w:pPr>
      <w:r w:rsidRPr="00B55ADC">
        <w:rPr>
          <w:szCs w:val="28"/>
        </w:rPr>
        <w:t xml:space="preserve">Характеристика змінних величин, що мають прогностичні властивості щодо виникнення повторних кардіоваскулярних подій у хворих на </w:t>
      </w:r>
      <w:r>
        <w:rPr>
          <w:szCs w:val="28"/>
        </w:rPr>
        <w:t>гострий інфаркт міокарда</w:t>
      </w:r>
      <w:r w:rsidRPr="00B55ADC">
        <w:rPr>
          <w:szCs w:val="28"/>
        </w:rPr>
        <w:t xml:space="preserve"> та тлі супутнього ожиріння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984"/>
        <w:gridCol w:w="1701"/>
        <w:gridCol w:w="2092"/>
      </w:tblGrid>
      <w:tr w:rsidR="00CE0F75" w:rsidRPr="00B55ADC" w:rsidTr="001576A9">
        <w:tc>
          <w:tcPr>
            <w:tcW w:w="2235" w:type="dxa"/>
            <w:vMerge w:val="restart"/>
            <w:shd w:val="clear" w:color="auto" w:fill="auto"/>
          </w:tcPr>
          <w:p w:rsidR="00CE0F75" w:rsidRPr="00B55ADC" w:rsidRDefault="00CE0F75" w:rsidP="001576A9">
            <w:pPr>
              <w:spacing w:after="0" w:line="240" w:lineRule="auto"/>
              <w:jc w:val="center"/>
              <w:rPr>
                <w:szCs w:val="28"/>
              </w:rPr>
            </w:pPr>
          </w:p>
          <w:p w:rsidR="00CE0F75" w:rsidRPr="00B55ADC" w:rsidRDefault="00CE0F75" w:rsidP="001576A9">
            <w:pPr>
              <w:spacing w:after="0" w:line="240" w:lineRule="auto"/>
              <w:rPr>
                <w:szCs w:val="28"/>
              </w:rPr>
            </w:pPr>
            <w:r w:rsidRPr="00B55ADC">
              <w:rPr>
                <w:szCs w:val="28"/>
              </w:rPr>
              <w:t>Змінна (величина)</w:t>
            </w:r>
          </w:p>
        </w:tc>
        <w:tc>
          <w:tcPr>
            <w:tcW w:w="7336" w:type="dxa"/>
            <w:gridSpan w:val="4"/>
            <w:shd w:val="clear" w:color="auto" w:fill="auto"/>
          </w:tcPr>
          <w:p w:rsidR="00CE0F75" w:rsidRPr="00B55ADC" w:rsidRDefault="00CE0F75" w:rsidP="001576A9">
            <w:pPr>
              <w:spacing w:after="0" w:line="240" w:lineRule="auto"/>
              <w:jc w:val="center"/>
              <w:rPr>
                <w:szCs w:val="28"/>
              </w:rPr>
            </w:pPr>
            <w:r w:rsidRPr="00B55ADC">
              <w:rPr>
                <w:szCs w:val="28"/>
              </w:rPr>
              <w:t xml:space="preserve">Класифікація змінної </w:t>
            </w:r>
          </w:p>
        </w:tc>
      </w:tr>
      <w:tr w:rsidR="00CE0F75" w:rsidRPr="00B55ADC" w:rsidTr="001576A9">
        <w:tc>
          <w:tcPr>
            <w:tcW w:w="2235" w:type="dxa"/>
            <w:vMerge/>
            <w:shd w:val="clear" w:color="auto" w:fill="auto"/>
          </w:tcPr>
          <w:p w:rsidR="00CE0F75" w:rsidRPr="00B55ADC" w:rsidRDefault="00CE0F75" w:rsidP="001576A9">
            <w:pPr>
              <w:spacing w:after="0" w:line="240" w:lineRule="auto"/>
              <w:jc w:val="center"/>
              <w:rPr>
                <w:szCs w:val="28"/>
              </w:rPr>
            </w:pP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Площа під кривою (</w:t>
            </w:r>
            <w:r w:rsidRPr="00B55ADC">
              <w:rPr>
                <w:szCs w:val="28"/>
                <w:lang w:val="en-US"/>
              </w:rPr>
              <w:t>AUC)</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Достовірність</w:t>
            </w:r>
          </w:p>
          <w:p w:rsidR="00CE0F75" w:rsidRPr="00B55ADC" w:rsidRDefault="00CE0F75" w:rsidP="001576A9">
            <w:pPr>
              <w:spacing w:after="0" w:line="240" w:lineRule="auto"/>
              <w:jc w:val="center"/>
              <w:rPr>
                <w:szCs w:val="28"/>
              </w:rPr>
            </w:pPr>
            <w:r w:rsidRPr="00B55ADC">
              <w:rPr>
                <w:szCs w:val="28"/>
              </w:rPr>
              <w:t>значення р(≤0,05)</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Чутливість, %</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Специфічність,%</w:t>
            </w:r>
          </w:p>
        </w:tc>
      </w:tr>
      <w:tr w:rsidR="00CE0F75" w:rsidRPr="00B55ADC" w:rsidTr="001576A9">
        <w:tc>
          <w:tcPr>
            <w:tcW w:w="2235" w:type="dxa"/>
            <w:shd w:val="clear" w:color="auto" w:fill="auto"/>
          </w:tcPr>
          <w:p w:rsidR="00CE0F75" w:rsidRPr="00B55ADC" w:rsidRDefault="00CE0F75" w:rsidP="001576A9">
            <w:pPr>
              <w:spacing w:after="0" w:line="240" w:lineRule="auto"/>
              <w:jc w:val="center"/>
              <w:rPr>
                <w:szCs w:val="28"/>
              </w:rPr>
            </w:pPr>
            <w:r>
              <w:rPr>
                <w:szCs w:val="28"/>
              </w:rPr>
              <w:t>1</w:t>
            </w:r>
          </w:p>
        </w:tc>
        <w:tc>
          <w:tcPr>
            <w:tcW w:w="1559" w:type="dxa"/>
            <w:shd w:val="clear" w:color="auto" w:fill="auto"/>
          </w:tcPr>
          <w:p w:rsidR="00CE0F75" w:rsidRPr="00B55ADC" w:rsidRDefault="00CE0F75" w:rsidP="001576A9">
            <w:pPr>
              <w:spacing w:after="0" w:line="240" w:lineRule="auto"/>
              <w:jc w:val="center"/>
              <w:rPr>
                <w:szCs w:val="28"/>
              </w:rPr>
            </w:pPr>
            <w:r>
              <w:rPr>
                <w:szCs w:val="28"/>
              </w:rPr>
              <w:t>2</w:t>
            </w:r>
          </w:p>
        </w:tc>
        <w:tc>
          <w:tcPr>
            <w:tcW w:w="1984" w:type="dxa"/>
            <w:shd w:val="clear" w:color="auto" w:fill="auto"/>
          </w:tcPr>
          <w:p w:rsidR="00CE0F75" w:rsidRPr="00B55ADC" w:rsidRDefault="00CE0F75" w:rsidP="001576A9">
            <w:pPr>
              <w:spacing w:after="0" w:line="240" w:lineRule="auto"/>
              <w:jc w:val="center"/>
              <w:rPr>
                <w:szCs w:val="28"/>
              </w:rPr>
            </w:pPr>
            <w:r>
              <w:rPr>
                <w:szCs w:val="28"/>
              </w:rPr>
              <w:t>3</w:t>
            </w:r>
          </w:p>
        </w:tc>
        <w:tc>
          <w:tcPr>
            <w:tcW w:w="1701" w:type="dxa"/>
            <w:shd w:val="clear" w:color="auto" w:fill="auto"/>
          </w:tcPr>
          <w:p w:rsidR="00CE0F75" w:rsidRPr="00B55ADC" w:rsidRDefault="00CE0F75" w:rsidP="001576A9">
            <w:pPr>
              <w:spacing w:after="0" w:line="240" w:lineRule="auto"/>
              <w:jc w:val="center"/>
              <w:rPr>
                <w:szCs w:val="28"/>
              </w:rPr>
            </w:pPr>
            <w:r>
              <w:rPr>
                <w:szCs w:val="28"/>
              </w:rPr>
              <w:t>4</w:t>
            </w:r>
          </w:p>
        </w:tc>
        <w:tc>
          <w:tcPr>
            <w:tcW w:w="2092" w:type="dxa"/>
            <w:shd w:val="clear" w:color="auto" w:fill="auto"/>
          </w:tcPr>
          <w:p w:rsidR="00CE0F75" w:rsidRPr="00B55ADC" w:rsidRDefault="00CE0F75" w:rsidP="001576A9">
            <w:pPr>
              <w:spacing w:after="0" w:line="240" w:lineRule="auto"/>
              <w:jc w:val="center"/>
              <w:rPr>
                <w:szCs w:val="28"/>
              </w:rPr>
            </w:pPr>
            <w:r>
              <w:rPr>
                <w:szCs w:val="28"/>
              </w:rPr>
              <w:t>5</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ІМТ, кг/м</w:t>
            </w:r>
            <w:r w:rsidRPr="00B55ADC">
              <w:rPr>
                <w:szCs w:val="28"/>
                <w:vertAlign w:val="superscript"/>
              </w:rPr>
              <w:t>2</w:t>
            </w: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0,704</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0,02</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66,7</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79,2</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ОТ, см</w:t>
            </w: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0,66</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0,06</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33,3</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96,0</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Креатинін, мкмоль/л</w:t>
            </w:r>
          </w:p>
        </w:tc>
        <w:tc>
          <w:tcPr>
            <w:tcW w:w="1559" w:type="dxa"/>
            <w:shd w:val="clear" w:color="auto" w:fill="auto"/>
          </w:tcPr>
          <w:p w:rsidR="00CE0F75" w:rsidRPr="00B55ADC" w:rsidRDefault="00CE0F75" w:rsidP="001576A9">
            <w:pPr>
              <w:spacing w:after="0" w:line="240" w:lineRule="auto"/>
              <w:jc w:val="center"/>
              <w:rPr>
                <w:szCs w:val="28"/>
                <w:lang w:val="en-US"/>
              </w:rPr>
            </w:pPr>
            <w:r w:rsidRPr="00B55ADC">
              <w:rPr>
                <w:szCs w:val="28"/>
              </w:rPr>
              <w:t>0,</w:t>
            </w:r>
            <w:r w:rsidRPr="00B55ADC">
              <w:rPr>
                <w:szCs w:val="28"/>
                <w:lang w:val="en-US"/>
              </w:rPr>
              <w:t>63</w:t>
            </w:r>
          </w:p>
        </w:tc>
        <w:tc>
          <w:tcPr>
            <w:tcW w:w="1984" w:type="dxa"/>
            <w:shd w:val="clear" w:color="auto" w:fill="auto"/>
          </w:tcPr>
          <w:p w:rsidR="00CE0F75" w:rsidRPr="00B55ADC" w:rsidRDefault="00CE0F75" w:rsidP="001576A9">
            <w:pPr>
              <w:spacing w:after="0" w:line="240" w:lineRule="auto"/>
              <w:jc w:val="center"/>
              <w:rPr>
                <w:szCs w:val="28"/>
                <w:lang w:val="en-US"/>
              </w:rPr>
            </w:pPr>
            <w:r w:rsidRPr="00B55ADC">
              <w:rPr>
                <w:szCs w:val="28"/>
              </w:rPr>
              <w:t>0,</w:t>
            </w:r>
            <w:r w:rsidRPr="00B55ADC">
              <w:rPr>
                <w:szCs w:val="28"/>
                <w:lang w:val="en-US"/>
              </w:rPr>
              <w:t>049</w:t>
            </w:r>
          </w:p>
        </w:tc>
        <w:tc>
          <w:tcPr>
            <w:tcW w:w="1701" w:type="dxa"/>
            <w:shd w:val="clear" w:color="auto" w:fill="auto"/>
          </w:tcPr>
          <w:p w:rsidR="00CE0F75" w:rsidRPr="00B55ADC" w:rsidRDefault="00CE0F75" w:rsidP="001576A9">
            <w:pPr>
              <w:spacing w:after="0" w:line="240" w:lineRule="auto"/>
              <w:jc w:val="center"/>
              <w:rPr>
                <w:szCs w:val="28"/>
                <w:lang w:val="en-US"/>
              </w:rPr>
            </w:pPr>
            <w:r w:rsidRPr="00B55ADC">
              <w:rPr>
                <w:szCs w:val="28"/>
                <w:lang w:val="en-US"/>
              </w:rPr>
              <w:t>75</w:t>
            </w:r>
          </w:p>
        </w:tc>
        <w:tc>
          <w:tcPr>
            <w:tcW w:w="2092" w:type="dxa"/>
            <w:shd w:val="clear" w:color="auto" w:fill="auto"/>
          </w:tcPr>
          <w:p w:rsidR="00CE0F75" w:rsidRPr="00B55ADC" w:rsidRDefault="00CE0F75" w:rsidP="001576A9">
            <w:pPr>
              <w:spacing w:after="0" w:line="240" w:lineRule="auto"/>
              <w:jc w:val="center"/>
              <w:rPr>
                <w:szCs w:val="28"/>
                <w:lang w:val="en-US"/>
              </w:rPr>
            </w:pPr>
            <w:r w:rsidRPr="00B55ADC">
              <w:rPr>
                <w:szCs w:val="28"/>
                <w:lang w:val="en-US"/>
              </w:rPr>
              <w:t>49</w:t>
            </w:r>
            <w:r w:rsidRPr="00B55ADC">
              <w:rPr>
                <w:szCs w:val="28"/>
              </w:rPr>
              <w:t>,</w:t>
            </w:r>
            <w:r w:rsidRPr="00B55ADC">
              <w:rPr>
                <w:szCs w:val="28"/>
                <w:lang w:val="en-US"/>
              </w:rPr>
              <w:t>3</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Галектин-3, нг/мл</w:t>
            </w: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0,83</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0,04</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94,4</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78,9</w:t>
            </w:r>
          </w:p>
        </w:tc>
      </w:tr>
    </w:tbl>
    <w:p w:rsidR="00CE0F75" w:rsidRPr="00B55ADC" w:rsidRDefault="00CE0F75" w:rsidP="00CE0F75">
      <w:pPr>
        <w:spacing w:after="0" w:line="360" w:lineRule="auto"/>
        <w:jc w:val="both"/>
        <w:rPr>
          <w:szCs w:val="28"/>
        </w:rPr>
      </w:pPr>
      <w:r w:rsidRPr="00A548E2">
        <w:rPr>
          <w:b/>
          <w:i/>
          <w:szCs w:val="28"/>
        </w:rPr>
        <w:t>Примітки:</w:t>
      </w:r>
      <w:r w:rsidRPr="00B55ADC">
        <w:rPr>
          <w:szCs w:val="28"/>
        </w:rPr>
        <w:t xml:space="preserve"> (Area under the ROC curve - AUC) – шкала значень площі під кривою, яка відображає якість діагностичного тесту; AUC = 0,9-1,0 – відмінна якість; AUC = 0,8-</w:t>
      </w:r>
      <w:r w:rsidRPr="00B55ADC">
        <w:rPr>
          <w:szCs w:val="28"/>
        </w:rPr>
        <w:lastRenderedPageBreak/>
        <w:t>0,9 – висока якість; AUC = 0,7-0,8 – дуже добра якість; AUC = 0,6-0,7 – задовільна якість; AUC = 0,5-0,6 – незадовільна якість.</w:t>
      </w:r>
    </w:p>
    <w:p w:rsidR="00CE0F75" w:rsidRDefault="00CE0F75" w:rsidP="00CE0F75">
      <w:pPr>
        <w:spacing w:after="0" w:line="360" w:lineRule="auto"/>
        <w:jc w:val="both"/>
        <w:rPr>
          <w:szCs w:val="28"/>
        </w:rPr>
      </w:pPr>
      <w:r w:rsidRPr="00B55ADC">
        <w:rPr>
          <w:szCs w:val="28"/>
        </w:rPr>
        <w:tab/>
        <w:t xml:space="preserve">Дослідження виявило, що додавання до шкали </w:t>
      </w:r>
      <w:r w:rsidRPr="00B55ADC">
        <w:rPr>
          <w:szCs w:val="28"/>
          <w:lang w:val="en-US"/>
        </w:rPr>
        <w:t>GRACE</w:t>
      </w:r>
      <w:r w:rsidRPr="00B55ADC">
        <w:rPr>
          <w:szCs w:val="28"/>
        </w:rPr>
        <w:t xml:space="preserve"> показників концентрації галектину-3 </w:t>
      </w:r>
      <w:r>
        <w:rPr>
          <w:szCs w:val="28"/>
        </w:rPr>
        <w:t>протягом першої доби</w:t>
      </w:r>
      <w:r w:rsidRPr="00B55ADC">
        <w:rPr>
          <w:szCs w:val="28"/>
        </w:rPr>
        <w:t xml:space="preserve"> захворювання на ГІМ у хворих з ожирінням призвело до можливості прогнозувати високий ризик повторної коронарної події протягом 6-місячного терміну спостереження з чутливістю 94,4% та специфічністю 78,9% при рівні галектину-3 </w:t>
      </w:r>
      <w:r w:rsidRPr="00A548E2">
        <w:rPr>
          <w:szCs w:val="28"/>
        </w:rPr>
        <w:t>&gt;</w:t>
      </w:r>
      <w:r>
        <w:rPr>
          <w:szCs w:val="28"/>
        </w:rPr>
        <w:t>12,83 </w:t>
      </w:r>
      <w:r w:rsidRPr="00B55ADC">
        <w:rPr>
          <w:szCs w:val="28"/>
        </w:rPr>
        <w:t xml:space="preserve">нг/мл, </w:t>
      </w:r>
      <w:r w:rsidRPr="00B55ADC">
        <w:rPr>
          <w:szCs w:val="28"/>
          <w:lang w:val="en-US"/>
        </w:rPr>
        <w:t>AUC</w:t>
      </w:r>
      <w:r w:rsidRPr="00B55ADC">
        <w:rPr>
          <w:szCs w:val="28"/>
        </w:rPr>
        <w:t xml:space="preserve"> склала 0,83</w:t>
      </w:r>
      <w:r>
        <w:rPr>
          <w:szCs w:val="28"/>
        </w:rPr>
        <w:t xml:space="preserve"> </w:t>
      </w:r>
      <w:r w:rsidRPr="0039204D">
        <w:rPr>
          <w:szCs w:val="28"/>
        </w:rPr>
        <w:t xml:space="preserve">(рис. </w:t>
      </w:r>
      <w:r>
        <w:rPr>
          <w:szCs w:val="28"/>
        </w:rPr>
        <w:t>7.</w:t>
      </w:r>
      <w:r w:rsidRPr="0039204D">
        <w:rPr>
          <w:szCs w:val="28"/>
        </w:rPr>
        <w:t>4).</w:t>
      </w:r>
    </w:p>
    <w:p w:rsidR="00301E40" w:rsidRPr="0039204D" w:rsidRDefault="00301E40" w:rsidP="00CE0F75">
      <w:pPr>
        <w:spacing w:after="0" w:line="360" w:lineRule="auto"/>
        <w:jc w:val="both"/>
        <w:rPr>
          <w:szCs w:val="28"/>
        </w:rPr>
      </w:pPr>
    </w:p>
    <w:p w:rsidR="00CE0F75" w:rsidRDefault="00CE0F75" w:rsidP="00CE0F75">
      <w:pPr>
        <w:spacing w:after="0" w:line="360" w:lineRule="auto"/>
        <w:jc w:val="both"/>
        <w:rPr>
          <w:szCs w:val="28"/>
        </w:rPr>
      </w:pPr>
      <w:r>
        <w:rPr>
          <w:noProof/>
          <w:szCs w:val="28"/>
          <w:lang w:val="ru-RU" w:eastAsia="ru-RU"/>
        </w:rPr>
        <w:drawing>
          <wp:inline distT="0" distB="0" distL="0" distR="0">
            <wp:extent cx="4873625" cy="2914015"/>
            <wp:effectExtent l="19050" t="0" r="3175"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5" cstate="print"/>
                    <a:srcRect/>
                    <a:stretch>
                      <a:fillRect/>
                    </a:stretch>
                  </pic:blipFill>
                  <pic:spPr bwMode="auto">
                    <a:xfrm>
                      <a:off x="0" y="0"/>
                      <a:ext cx="4873625" cy="2914015"/>
                    </a:xfrm>
                    <a:prstGeom prst="rect">
                      <a:avLst/>
                    </a:prstGeom>
                    <a:noFill/>
                    <a:ln w="9525">
                      <a:noFill/>
                      <a:miter lim="800000"/>
                      <a:headEnd/>
                      <a:tailEnd/>
                    </a:ln>
                  </pic:spPr>
                </pic:pic>
              </a:graphicData>
            </a:graphic>
          </wp:inline>
        </w:drawing>
      </w:r>
    </w:p>
    <w:p w:rsidR="00CE0F75" w:rsidRDefault="00CE0F75" w:rsidP="00CE0F75">
      <w:pPr>
        <w:spacing w:after="0" w:line="360" w:lineRule="auto"/>
        <w:jc w:val="both"/>
        <w:rPr>
          <w:szCs w:val="28"/>
        </w:rPr>
      </w:pPr>
      <w:r w:rsidRPr="0039204D">
        <w:rPr>
          <w:szCs w:val="28"/>
        </w:rPr>
        <w:t xml:space="preserve">Рис. </w:t>
      </w:r>
      <w:r>
        <w:rPr>
          <w:szCs w:val="28"/>
        </w:rPr>
        <w:t xml:space="preserve">7.4 – </w:t>
      </w:r>
      <w:r w:rsidRPr="00B55ADC">
        <w:rPr>
          <w:szCs w:val="28"/>
        </w:rPr>
        <w:t>Прогностична цінність галектину-3 у хворих на гострий інфаркт міокарда на тлі супутнього ожиріння щодо розвитку повторної кардіоваскулярної под</w:t>
      </w:r>
      <w:r>
        <w:rPr>
          <w:szCs w:val="28"/>
        </w:rPr>
        <w:t>ії протягом 6-місячного терміну</w:t>
      </w:r>
      <w:r>
        <w:rPr>
          <w:szCs w:val="28"/>
        </w:rPr>
        <w:br w:type="page"/>
      </w:r>
    </w:p>
    <w:p w:rsidR="00CE0F75" w:rsidRDefault="00CE0F75" w:rsidP="00CE0F75">
      <w:pPr>
        <w:spacing w:after="0" w:line="360" w:lineRule="auto"/>
        <w:ind w:firstLine="708"/>
        <w:jc w:val="both"/>
        <w:rPr>
          <w:szCs w:val="28"/>
        </w:rPr>
      </w:pPr>
      <w:r>
        <w:rPr>
          <w:szCs w:val="28"/>
        </w:rPr>
        <w:lastRenderedPageBreak/>
        <w:t xml:space="preserve">За результатами дослідження Цілуйко В.Й. та співав. </w:t>
      </w:r>
      <w:r w:rsidRPr="00116718">
        <w:rPr>
          <w:szCs w:val="28"/>
        </w:rPr>
        <w:t>[</w:t>
      </w:r>
      <w:r>
        <w:rPr>
          <w:szCs w:val="28"/>
        </w:rPr>
        <w:t>147</w:t>
      </w:r>
      <w:r w:rsidRPr="00116718">
        <w:rPr>
          <w:szCs w:val="28"/>
        </w:rPr>
        <w:t>]</w:t>
      </w:r>
      <w:r>
        <w:rPr>
          <w:szCs w:val="28"/>
        </w:rPr>
        <w:t xml:space="preserve">, у хворих з інфарктом міокарда правого шлуночка визначений на другу добу рівень концентрації галектину-3 розцінювався як незалежний фактор ризику розвитку нестабільної стенокардії, повторного ІМ та серцево-судинної смертності в наступні 30 місяців після коронарної події. </w:t>
      </w:r>
    </w:p>
    <w:p w:rsidR="00CE0F75" w:rsidRPr="00E42D1C" w:rsidRDefault="00CE0F75" w:rsidP="00CE0F75">
      <w:pPr>
        <w:spacing w:after="0" w:line="360" w:lineRule="auto"/>
        <w:ind w:firstLine="708"/>
        <w:jc w:val="both"/>
        <w:rPr>
          <w:szCs w:val="28"/>
        </w:rPr>
      </w:pPr>
      <w:r>
        <w:rPr>
          <w:szCs w:val="28"/>
        </w:rPr>
        <w:t xml:space="preserve">Найкращі результати щодо прогнозу повторних кардіоваскулярних подій у вигляді НС та/або ГІМ мав вітронектин, який при рівні </w:t>
      </w:r>
      <w:r w:rsidRPr="00E42D1C">
        <w:rPr>
          <w:szCs w:val="28"/>
        </w:rPr>
        <w:t>&gt;</w:t>
      </w:r>
      <w:r>
        <w:rPr>
          <w:szCs w:val="28"/>
        </w:rPr>
        <w:t>283,27 нг/мл володів як високою специфічністю (96%), так і чутливістю (86,7%), А</w:t>
      </w:r>
      <w:r>
        <w:rPr>
          <w:szCs w:val="28"/>
          <w:lang w:val="en-US"/>
        </w:rPr>
        <w:t>UC</w:t>
      </w:r>
      <w:r>
        <w:rPr>
          <w:szCs w:val="28"/>
        </w:rPr>
        <w:t xml:space="preserve"> склала 0,96 (рис 7.5).</w:t>
      </w:r>
    </w:p>
    <w:p w:rsidR="00CE0F75" w:rsidRDefault="00CE0F75" w:rsidP="00CE0F75">
      <w:pPr>
        <w:spacing w:after="0" w:line="360" w:lineRule="auto"/>
        <w:ind w:firstLine="708"/>
        <w:jc w:val="both"/>
        <w:rPr>
          <w:szCs w:val="28"/>
        </w:rPr>
      </w:pPr>
    </w:p>
    <w:p w:rsidR="00CE0F75" w:rsidRDefault="00CE0F75" w:rsidP="00CE0F75">
      <w:pPr>
        <w:spacing w:after="0" w:line="360" w:lineRule="auto"/>
        <w:jc w:val="both"/>
        <w:rPr>
          <w:szCs w:val="28"/>
        </w:rPr>
      </w:pPr>
      <w:r>
        <w:rPr>
          <w:noProof/>
          <w:lang w:val="ru-RU" w:eastAsia="ru-RU"/>
        </w:rPr>
        <w:drawing>
          <wp:inline distT="0" distB="0" distL="0" distR="0">
            <wp:extent cx="5084878" cy="3828422"/>
            <wp:effectExtent l="19050" t="0" r="1472"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6" cstate="print"/>
                    <a:srcRect/>
                    <a:stretch>
                      <a:fillRect/>
                    </a:stretch>
                  </pic:blipFill>
                  <pic:spPr bwMode="auto">
                    <a:xfrm>
                      <a:off x="0" y="0"/>
                      <a:ext cx="5086534" cy="3829669"/>
                    </a:xfrm>
                    <a:prstGeom prst="rect">
                      <a:avLst/>
                    </a:prstGeom>
                    <a:noFill/>
                    <a:ln w="9525">
                      <a:noFill/>
                      <a:miter lim="800000"/>
                      <a:headEnd/>
                      <a:tailEnd/>
                    </a:ln>
                  </pic:spPr>
                </pic:pic>
              </a:graphicData>
            </a:graphic>
          </wp:inline>
        </w:drawing>
      </w:r>
    </w:p>
    <w:p w:rsidR="00CE0F75" w:rsidRDefault="00CE0F75" w:rsidP="00CE0F75">
      <w:pPr>
        <w:spacing w:after="0" w:line="360" w:lineRule="auto"/>
        <w:ind w:firstLine="708"/>
        <w:jc w:val="both"/>
        <w:rPr>
          <w:szCs w:val="28"/>
        </w:rPr>
      </w:pPr>
      <w:r>
        <w:rPr>
          <w:szCs w:val="28"/>
        </w:rPr>
        <w:t>Рис</w:t>
      </w:r>
      <w:r w:rsidRPr="00E42D1C">
        <w:rPr>
          <w:szCs w:val="28"/>
        </w:rPr>
        <w:t xml:space="preserve">. </w:t>
      </w:r>
      <w:r>
        <w:rPr>
          <w:szCs w:val="28"/>
        </w:rPr>
        <w:t>7.5</w:t>
      </w:r>
      <w:r w:rsidRPr="00E42D1C">
        <w:rPr>
          <w:szCs w:val="28"/>
        </w:rPr>
        <w:t>. Прогностична цінність в</w:t>
      </w:r>
      <w:r>
        <w:rPr>
          <w:szCs w:val="28"/>
        </w:rPr>
        <w:t>і</w:t>
      </w:r>
      <w:r w:rsidRPr="00E42D1C">
        <w:rPr>
          <w:szCs w:val="28"/>
        </w:rPr>
        <w:t>тронектину у хворих на гострий інфаркт міокарда на тл</w:t>
      </w:r>
      <w:r>
        <w:rPr>
          <w:szCs w:val="28"/>
        </w:rPr>
        <w:t>і супутнього ожиріння</w:t>
      </w:r>
      <w:r w:rsidRPr="00E42D1C">
        <w:rPr>
          <w:szCs w:val="28"/>
        </w:rPr>
        <w:t xml:space="preserve"> щодо розвитку </w:t>
      </w:r>
      <w:r>
        <w:rPr>
          <w:szCs w:val="28"/>
        </w:rPr>
        <w:t>повторної кардіоваскулярної події протягом 6-місячного терміну</w:t>
      </w:r>
      <w:r w:rsidRPr="00E42D1C">
        <w:rPr>
          <w:szCs w:val="28"/>
        </w:rPr>
        <w:t>.</w:t>
      </w:r>
    </w:p>
    <w:p w:rsidR="00CE0F75" w:rsidRDefault="00CE0F75" w:rsidP="00CE0F75">
      <w:pPr>
        <w:rPr>
          <w:szCs w:val="28"/>
        </w:rPr>
      </w:pPr>
      <w:r>
        <w:rPr>
          <w:szCs w:val="28"/>
        </w:rPr>
        <w:br w:type="page"/>
      </w:r>
    </w:p>
    <w:p w:rsidR="00CE0F75" w:rsidRPr="000A2A14" w:rsidRDefault="00CE0F75" w:rsidP="00CE0F75">
      <w:pPr>
        <w:tabs>
          <w:tab w:val="num" w:pos="330"/>
        </w:tabs>
        <w:spacing w:after="0" w:line="360" w:lineRule="auto"/>
        <w:ind w:firstLine="709"/>
        <w:jc w:val="both"/>
        <w:rPr>
          <w:szCs w:val="28"/>
        </w:rPr>
      </w:pPr>
      <w:r>
        <w:rPr>
          <w:szCs w:val="28"/>
        </w:rPr>
        <w:lastRenderedPageBreak/>
        <w:tab/>
        <w:t>Таким чином, за результатами нашого дослідження в</w:t>
      </w:r>
      <w:r w:rsidRPr="00B55ADC">
        <w:rPr>
          <w:szCs w:val="28"/>
        </w:rPr>
        <w:t>становлено стійкий зв’язок між антропометричними показниками, а саме індексом маси тіла та об’ємом талії, та</w:t>
      </w:r>
      <w:r>
        <w:rPr>
          <w:szCs w:val="28"/>
        </w:rPr>
        <w:t xml:space="preserve"> </w:t>
      </w:r>
      <w:r w:rsidRPr="00B55ADC">
        <w:rPr>
          <w:szCs w:val="28"/>
        </w:rPr>
        <w:t xml:space="preserve">виникненням повторних кардіоваскулярних подій під час 6-місячного терміну спостереження за хворими на Q-позитивний інфаркт міокарда на тлі ожиріння. Функціональний стан нирок, визначений за допомогою креатинінемії, та галектинемія показали предикторні властивості щодо розвитку повторного </w:t>
      </w:r>
      <w:r>
        <w:rPr>
          <w:szCs w:val="28"/>
        </w:rPr>
        <w:t>ІМ та/або нестабільної стенокардії</w:t>
      </w:r>
      <w:r w:rsidRPr="00B55ADC">
        <w:rPr>
          <w:szCs w:val="28"/>
        </w:rPr>
        <w:t xml:space="preserve"> через 6 місяців після перенесеного </w:t>
      </w:r>
      <w:r>
        <w:rPr>
          <w:szCs w:val="28"/>
        </w:rPr>
        <w:t>ГКС</w:t>
      </w:r>
      <w:r w:rsidRPr="00B55ADC">
        <w:rPr>
          <w:szCs w:val="28"/>
        </w:rPr>
        <w:t xml:space="preserve"> з елевацією сегмента </w:t>
      </w:r>
      <w:r w:rsidRPr="00B55ADC">
        <w:rPr>
          <w:szCs w:val="28"/>
          <w:lang w:val="en-US"/>
        </w:rPr>
        <w:t>ST</w:t>
      </w:r>
      <w:r w:rsidRPr="00B55ADC">
        <w:rPr>
          <w:szCs w:val="28"/>
        </w:rPr>
        <w:t>.</w:t>
      </w:r>
      <w:r>
        <w:rPr>
          <w:szCs w:val="28"/>
        </w:rPr>
        <w:t xml:space="preserve"> </w:t>
      </w:r>
      <w:r w:rsidRPr="00B55ADC">
        <w:rPr>
          <w:szCs w:val="28"/>
        </w:rPr>
        <w:t xml:space="preserve">За допомогою </w:t>
      </w:r>
      <w:r w:rsidRPr="00B55ADC">
        <w:rPr>
          <w:szCs w:val="28"/>
          <w:lang w:val="en-US"/>
        </w:rPr>
        <w:t>ROC</w:t>
      </w:r>
      <w:r w:rsidRPr="00B55ADC">
        <w:rPr>
          <w:szCs w:val="28"/>
        </w:rPr>
        <w:t xml:space="preserve">-аналізу виявлено, що при рівні креатиніну сироватки крові &gt;85 мкмоль/л, </w:t>
      </w:r>
      <w:r>
        <w:rPr>
          <w:szCs w:val="28"/>
        </w:rPr>
        <w:t xml:space="preserve"> </w:t>
      </w:r>
      <w:r w:rsidRPr="00B55ADC">
        <w:rPr>
          <w:szCs w:val="28"/>
        </w:rPr>
        <w:t>галектину</w:t>
      </w:r>
      <w:r>
        <w:rPr>
          <w:szCs w:val="28"/>
        </w:rPr>
        <w:t> - 3</w:t>
      </w:r>
      <w:r w:rsidRPr="00B55ADC">
        <w:rPr>
          <w:szCs w:val="28"/>
        </w:rPr>
        <w:t xml:space="preserve"> &gt;12,83 нг/мл, </w:t>
      </w:r>
      <w:r>
        <w:rPr>
          <w:szCs w:val="28"/>
        </w:rPr>
        <w:t>ІМТ</w:t>
      </w:r>
      <w:r w:rsidRPr="00B55ADC">
        <w:rPr>
          <w:szCs w:val="28"/>
        </w:rPr>
        <w:t xml:space="preserve"> &gt;34,13 кг/м</w:t>
      </w:r>
      <w:r w:rsidRPr="00B55ADC">
        <w:rPr>
          <w:szCs w:val="28"/>
          <w:vertAlign w:val="superscript"/>
        </w:rPr>
        <w:t xml:space="preserve">2 </w:t>
      </w:r>
      <w:r w:rsidRPr="00B55ADC">
        <w:rPr>
          <w:szCs w:val="28"/>
        </w:rPr>
        <w:t xml:space="preserve">та </w:t>
      </w:r>
      <w:r>
        <w:rPr>
          <w:szCs w:val="28"/>
        </w:rPr>
        <w:t>ОТ</w:t>
      </w:r>
      <w:r w:rsidRPr="00B55ADC">
        <w:rPr>
          <w:szCs w:val="28"/>
        </w:rPr>
        <w:t xml:space="preserve"> &gt;130 см</w:t>
      </w:r>
      <w:r>
        <w:rPr>
          <w:szCs w:val="28"/>
        </w:rPr>
        <w:t xml:space="preserve"> </w:t>
      </w:r>
      <w:r w:rsidRPr="00B55ADC">
        <w:rPr>
          <w:szCs w:val="28"/>
        </w:rPr>
        <w:t xml:space="preserve">можна прогнозувати кардіоваскулярні події протягом півроку після перенесеного </w:t>
      </w:r>
      <w:r>
        <w:rPr>
          <w:szCs w:val="28"/>
        </w:rPr>
        <w:t>ГІМ</w:t>
      </w:r>
      <w:r w:rsidRPr="00B55ADC">
        <w:rPr>
          <w:szCs w:val="28"/>
        </w:rPr>
        <w:t xml:space="preserve"> у хво</w:t>
      </w:r>
      <w:r>
        <w:rPr>
          <w:szCs w:val="28"/>
        </w:rPr>
        <w:t>рих, що мають супутнє ожиріння.</w:t>
      </w:r>
    </w:p>
    <w:p w:rsidR="00CE0F75" w:rsidRDefault="00CE0F75" w:rsidP="00CE0F75">
      <w:pPr>
        <w:autoSpaceDE w:val="0"/>
        <w:autoSpaceDN w:val="0"/>
        <w:adjustRightInd w:val="0"/>
        <w:spacing w:after="0" w:line="360" w:lineRule="auto"/>
        <w:ind w:firstLine="708"/>
        <w:jc w:val="both"/>
        <w:rPr>
          <w:iCs/>
          <w:szCs w:val="28"/>
        </w:rPr>
      </w:pPr>
      <w:r w:rsidRPr="00BB408E">
        <w:rPr>
          <w:iCs/>
          <w:szCs w:val="28"/>
        </w:rPr>
        <w:t xml:space="preserve">Як приклад використання предикторних властивостей </w:t>
      </w:r>
      <w:r w:rsidRPr="000A2A14">
        <w:rPr>
          <w:iCs/>
          <w:szCs w:val="28"/>
        </w:rPr>
        <w:t>в</w:t>
      </w:r>
      <w:r>
        <w:rPr>
          <w:iCs/>
          <w:szCs w:val="28"/>
        </w:rPr>
        <w:t>і</w:t>
      </w:r>
      <w:r w:rsidRPr="000A2A14">
        <w:rPr>
          <w:iCs/>
          <w:szCs w:val="28"/>
        </w:rPr>
        <w:t>тронектин</w:t>
      </w:r>
      <w:r>
        <w:rPr>
          <w:iCs/>
          <w:szCs w:val="28"/>
        </w:rPr>
        <w:t>у</w:t>
      </w:r>
      <w:r w:rsidRPr="00BB408E">
        <w:rPr>
          <w:iCs/>
          <w:szCs w:val="28"/>
        </w:rPr>
        <w:t xml:space="preserve"> наводимо витяг з історії хвороби № </w:t>
      </w:r>
      <w:r>
        <w:rPr>
          <w:iCs/>
          <w:szCs w:val="28"/>
        </w:rPr>
        <w:t xml:space="preserve">2410. </w:t>
      </w:r>
      <w:r w:rsidRPr="000A2A14">
        <w:rPr>
          <w:iCs/>
          <w:szCs w:val="28"/>
        </w:rPr>
        <w:t>Хвор</w:t>
      </w:r>
      <w:r>
        <w:rPr>
          <w:iCs/>
          <w:szCs w:val="28"/>
        </w:rPr>
        <w:t>а К</w:t>
      </w:r>
      <w:r w:rsidRPr="000A2A14">
        <w:rPr>
          <w:iCs/>
          <w:szCs w:val="28"/>
        </w:rPr>
        <w:t xml:space="preserve">., </w:t>
      </w:r>
      <w:r>
        <w:rPr>
          <w:iCs/>
          <w:szCs w:val="28"/>
        </w:rPr>
        <w:t>67</w:t>
      </w:r>
      <w:r w:rsidRPr="000A2A14">
        <w:rPr>
          <w:iCs/>
          <w:szCs w:val="28"/>
        </w:rPr>
        <w:t xml:space="preserve"> років, перебува</w:t>
      </w:r>
      <w:r>
        <w:rPr>
          <w:iCs/>
          <w:szCs w:val="28"/>
        </w:rPr>
        <w:t>ла</w:t>
      </w:r>
      <w:r w:rsidRPr="000A2A14">
        <w:rPr>
          <w:iCs/>
          <w:szCs w:val="28"/>
        </w:rPr>
        <w:t xml:space="preserve">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 xml:space="preserve">з </w:t>
      </w:r>
      <w:r w:rsidRPr="000A2A14">
        <w:rPr>
          <w:szCs w:val="28"/>
          <w:lang w:eastAsia="ru-RU"/>
        </w:rPr>
        <w:t>02.04.2016</w:t>
      </w:r>
      <w:r>
        <w:rPr>
          <w:szCs w:val="28"/>
          <w:lang w:eastAsia="ru-RU"/>
        </w:rPr>
        <w:t>р</w:t>
      </w:r>
      <w:r w:rsidRPr="000A2A14">
        <w:rPr>
          <w:szCs w:val="28"/>
          <w:lang w:eastAsia="ru-RU"/>
        </w:rPr>
        <w:t>. по 12.04.2016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(01.04.16) повторн</w:t>
      </w:r>
      <w:r>
        <w:rPr>
          <w:iCs/>
          <w:szCs w:val="28"/>
        </w:rPr>
        <w:t>и</w:t>
      </w:r>
      <w:r w:rsidRPr="00965008">
        <w:rPr>
          <w:iCs/>
          <w:szCs w:val="28"/>
        </w:rPr>
        <w:t>й (2) задн</w:t>
      </w:r>
      <w:r>
        <w:rPr>
          <w:iCs/>
          <w:szCs w:val="28"/>
        </w:rPr>
        <w:t>і</w:t>
      </w:r>
      <w:r w:rsidRPr="00965008">
        <w:rPr>
          <w:iCs/>
          <w:szCs w:val="28"/>
        </w:rPr>
        <w:t>й 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w:t>
      </w:r>
      <w:r w:rsidRPr="00965008">
        <w:rPr>
          <w:iCs/>
          <w:szCs w:val="28"/>
        </w:rPr>
        <w:t>окарда, пост</w:t>
      </w:r>
      <w:r>
        <w:rPr>
          <w:iCs/>
          <w:szCs w:val="28"/>
        </w:rPr>
        <w:t>і</w:t>
      </w:r>
      <w:r w:rsidRPr="00965008">
        <w:rPr>
          <w:iCs/>
          <w:szCs w:val="28"/>
        </w:rPr>
        <w:t>нфарктн</w:t>
      </w:r>
      <w:r>
        <w:rPr>
          <w:iCs/>
          <w:szCs w:val="28"/>
        </w:rPr>
        <w:t>и</w:t>
      </w:r>
      <w:r w:rsidRPr="00965008">
        <w:rPr>
          <w:iCs/>
          <w:szCs w:val="28"/>
        </w:rPr>
        <w:t xml:space="preserve">й (2013) </w:t>
      </w:r>
      <w:r>
        <w:rPr>
          <w:iCs/>
          <w:szCs w:val="28"/>
        </w:rPr>
        <w:t>і</w:t>
      </w:r>
      <w:r w:rsidRPr="00965008">
        <w:rPr>
          <w:iCs/>
          <w:szCs w:val="28"/>
        </w:rPr>
        <w:t xml:space="preserve"> атеросклеротич</w:t>
      </w:r>
      <w:r>
        <w:rPr>
          <w:iCs/>
          <w:szCs w:val="28"/>
        </w:rPr>
        <w:t>н</w:t>
      </w:r>
      <w:r w:rsidRPr="00965008">
        <w:rPr>
          <w:iCs/>
          <w:szCs w:val="28"/>
        </w:rPr>
        <w:t>ий кард</w:t>
      </w:r>
      <w:r>
        <w:rPr>
          <w:iCs/>
          <w:szCs w:val="28"/>
        </w:rPr>
        <w:t>і</w:t>
      </w:r>
      <w:r w:rsidRPr="00965008">
        <w:rPr>
          <w:iCs/>
          <w:szCs w:val="28"/>
        </w:rPr>
        <w:t>осклероз, атеросклероз аорт</w:t>
      </w:r>
      <w:r>
        <w:rPr>
          <w:iCs/>
          <w:szCs w:val="28"/>
        </w:rPr>
        <w:t>и</w:t>
      </w:r>
      <w:r w:rsidRPr="00965008">
        <w:rPr>
          <w:iCs/>
          <w:szCs w:val="28"/>
        </w:rPr>
        <w:t xml:space="preserve">, </w:t>
      </w:r>
      <w:r>
        <w:rPr>
          <w:iCs/>
          <w:szCs w:val="28"/>
        </w:rPr>
        <w:t>вінцевих артерій</w:t>
      </w:r>
      <w:r w:rsidRPr="00965008">
        <w:rPr>
          <w:iCs/>
          <w:szCs w:val="28"/>
        </w:rPr>
        <w:t>, догосп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тенектеплазою</w:t>
      </w:r>
      <w:r w:rsidRPr="00965008">
        <w:rPr>
          <w:iCs/>
          <w:szCs w:val="28"/>
        </w:rPr>
        <w:t xml:space="preserve"> 01.04.2016.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3 ст., </w:t>
      </w:r>
      <w:r>
        <w:rPr>
          <w:iCs/>
          <w:szCs w:val="28"/>
        </w:rPr>
        <w:t>ризик дуже високий</w:t>
      </w:r>
      <w:r w:rsidRPr="00965008">
        <w:rPr>
          <w:iCs/>
          <w:szCs w:val="28"/>
        </w:rPr>
        <w:t>.</w:t>
      </w:r>
      <w:r>
        <w:rPr>
          <w:iCs/>
          <w:szCs w:val="28"/>
        </w:rPr>
        <w:t xml:space="preserve"> ГЛШН – серцева астма 02.04.2016р. Негоспітальна гіпостатична пневмонія клінічно. Ожиріння I ст. Пред’являла</w:t>
      </w:r>
      <w:r w:rsidRPr="00BB408E">
        <w:rPr>
          <w:iCs/>
          <w:szCs w:val="28"/>
        </w:rPr>
        <w:t xml:space="preserve"> скарги на </w:t>
      </w:r>
      <w:r w:rsidRPr="002611ED">
        <w:rPr>
          <w:szCs w:val="28"/>
        </w:rPr>
        <w:t>пекуч</w:t>
      </w:r>
      <w:r>
        <w:rPr>
          <w:szCs w:val="28"/>
        </w:rPr>
        <w:t xml:space="preserve">ий біль за грудиною з ірадіацією в між лопатковий простір, </w:t>
      </w:r>
      <w:r w:rsidRPr="002611ED">
        <w:rPr>
          <w:szCs w:val="28"/>
        </w:rPr>
        <w:t>повністю купован</w:t>
      </w:r>
      <w:r>
        <w:rPr>
          <w:szCs w:val="28"/>
        </w:rPr>
        <w:t>ий</w:t>
      </w:r>
      <w:r w:rsidRPr="002611ED">
        <w:rPr>
          <w:szCs w:val="28"/>
        </w:rPr>
        <w:t xml:space="preserve"> на догоспітальному етапі введенням </w:t>
      </w:r>
      <w:r>
        <w:rPr>
          <w:szCs w:val="28"/>
        </w:rPr>
        <w:t>морфіну</w:t>
      </w:r>
      <w:r w:rsidRPr="002611ED">
        <w:rPr>
          <w:szCs w:val="28"/>
        </w:rPr>
        <w:t>,</w:t>
      </w:r>
      <w:r>
        <w:rPr>
          <w:szCs w:val="28"/>
        </w:rPr>
        <w:t xml:space="preserve"> виражену</w:t>
      </w:r>
      <w:r w:rsidRPr="002611ED">
        <w:rPr>
          <w:szCs w:val="28"/>
        </w:rPr>
        <w:t xml:space="preserve"> загальну слабкість, задишку при фізичних навантаженнях</w:t>
      </w:r>
      <w:r>
        <w:rPr>
          <w:szCs w:val="28"/>
        </w:rPr>
        <w:t>, нудоту</w:t>
      </w:r>
      <w:r w:rsidRPr="00BB408E">
        <w:rPr>
          <w:iCs/>
          <w:szCs w:val="28"/>
        </w:rPr>
        <w:t xml:space="preserve">. З анамнезу відомо, що </w:t>
      </w:r>
      <w:r w:rsidRPr="002611ED">
        <w:rPr>
          <w:iCs/>
          <w:szCs w:val="28"/>
        </w:rPr>
        <w:t>гіпертонічною хворобою страждає</w:t>
      </w:r>
      <w:r>
        <w:rPr>
          <w:iCs/>
          <w:szCs w:val="28"/>
        </w:rPr>
        <w:t xml:space="preserve"> протягом 5 років з максимальними значеннями АТ 200/100 мм.рт.ст</w:t>
      </w:r>
      <w:r w:rsidRPr="002611ED">
        <w:rPr>
          <w:iCs/>
          <w:szCs w:val="28"/>
        </w:rPr>
        <w:t xml:space="preserve">. </w:t>
      </w:r>
      <w:r w:rsidRPr="00AA2240">
        <w:rPr>
          <w:iCs/>
          <w:szCs w:val="28"/>
        </w:rPr>
        <w:t>Раніше інсульти, порушення ритму заперечує. У 2013 році перенесла інфаркт міокарда, з приводу якого проходила курс стаціонарного лікування в Х</w:t>
      </w:r>
      <w:r>
        <w:rPr>
          <w:iCs/>
          <w:szCs w:val="28"/>
        </w:rPr>
        <w:t>М</w:t>
      </w:r>
      <w:r w:rsidRPr="00AA2240">
        <w:rPr>
          <w:iCs/>
          <w:szCs w:val="28"/>
        </w:rPr>
        <w:t>К</w:t>
      </w:r>
      <w:r>
        <w:rPr>
          <w:iCs/>
          <w:szCs w:val="28"/>
        </w:rPr>
        <w:t>Л</w:t>
      </w:r>
      <w:r w:rsidRPr="00AA2240">
        <w:rPr>
          <w:iCs/>
          <w:szCs w:val="28"/>
        </w:rPr>
        <w:t xml:space="preserve"> № 8. Згідно УЗД серця від </w:t>
      </w:r>
      <w:r w:rsidRPr="00AA2240">
        <w:rPr>
          <w:iCs/>
          <w:szCs w:val="28"/>
        </w:rPr>
        <w:lastRenderedPageBreak/>
        <w:t xml:space="preserve">23.04.2013 - склеротичні зміни аорти, гіпокінезія задньої стінки лівого шлуночка, додаткова хорда лівого шлуночка. </w:t>
      </w:r>
      <w:r>
        <w:rPr>
          <w:iCs/>
          <w:szCs w:val="28"/>
        </w:rPr>
        <w:t>На</w:t>
      </w:r>
      <w:r w:rsidRPr="00AA2240">
        <w:rPr>
          <w:iCs/>
          <w:szCs w:val="28"/>
        </w:rPr>
        <w:t xml:space="preserve"> даний час регулярно ніяких гіпотензивних препаратів не приймає. При підвищенні цифр артеріального тиску приймає папазол. Протягом 01.04.2016 відчувала себе задовільно. Больовий синдром не турбував. Різке погіршення стану 01.04.2016, коли близько 22:00 з'явилися вище</w:t>
      </w:r>
      <w:r>
        <w:rPr>
          <w:iCs/>
          <w:szCs w:val="28"/>
        </w:rPr>
        <w:t>наведені</w:t>
      </w:r>
      <w:r w:rsidRPr="00AA2240">
        <w:rPr>
          <w:iCs/>
          <w:szCs w:val="28"/>
        </w:rPr>
        <w:t xml:space="preserve"> скарги.</w:t>
      </w:r>
      <w:r>
        <w:rPr>
          <w:iCs/>
          <w:szCs w:val="28"/>
        </w:rPr>
        <w:t xml:space="preserve"> </w:t>
      </w:r>
      <w:r w:rsidRPr="0068370C">
        <w:rPr>
          <w:iCs/>
          <w:szCs w:val="28"/>
        </w:rPr>
        <w:t xml:space="preserve">Для </w:t>
      </w:r>
      <w:r>
        <w:rPr>
          <w:iCs/>
          <w:szCs w:val="28"/>
        </w:rPr>
        <w:t>усунення</w:t>
      </w:r>
      <w:r w:rsidRPr="0068370C">
        <w:rPr>
          <w:iCs/>
          <w:szCs w:val="28"/>
        </w:rPr>
        <w:t xml:space="preserve"> больового синдрому</w:t>
      </w:r>
      <w:r>
        <w:rPr>
          <w:iCs/>
          <w:szCs w:val="28"/>
        </w:rPr>
        <w:t xml:space="preserve"> хвора самостійно </w:t>
      </w:r>
      <w:r w:rsidRPr="0068370C">
        <w:rPr>
          <w:iCs/>
          <w:szCs w:val="28"/>
        </w:rPr>
        <w:t xml:space="preserve">приймала валідол. </w:t>
      </w:r>
      <w:r>
        <w:rPr>
          <w:iCs/>
          <w:szCs w:val="28"/>
        </w:rPr>
        <w:t>У зв’</w:t>
      </w:r>
      <w:r w:rsidRPr="000A2A14">
        <w:rPr>
          <w:iCs/>
          <w:szCs w:val="28"/>
        </w:rPr>
        <w:t xml:space="preserve">язку з тим, що </w:t>
      </w:r>
      <w:r w:rsidRPr="0068370C">
        <w:rPr>
          <w:iCs/>
          <w:szCs w:val="28"/>
        </w:rPr>
        <w:t>больовий синдром зберігався</w:t>
      </w:r>
      <w:r>
        <w:rPr>
          <w:iCs/>
          <w:szCs w:val="28"/>
        </w:rPr>
        <w:t xml:space="preserve"> більше години,</w:t>
      </w:r>
      <w:r w:rsidRPr="0068370C">
        <w:rPr>
          <w:iCs/>
          <w:szCs w:val="28"/>
        </w:rPr>
        <w:t xml:space="preserve"> була викликана </w:t>
      </w:r>
      <w:r>
        <w:rPr>
          <w:iCs/>
          <w:szCs w:val="28"/>
        </w:rPr>
        <w:t>бригада швидкої допомоги</w:t>
      </w:r>
      <w:r w:rsidRPr="0068370C">
        <w:rPr>
          <w:iCs/>
          <w:szCs w:val="28"/>
        </w:rPr>
        <w:t>. Була н</w:t>
      </w:r>
      <w:r>
        <w:rPr>
          <w:iCs/>
          <w:szCs w:val="28"/>
        </w:rPr>
        <w:t>адана допомога - нітрогліцерин</w:t>
      </w:r>
      <w:r w:rsidRPr="0068370C">
        <w:rPr>
          <w:iCs/>
          <w:szCs w:val="28"/>
        </w:rPr>
        <w:t xml:space="preserve">, </w:t>
      </w:r>
      <w:r>
        <w:rPr>
          <w:iCs/>
          <w:szCs w:val="28"/>
        </w:rPr>
        <w:t>АСК</w:t>
      </w:r>
      <w:r w:rsidRPr="0068370C">
        <w:rPr>
          <w:iCs/>
          <w:szCs w:val="28"/>
        </w:rPr>
        <w:t>,</w:t>
      </w:r>
      <w:r>
        <w:rPr>
          <w:iCs/>
          <w:szCs w:val="28"/>
        </w:rPr>
        <w:t xml:space="preserve"> морфін в/в, гепарин 4000 од в/</w:t>
      </w:r>
      <w:r w:rsidRPr="0068370C">
        <w:rPr>
          <w:iCs/>
          <w:szCs w:val="28"/>
        </w:rPr>
        <w:t>в. Була зареєстрована ЕКГ, на якій виявлена субепікардіальн</w:t>
      </w:r>
      <w:r>
        <w:rPr>
          <w:iCs/>
          <w:szCs w:val="28"/>
        </w:rPr>
        <w:t>а</w:t>
      </w:r>
      <w:r w:rsidRPr="0068370C">
        <w:rPr>
          <w:iCs/>
          <w:szCs w:val="28"/>
        </w:rPr>
        <w:t xml:space="preserve"> ішемія в </w:t>
      </w:r>
      <w:r>
        <w:rPr>
          <w:iCs/>
          <w:szCs w:val="28"/>
        </w:rPr>
        <w:t>ділянці</w:t>
      </w:r>
      <w:r w:rsidRPr="0068370C">
        <w:rPr>
          <w:iCs/>
          <w:szCs w:val="28"/>
        </w:rPr>
        <w:t xml:space="preserve"> задньої стінки. Викликана спеціалізована бригада. Додатково введено атропін, </w:t>
      </w:r>
      <w:r>
        <w:rPr>
          <w:iCs/>
          <w:szCs w:val="28"/>
        </w:rPr>
        <w:t>тенектеплаза</w:t>
      </w:r>
      <w:r w:rsidRPr="0068370C">
        <w:rPr>
          <w:iCs/>
          <w:szCs w:val="28"/>
        </w:rPr>
        <w:t xml:space="preserve"> 6000 </w:t>
      </w:r>
      <w:r>
        <w:rPr>
          <w:iCs/>
          <w:szCs w:val="28"/>
        </w:rPr>
        <w:t>ОД</w:t>
      </w:r>
      <w:r w:rsidRPr="0068370C">
        <w:rPr>
          <w:iCs/>
          <w:szCs w:val="28"/>
        </w:rPr>
        <w:t xml:space="preserve"> в / в, інгаляція кисню. Повторно зареєстрована ЕКГ.</w:t>
      </w:r>
      <w:r>
        <w:rPr>
          <w:iCs/>
          <w:szCs w:val="28"/>
        </w:rPr>
        <w:t xml:space="preserve"> </w:t>
      </w:r>
      <w:r w:rsidRPr="003D5DB7">
        <w:rPr>
          <w:iCs/>
          <w:szCs w:val="28"/>
        </w:rPr>
        <w:t>Об</w:t>
      </w:r>
      <w:r w:rsidRPr="00BB408E">
        <w:rPr>
          <w:iCs/>
          <w:szCs w:val="28"/>
        </w:rPr>
        <w:t>΄</w:t>
      </w:r>
      <w:r w:rsidRPr="003D5DB7">
        <w:rPr>
          <w:iCs/>
          <w:szCs w:val="28"/>
        </w:rPr>
        <w:t xml:space="preserve">єктивно: </w:t>
      </w:r>
      <w:r w:rsidRPr="002611ED">
        <w:rPr>
          <w:iCs/>
          <w:szCs w:val="28"/>
        </w:rPr>
        <w:t>Стан середньої тяжкості. У свідомості,</w:t>
      </w:r>
      <w:r>
        <w:rPr>
          <w:iCs/>
          <w:szCs w:val="28"/>
        </w:rPr>
        <w:t xml:space="preserve"> адинамічна та</w:t>
      </w:r>
      <w:r w:rsidRPr="002611ED">
        <w:rPr>
          <w:iCs/>
          <w:szCs w:val="28"/>
        </w:rPr>
        <w:t xml:space="preserve"> сонлив</w:t>
      </w:r>
      <w:r>
        <w:rPr>
          <w:iCs/>
          <w:szCs w:val="28"/>
        </w:rPr>
        <w:t>а</w:t>
      </w:r>
      <w:r w:rsidRPr="002611ED">
        <w:rPr>
          <w:iCs/>
          <w:szCs w:val="28"/>
        </w:rPr>
        <w:t xml:space="preserve"> після введення наркотичних анальгетиків. Підвищеного харчування</w:t>
      </w:r>
      <w:r>
        <w:rPr>
          <w:iCs/>
          <w:szCs w:val="28"/>
        </w:rPr>
        <w:t xml:space="preserve"> (ІМТ=33,21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деяк</w:t>
      </w:r>
      <w:r>
        <w:rPr>
          <w:iCs/>
          <w:szCs w:val="28"/>
        </w:rPr>
        <w:t xml:space="preserve">е </w:t>
      </w:r>
      <w:r w:rsidRPr="00CA568C">
        <w:rPr>
          <w:iCs/>
          <w:szCs w:val="28"/>
        </w:rPr>
        <w:t>вкорочення ясного легеневого звуку від кутів обох лопаток, аускультативно - на фоні ослабленого везикулярного дихання від кутів обох лопаток вислуховуються вологі хрипи</w:t>
      </w:r>
      <w:r w:rsidRPr="002611ED">
        <w:rPr>
          <w:iCs/>
          <w:szCs w:val="28"/>
        </w:rPr>
        <w:t>. ЧД</w:t>
      </w:r>
      <w:r>
        <w:rPr>
          <w:iCs/>
          <w:szCs w:val="28"/>
        </w:rPr>
        <w:t>Р</w:t>
      </w:r>
      <w:r w:rsidRPr="002611ED">
        <w:rPr>
          <w:iCs/>
          <w:szCs w:val="28"/>
        </w:rPr>
        <w:t xml:space="preserve"> - 18 </w:t>
      </w:r>
      <w:r>
        <w:rPr>
          <w:iCs/>
          <w:szCs w:val="28"/>
        </w:rPr>
        <w:t>на</w:t>
      </w:r>
      <w:r w:rsidRPr="002611ED">
        <w:rPr>
          <w:iCs/>
          <w:szCs w:val="28"/>
        </w:rPr>
        <w:t xml:space="preserve"> 1 хв. Сатурація кисню </w:t>
      </w:r>
      <w:r>
        <w:rPr>
          <w:iCs/>
          <w:szCs w:val="28"/>
        </w:rPr>
        <w:t>77</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160/90 мм рт. ст. ЧСС = 82 уд. в хв., PS = 82</w:t>
      </w:r>
      <w:r w:rsidRPr="002611ED">
        <w:rPr>
          <w:iCs/>
          <w:szCs w:val="28"/>
        </w:rPr>
        <w:t xml:space="preserve"> уд. в хв. Язик вологий, у кореня обкладений білуватим нальотом. Живіт м'який, безболісний, збільшений в розмірах за рахунок підшкірно-жирового шару. Печінка у краю реберної дуги.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3D5DB7">
        <w:rPr>
          <w:iCs/>
          <w:szCs w:val="28"/>
        </w:rPr>
        <w:t>.</w:t>
      </w:r>
      <w:r>
        <w:rPr>
          <w:iCs/>
          <w:szCs w:val="28"/>
        </w:rPr>
        <w:t xml:space="preserve"> У хворої було визначено кількісний тропонін I (02.04.2016р – 1,23 нг/мл), вітронектин (02.04.2016р – 400,33 нг/мл; 05.05.2016р – 256,44 нг/мл), галектин-3 (02.04.2016р – 16,45 нг/мл; 05.05.2016р – 8,11 нг/мл). </w:t>
      </w:r>
      <w:r w:rsidRPr="00B04D6C">
        <w:rPr>
          <w:iCs/>
          <w:szCs w:val="28"/>
        </w:rPr>
        <w:t xml:space="preserve">Згідно результатів </w:t>
      </w:r>
      <w:r w:rsidRPr="00BB408E">
        <w:rPr>
          <w:iCs/>
          <w:szCs w:val="28"/>
        </w:rPr>
        <w:t>ROC</w:t>
      </w:r>
      <w:r w:rsidRPr="00B04D6C">
        <w:rPr>
          <w:iCs/>
          <w:szCs w:val="28"/>
        </w:rPr>
        <w:t xml:space="preserve"> кривої отримані дані свідчать на користь прогнозу </w:t>
      </w:r>
      <w:r>
        <w:rPr>
          <w:iCs/>
          <w:szCs w:val="28"/>
        </w:rPr>
        <w:t xml:space="preserve">розвитку повторних кардіоваскулярних </w:t>
      </w:r>
      <w:r>
        <w:rPr>
          <w:iCs/>
          <w:szCs w:val="28"/>
        </w:rPr>
        <w:lastRenderedPageBreak/>
        <w:t xml:space="preserve">подій протягом 6-місячного терміну спостереження за хворими, що перенесли ГІМ на тлі ожиріння. При проведенні діагностичних заходів також було зафіксовано синусовий ритм, субепікардіальну ішемію в ділянці задньої стінки </w:t>
      </w:r>
      <w:r w:rsidRPr="004E07FE">
        <w:rPr>
          <w:iCs/>
          <w:szCs w:val="28"/>
        </w:rPr>
        <w:t>(</w:t>
      </w:r>
      <w:r>
        <w:rPr>
          <w:iCs/>
          <w:szCs w:val="28"/>
        </w:rPr>
        <w:t>е</w:t>
      </w:r>
      <w:r w:rsidRPr="004E07FE">
        <w:rPr>
          <w:iCs/>
          <w:szCs w:val="28"/>
        </w:rPr>
        <w:t>левац</w:t>
      </w:r>
      <w:r>
        <w:rPr>
          <w:iCs/>
          <w:szCs w:val="28"/>
        </w:rPr>
        <w:t>і</w:t>
      </w:r>
      <w:r w:rsidRPr="004E07FE">
        <w:rPr>
          <w:iCs/>
          <w:szCs w:val="28"/>
        </w:rPr>
        <w:t xml:space="preserve">я сегмента ST до 3 </w:t>
      </w:r>
      <w:r>
        <w:rPr>
          <w:iCs/>
          <w:szCs w:val="28"/>
        </w:rPr>
        <w:t>мм в II, III, avF) та на Е</w:t>
      </w:r>
      <w:r w:rsidRPr="004E07FE">
        <w:rPr>
          <w:iCs/>
          <w:szCs w:val="28"/>
        </w:rPr>
        <w:t>КГ</w:t>
      </w:r>
      <w:r>
        <w:rPr>
          <w:iCs/>
          <w:szCs w:val="28"/>
        </w:rPr>
        <w:t xml:space="preserve"> від</w:t>
      </w:r>
      <w:r w:rsidRPr="004E07FE">
        <w:rPr>
          <w:iCs/>
          <w:szCs w:val="28"/>
        </w:rPr>
        <w:t xml:space="preserve"> 02.04.16 </w:t>
      </w:r>
      <w:r>
        <w:rPr>
          <w:iCs/>
          <w:szCs w:val="28"/>
        </w:rPr>
        <w:t>о</w:t>
      </w:r>
      <w:r w:rsidRPr="004E07FE">
        <w:rPr>
          <w:iCs/>
          <w:szCs w:val="28"/>
        </w:rPr>
        <w:t xml:space="preserve"> 06:50  – </w:t>
      </w:r>
      <w:r>
        <w:rPr>
          <w:iCs/>
          <w:szCs w:val="28"/>
        </w:rPr>
        <w:t>синусовий ритм</w:t>
      </w:r>
      <w:r w:rsidRPr="004E07FE">
        <w:rPr>
          <w:iCs/>
          <w:szCs w:val="28"/>
        </w:rPr>
        <w:t xml:space="preserve">, </w:t>
      </w:r>
      <w:r>
        <w:rPr>
          <w:iCs/>
          <w:szCs w:val="28"/>
        </w:rPr>
        <w:t>е</w:t>
      </w:r>
      <w:r w:rsidRPr="004E07FE">
        <w:rPr>
          <w:iCs/>
          <w:szCs w:val="28"/>
        </w:rPr>
        <w:t>волюц</w:t>
      </w:r>
      <w:r>
        <w:rPr>
          <w:iCs/>
          <w:szCs w:val="28"/>
        </w:rPr>
        <w:t>ію</w:t>
      </w:r>
      <w:r w:rsidRPr="004E07FE">
        <w:rPr>
          <w:iCs/>
          <w:szCs w:val="28"/>
        </w:rPr>
        <w:t xml:space="preserve"> зад</w:t>
      </w:r>
      <w:r>
        <w:rPr>
          <w:iCs/>
          <w:szCs w:val="28"/>
        </w:rPr>
        <w:t>нього Q-позитивного і</w:t>
      </w:r>
      <w:r w:rsidRPr="004E07FE">
        <w:rPr>
          <w:iCs/>
          <w:szCs w:val="28"/>
        </w:rPr>
        <w:t>нфаркта м</w:t>
      </w:r>
      <w:r>
        <w:rPr>
          <w:iCs/>
          <w:szCs w:val="28"/>
        </w:rPr>
        <w:t>і</w:t>
      </w:r>
      <w:r w:rsidRPr="004E07FE">
        <w:rPr>
          <w:iCs/>
          <w:szCs w:val="28"/>
        </w:rPr>
        <w:t>окарда</w:t>
      </w:r>
      <w:r>
        <w:rPr>
          <w:iCs/>
          <w:szCs w:val="28"/>
        </w:rPr>
        <w:t xml:space="preserve">. У клінічному аналізі крові від 02.04.2016р патологічних змін виявлено не було. </w:t>
      </w:r>
      <w:r w:rsidRPr="00FE128E">
        <w:rPr>
          <w:iCs/>
          <w:szCs w:val="28"/>
        </w:rPr>
        <w:t>УЗ</w:t>
      </w:r>
      <w:r>
        <w:rPr>
          <w:iCs/>
          <w:szCs w:val="28"/>
        </w:rPr>
        <w:t>Д</w:t>
      </w:r>
      <w:r w:rsidRPr="00FE128E">
        <w:rPr>
          <w:iCs/>
          <w:szCs w:val="28"/>
        </w:rPr>
        <w:t xml:space="preserve"> </w:t>
      </w:r>
      <w:r>
        <w:rPr>
          <w:iCs/>
          <w:szCs w:val="28"/>
        </w:rPr>
        <w:t xml:space="preserve">серця 02.04.2016р – </w:t>
      </w:r>
      <w:r w:rsidRPr="00FE128E">
        <w:rPr>
          <w:iCs/>
          <w:szCs w:val="28"/>
        </w:rPr>
        <w:t>акинез</w:t>
      </w:r>
      <w:r>
        <w:rPr>
          <w:iCs/>
          <w:szCs w:val="28"/>
        </w:rPr>
        <w:t>і</w:t>
      </w:r>
      <w:r w:rsidRPr="00FE128E">
        <w:rPr>
          <w:iCs/>
          <w:szCs w:val="28"/>
        </w:rPr>
        <w:t xml:space="preserve">я </w:t>
      </w:r>
      <w:r>
        <w:rPr>
          <w:iCs/>
          <w:szCs w:val="28"/>
        </w:rPr>
        <w:t>в задній стінці</w:t>
      </w:r>
      <w:r w:rsidRPr="00FE128E">
        <w:rPr>
          <w:iCs/>
          <w:szCs w:val="28"/>
        </w:rPr>
        <w:t>, г</w:t>
      </w:r>
      <w:r>
        <w:rPr>
          <w:iCs/>
          <w:szCs w:val="28"/>
        </w:rPr>
        <w:t>і</w:t>
      </w:r>
      <w:r w:rsidRPr="00FE128E">
        <w:rPr>
          <w:iCs/>
          <w:szCs w:val="28"/>
        </w:rPr>
        <w:t>пертроф</w:t>
      </w:r>
      <w:r>
        <w:rPr>
          <w:iCs/>
          <w:szCs w:val="28"/>
        </w:rPr>
        <w:t>і</w:t>
      </w:r>
      <w:r w:rsidRPr="00FE128E">
        <w:rPr>
          <w:iCs/>
          <w:szCs w:val="28"/>
        </w:rPr>
        <w:t>я м</w:t>
      </w:r>
      <w:r>
        <w:rPr>
          <w:iCs/>
          <w:szCs w:val="28"/>
        </w:rPr>
        <w:t>і</w:t>
      </w:r>
      <w:r w:rsidRPr="00FE128E">
        <w:rPr>
          <w:iCs/>
          <w:szCs w:val="28"/>
        </w:rPr>
        <w:t>окарда л</w:t>
      </w:r>
      <w:r>
        <w:rPr>
          <w:iCs/>
          <w:szCs w:val="28"/>
        </w:rPr>
        <w:t>і</w:t>
      </w:r>
      <w:r w:rsidRPr="00FE128E">
        <w:rPr>
          <w:iCs/>
          <w:szCs w:val="28"/>
        </w:rPr>
        <w:t xml:space="preserve">вого </w:t>
      </w:r>
      <w:r>
        <w:rPr>
          <w:iCs/>
          <w:szCs w:val="28"/>
        </w:rPr>
        <w:t xml:space="preserve">шлуночка, ФВ 20%. </w:t>
      </w:r>
      <w:r w:rsidRPr="0007570A">
        <w:rPr>
          <w:iCs/>
          <w:szCs w:val="28"/>
        </w:rPr>
        <w:t>Проведено лікування: тромболітична терапія (</w:t>
      </w:r>
      <w:r>
        <w:rPr>
          <w:iCs/>
          <w:szCs w:val="28"/>
        </w:rPr>
        <w:t>тенектеплаза</w:t>
      </w:r>
      <w:r w:rsidRPr="0007570A">
        <w:rPr>
          <w:iCs/>
          <w:szCs w:val="28"/>
        </w:rPr>
        <w:t xml:space="preserve"> </w:t>
      </w:r>
      <w:r>
        <w:rPr>
          <w:iCs/>
          <w:szCs w:val="28"/>
        </w:rPr>
        <w:t>6</w:t>
      </w:r>
      <w:r w:rsidRPr="0007570A">
        <w:rPr>
          <w:iCs/>
          <w:szCs w:val="28"/>
        </w:rPr>
        <w:t xml:space="preserve"> млн. ОД), ацетилсаліцилова кислота - навантажувальна доза 250 мг, потім 125 мг </w:t>
      </w:r>
      <w:r>
        <w:rPr>
          <w:iCs/>
          <w:szCs w:val="28"/>
        </w:rPr>
        <w:t>перорально</w:t>
      </w:r>
      <w:r w:rsidRPr="0007570A">
        <w:rPr>
          <w:iCs/>
          <w:szCs w:val="28"/>
        </w:rPr>
        <w:t xml:space="preserve">, </w:t>
      </w:r>
      <w:r>
        <w:rPr>
          <w:iCs/>
          <w:szCs w:val="28"/>
        </w:rPr>
        <w:t>тикагрелор</w:t>
      </w:r>
      <w:r w:rsidRPr="0007570A">
        <w:rPr>
          <w:iCs/>
          <w:szCs w:val="28"/>
        </w:rPr>
        <w:t xml:space="preserve"> - навантажувальна доза </w:t>
      </w:r>
      <w:r>
        <w:rPr>
          <w:iCs/>
          <w:szCs w:val="28"/>
        </w:rPr>
        <w:t>18</w:t>
      </w:r>
      <w:r w:rsidRPr="0007570A">
        <w:rPr>
          <w:iCs/>
          <w:szCs w:val="28"/>
        </w:rPr>
        <w:t xml:space="preserve">0 мг, потім </w:t>
      </w:r>
      <w:r>
        <w:rPr>
          <w:iCs/>
          <w:szCs w:val="28"/>
        </w:rPr>
        <w:t>90 мг двічі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внутрішньо; дигоксин 0,00025г</w:t>
      </w:r>
      <w:r w:rsidRPr="0007570A">
        <w:rPr>
          <w:iCs/>
          <w:szCs w:val="28"/>
        </w:rPr>
        <w:t xml:space="preserve">; 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Стало відомо, що через 4 місяці після перенесеного ІМ у хворої відбулась дестабілізація ІХС у вигляді нестабільної стенокардії, що стало причиною повторної госпіталізації хворої до спеціалізованого стаціонару. </w:t>
      </w:r>
    </w:p>
    <w:p w:rsidR="00CE0F75" w:rsidRDefault="00CE0F75" w:rsidP="00CE0F75">
      <w:pPr>
        <w:autoSpaceDE w:val="0"/>
        <w:autoSpaceDN w:val="0"/>
        <w:adjustRightInd w:val="0"/>
        <w:spacing w:after="0" w:line="360" w:lineRule="auto"/>
        <w:ind w:firstLine="708"/>
        <w:jc w:val="both"/>
        <w:rPr>
          <w:iCs/>
          <w:szCs w:val="28"/>
        </w:rPr>
      </w:pPr>
      <w:r>
        <w:rPr>
          <w:iCs/>
          <w:szCs w:val="28"/>
        </w:rPr>
        <w:t xml:space="preserve">Щодо прогностичних властивостей галектину-3, </w:t>
      </w:r>
      <w:r w:rsidRPr="00BB408E">
        <w:rPr>
          <w:iCs/>
          <w:szCs w:val="28"/>
        </w:rPr>
        <w:t xml:space="preserve">наводимо витяг з історії хвороби № </w:t>
      </w:r>
      <w:r>
        <w:rPr>
          <w:iCs/>
          <w:szCs w:val="28"/>
        </w:rPr>
        <w:t xml:space="preserve">5461. </w:t>
      </w:r>
      <w:r w:rsidRPr="000A2A14">
        <w:rPr>
          <w:iCs/>
          <w:szCs w:val="28"/>
        </w:rPr>
        <w:t>Хвор</w:t>
      </w:r>
      <w:r>
        <w:rPr>
          <w:iCs/>
          <w:szCs w:val="28"/>
        </w:rPr>
        <w:t>ий М</w:t>
      </w:r>
      <w:r w:rsidRPr="000A2A14">
        <w:rPr>
          <w:iCs/>
          <w:szCs w:val="28"/>
        </w:rPr>
        <w:t xml:space="preserve">., </w:t>
      </w:r>
      <w:r>
        <w:rPr>
          <w:iCs/>
          <w:szCs w:val="28"/>
        </w:rPr>
        <w:t>56</w:t>
      </w:r>
      <w:r w:rsidRPr="000A2A14">
        <w:rPr>
          <w:iCs/>
          <w:szCs w:val="28"/>
        </w:rPr>
        <w:t xml:space="preserve"> років, перебував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з 04.09</w:t>
      </w:r>
      <w:r w:rsidRPr="000A2A14">
        <w:rPr>
          <w:szCs w:val="28"/>
          <w:lang w:eastAsia="ru-RU"/>
        </w:rPr>
        <w:t>.2016</w:t>
      </w:r>
      <w:r>
        <w:rPr>
          <w:szCs w:val="28"/>
          <w:lang w:eastAsia="ru-RU"/>
        </w:rPr>
        <w:t>р</w:t>
      </w:r>
      <w:r w:rsidRPr="000A2A14">
        <w:rPr>
          <w:szCs w:val="28"/>
          <w:lang w:eastAsia="ru-RU"/>
        </w:rPr>
        <w:t xml:space="preserve">. по </w:t>
      </w:r>
      <w:r>
        <w:rPr>
          <w:szCs w:val="28"/>
          <w:lang w:eastAsia="ru-RU"/>
        </w:rPr>
        <w:t>21.09</w:t>
      </w:r>
      <w:r w:rsidRPr="000A2A14">
        <w:rPr>
          <w:szCs w:val="28"/>
          <w:lang w:eastAsia="ru-RU"/>
        </w:rPr>
        <w:t>.2016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w:t>
      </w:r>
      <w:r>
        <w:rPr>
          <w:iCs/>
          <w:szCs w:val="28"/>
        </w:rPr>
        <w:t>04.09.</w:t>
      </w:r>
      <w:r w:rsidRPr="00965008">
        <w:rPr>
          <w:iCs/>
          <w:szCs w:val="28"/>
        </w:rPr>
        <w:t xml:space="preserve">16) </w:t>
      </w:r>
      <w:r>
        <w:rPr>
          <w:iCs/>
          <w:szCs w:val="28"/>
        </w:rPr>
        <w:t xml:space="preserve">передній </w:t>
      </w:r>
      <w:r w:rsidRPr="00965008">
        <w:rPr>
          <w:iCs/>
          <w:szCs w:val="28"/>
        </w:rPr>
        <w:t>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іокарда. Атеросклеротичний кардіосклероз, а</w:t>
      </w:r>
      <w:r w:rsidRPr="00965008">
        <w:rPr>
          <w:iCs/>
          <w:szCs w:val="28"/>
        </w:rPr>
        <w:t>теросклероз аорт</w:t>
      </w:r>
      <w:r>
        <w:rPr>
          <w:iCs/>
          <w:szCs w:val="28"/>
        </w:rPr>
        <w:t>и</w:t>
      </w:r>
      <w:r w:rsidRPr="00965008">
        <w:rPr>
          <w:iCs/>
          <w:szCs w:val="28"/>
        </w:rPr>
        <w:t xml:space="preserve">, </w:t>
      </w:r>
      <w:r>
        <w:rPr>
          <w:iCs/>
          <w:szCs w:val="28"/>
        </w:rPr>
        <w:t>вінцевих артерій</w:t>
      </w:r>
      <w:r w:rsidRPr="00965008">
        <w:rPr>
          <w:iCs/>
          <w:szCs w:val="28"/>
        </w:rPr>
        <w:t>, 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стрептокіназою</w:t>
      </w:r>
      <w:r w:rsidRPr="00965008">
        <w:rPr>
          <w:iCs/>
          <w:szCs w:val="28"/>
        </w:rPr>
        <w:t xml:space="preserve"> </w:t>
      </w:r>
      <w:r>
        <w:rPr>
          <w:iCs/>
          <w:szCs w:val="28"/>
        </w:rPr>
        <w:t>05.09</w:t>
      </w:r>
      <w:r w:rsidRPr="00965008">
        <w:rPr>
          <w:iCs/>
          <w:szCs w:val="28"/>
        </w:rPr>
        <w:t>.2016.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w:t>
      </w:r>
      <w:r>
        <w:rPr>
          <w:iCs/>
          <w:szCs w:val="28"/>
        </w:rPr>
        <w:t>2</w:t>
      </w:r>
      <w:r w:rsidRPr="00965008">
        <w:rPr>
          <w:iCs/>
          <w:szCs w:val="28"/>
        </w:rPr>
        <w:t xml:space="preserve"> ст., </w:t>
      </w:r>
      <w:r>
        <w:rPr>
          <w:iCs/>
          <w:szCs w:val="28"/>
        </w:rPr>
        <w:t>ризик дуже високий</w:t>
      </w:r>
      <w:r w:rsidRPr="00965008">
        <w:rPr>
          <w:iCs/>
          <w:szCs w:val="28"/>
        </w:rPr>
        <w:t>.</w:t>
      </w:r>
      <w:r>
        <w:rPr>
          <w:iCs/>
          <w:szCs w:val="28"/>
        </w:rPr>
        <w:t xml:space="preserve"> Ожиріння III ст. Хворий зазначав скарги на і</w:t>
      </w:r>
      <w:r w:rsidRPr="00553E75">
        <w:rPr>
          <w:iCs/>
          <w:szCs w:val="28"/>
        </w:rPr>
        <w:t xml:space="preserve">нтенсивного характера </w:t>
      </w:r>
      <w:r>
        <w:rPr>
          <w:iCs/>
          <w:szCs w:val="28"/>
        </w:rPr>
        <w:t>пекучий бі</w:t>
      </w:r>
      <w:r w:rsidRPr="00553E75">
        <w:rPr>
          <w:iCs/>
          <w:szCs w:val="28"/>
        </w:rPr>
        <w:t>ль за грудино</w:t>
      </w:r>
      <w:r>
        <w:rPr>
          <w:iCs/>
          <w:szCs w:val="28"/>
        </w:rPr>
        <w:t>ю</w:t>
      </w:r>
      <w:r w:rsidRPr="00553E75">
        <w:rPr>
          <w:iCs/>
          <w:szCs w:val="28"/>
        </w:rPr>
        <w:t xml:space="preserve">, </w:t>
      </w:r>
      <w:r>
        <w:rPr>
          <w:iCs/>
          <w:szCs w:val="28"/>
        </w:rPr>
        <w:t>який з’</w:t>
      </w:r>
      <w:r w:rsidRPr="000A2A14">
        <w:rPr>
          <w:iCs/>
          <w:szCs w:val="28"/>
        </w:rPr>
        <w:t>явився</w:t>
      </w:r>
      <w:r w:rsidRPr="00553E75">
        <w:rPr>
          <w:iCs/>
          <w:szCs w:val="28"/>
        </w:rPr>
        <w:t xml:space="preserve"> </w:t>
      </w:r>
      <w:r>
        <w:rPr>
          <w:iCs/>
          <w:szCs w:val="28"/>
        </w:rPr>
        <w:t xml:space="preserve">близько </w:t>
      </w:r>
      <w:r w:rsidRPr="00553E75">
        <w:rPr>
          <w:iCs/>
          <w:szCs w:val="28"/>
        </w:rPr>
        <w:t>02:00 04.09.16</w:t>
      </w:r>
      <w:r>
        <w:rPr>
          <w:iCs/>
          <w:szCs w:val="28"/>
        </w:rPr>
        <w:t>р. та не був усунутий</w:t>
      </w:r>
      <w:r w:rsidRPr="00553E75">
        <w:rPr>
          <w:iCs/>
          <w:szCs w:val="28"/>
        </w:rPr>
        <w:t xml:space="preserve"> на догосп</w:t>
      </w:r>
      <w:r>
        <w:rPr>
          <w:iCs/>
          <w:szCs w:val="28"/>
        </w:rPr>
        <w:t>і</w:t>
      </w:r>
      <w:r w:rsidRPr="00553E75">
        <w:rPr>
          <w:iCs/>
          <w:szCs w:val="28"/>
        </w:rPr>
        <w:t>тальном</w:t>
      </w:r>
      <w:r>
        <w:rPr>
          <w:iCs/>
          <w:szCs w:val="28"/>
        </w:rPr>
        <w:t>у</w:t>
      </w:r>
      <w:r w:rsidRPr="00553E75">
        <w:rPr>
          <w:iCs/>
          <w:szCs w:val="28"/>
        </w:rPr>
        <w:t xml:space="preserve"> </w:t>
      </w:r>
      <w:r>
        <w:rPr>
          <w:iCs/>
          <w:szCs w:val="28"/>
        </w:rPr>
        <w:t>е</w:t>
      </w:r>
      <w:r w:rsidRPr="00553E75">
        <w:rPr>
          <w:iCs/>
          <w:szCs w:val="28"/>
        </w:rPr>
        <w:t>тап</w:t>
      </w:r>
      <w:r>
        <w:rPr>
          <w:iCs/>
          <w:szCs w:val="28"/>
        </w:rPr>
        <w:t xml:space="preserve">і, також відмічав </w:t>
      </w:r>
      <w:r>
        <w:rPr>
          <w:szCs w:val="28"/>
        </w:rPr>
        <w:t>виражену</w:t>
      </w:r>
      <w:r w:rsidRPr="002611ED">
        <w:rPr>
          <w:szCs w:val="28"/>
        </w:rPr>
        <w:t xml:space="preserve"> загальну слабкість, задишку при </w:t>
      </w:r>
      <w:r>
        <w:rPr>
          <w:szCs w:val="28"/>
        </w:rPr>
        <w:t>незначному фізичному</w:t>
      </w:r>
      <w:r w:rsidRPr="002611ED">
        <w:rPr>
          <w:szCs w:val="28"/>
        </w:rPr>
        <w:t xml:space="preserve"> навантаженн</w:t>
      </w:r>
      <w:r>
        <w:rPr>
          <w:szCs w:val="28"/>
        </w:rPr>
        <w:t xml:space="preserve">ю. </w:t>
      </w:r>
      <w:r w:rsidRPr="00BB408E">
        <w:rPr>
          <w:iCs/>
          <w:szCs w:val="28"/>
        </w:rPr>
        <w:t xml:space="preserve">З анамнезу відомо, що </w:t>
      </w:r>
      <w:r>
        <w:rPr>
          <w:iCs/>
          <w:szCs w:val="28"/>
        </w:rPr>
        <w:t xml:space="preserve">хворий </w:t>
      </w:r>
      <w:r w:rsidRPr="002611ED">
        <w:rPr>
          <w:iCs/>
          <w:szCs w:val="28"/>
        </w:rPr>
        <w:lastRenderedPageBreak/>
        <w:t xml:space="preserve">страждає гіпертонічною хворобою </w:t>
      </w:r>
      <w:r>
        <w:rPr>
          <w:iCs/>
          <w:szCs w:val="28"/>
        </w:rPr>
        <w:t>протягом 5 років з максимальними значеннями АД 200/100 мм.рт.ст</w:t>
      </w:r>
      <w:r w:rsidRPr="002611ED">
        <w:rPr>
          <w:iCs/>
          <w:szCs w:val="28"/>
        </w:rPr>
        <w:t xml:space="preserve">. </w:t>
      </w:r>
      <w:r w:rsidRPr="00AA2240">
        <w:rPr>
          <w:iCs/>
          <w:szCs w:val="28"/>
        </w:rPr>
        <w:t>Раніше</w:t>
      </w:r>
      <w:r>
        <w:rPr>
          <w:iCs/>
          <w:szCs w:val="28"/>
        </w:rPr>
        <w:t xml:space="preserve"> інфаркти,</w:t>
      </w:r>
      <w:r w:rsidRPr="00AA2240">
        <w:rPr>
          <w:iCs/>
          <w:szCs w:val="28"/>
        </w:rPr>
        <w:t xml:space="preserve"> інсул</w:t>
      </w:r>
      <w:r>
        <w:rPr>
          <w:iCs/>
          <w:szCs w:val="28"/>
        </w:rPr>
        <w:t>ьти, порушення ритму заперечує, ніколи не лікувався в спеціалізованих кардіологічних стаціонарах. На даний час антигіпертензивну терапію не отримує</w:t>
      </w:r>
      <w:r w:rsidRPr="00AA2240">
        <w:rPr>
          <w:iCs/>
          <w:szCs w:val="28"/>
        </w:rPr>
        <w:t>.</w:t>
      </w:r>
      <w:r>
        <w:rPr>
          <w:iCs/>
          <w:szCs w:val="28"/>
        </w:rPr>
        <w:t xml:space="preserve"> </w:t>
      </w:r>
      <w:r w:rsidRPr="004E0C39">
        <w:rPr>
          <w:iCs/>
          <w:szCs w:val="28"/>
        </w:rPr>
        <w:t>Погіршення стану відзначається з 02:00 04.09.16, коли з'яв</w:t>
      </w:r>
      <w:r>
        <w:rPr>
          <w:iCs/>
          <w:szCs w:val="28"/>
        </w:rPr>
        <w:t>ився</w:t>
      </w:r>
      <w:r w:rsidRPr="004E0C39">
        <w:rPr>
          <w:iCs/>
          <w:szCs w:val="28"/>
        </w:rPr>
        <w:t xml:space="preserve"> </w:t>
      </w:r>
      <w:r>
        <w:rPr>
          <w:iCs/>
          <w:szCs w:val="28"/>
        </w:rPr>
        <w:t>давляче-пекучий біль</w:t>
      </w:r>
      <w:r w:rsidRPr="004E0C39">
        <w:rPr>
          <w:iCs/>
          <w:szCs w:val="28"/>
        </w:rPr>
        <w:t xml:space="preserve"> за груди</w:t>
      </w:r>
      <w:r>
        <w:rPr>
          <w:iCs/>
          <w:szCs w:val="28"/>
        </w:rPr>
        <w:t>ною з ір</w:t>
      </w:r>
      <w:r w:rsidRPr="004E0C39">
        <w:rPr>
          <w:iCs/>
          <w:szCs w:val="28"/>
        </w:rPr>
        <w:t xml:space="preserve">адіацією </w:t>
      </w:r>
      <w:r>
        <w:rPr>
          <w:iCs/>
          <w:szCs w:val="28"/>
        </w:rPr>
        <w:t>під</w:t>
      </w:r>
      <w:r w:rsidRPr="004E0C39">
        <w:rPr>
          <w:iCs/>
          <w:szCs w:val="28"/>
        </w:rPr>
        <w:t xml:space="preserve"> обидв</w:t>
      </w:r>
      <w:r>
        <w:rPr>
          <w:iCs/>
          <w:szCs w:val="28"/>
        </w:rPr>
        <w:t>і</w:t>
      </w:r>
      <w:r w:rsidRPr="004E0C39">
        <w:rPr>
          <w:iCs/>
          <w:szCs w:val="28"/>
        </w:rPr>
        <w:t xml:space="preserve"> лопатки, що супроводжув</w:t>
      </w:r>
      <w:r>
        <w:rPr>
          <w:iCs/>
          <w:szCs w:val="28"/>
        </w:rPr>
        <w:t>ався</w:t>
      </w:r>
      <w:r w:rsidRPr="004E0C39">
        <w:rPr>
          <w:iCs/>
          <w:szCs w:val="28"/>
        </w:rPr>
        <w:t xml:space="preserve"> холодним потом, почуттям нестачі повітря, різкої загальної слаб</w:t>
      </w:r>
      <w:r>
        <w:rPr>
          <w:iCs/>
          <w:szCs w:val="28"/>
        </w:rPr>
        <w:t>к</w:t>
      </w:r>
      <w:r w:rsidRPr="004E0C39">
        <w:rPr>
          <w:iCs/>
          <w:szCs w:val="28"/>
        </w:rPr>
        <w:t xml:space="preserve">ості. </w:t>
      </w:r>
      <w:r>
        <w:rPr>
          <w:iCs/>
          <w:szCs w:val="28"/>
        </w:rPr>
        <w:t>Самостійно жодних медикаментів не приймав</w:t>
      </w:r>
      <w:r w:rsidRPr="004E0C39">
        <w:rPr>
          <w:iCs/>
          <w:szCs w:val="28"/>
        </w:rPr>
        <w:t xml:space="preserve">. Визвана </w:t>
      </w:r>
      <w:r>
        <w:rPr>
          <w:iCs/>
          <w:szCs w:val="28"/>
        </w:rPr>
        <w:t xml:space="preserve">бригада швидкої медичної допомоги, </w:t>
      </w:r>
      <w:r w:rsidRPr="004E0C39">
        <w:rPr>
          <w:iCs/>
          <w:szCs w:val="28"/>
        </w:rPr>
        <w:t xml:space="preserve">зафіксовано АД 100/60 мм рт ст, надана допомога: </w:t>
      </w:r>
      <w:r>
        <w:rPr>
          <w:iCs/>
          <w:szCs w:val="28"/>
        </w:rPr>
        <w:t>клопідогрель</w:t>
      </w:r>
      <w:r w:rsidRPr="004E0C39">
        <w:rPr>
          <w:iCs/>
          <w:szCs w:val="28"/>
        </w:rPr>
        <w:t xml:space="preserve"> 300 мг, </w:t>
      </w:r>
      <w:r>
        <w:rPr>
          <w:iCs/>
          <w:szCs w:val="28"/>
        </w:rPr>
        <w:t>нитр</w:t>
      </w:r>
      <w:r w:rsidRPr="004E0C39">
        <w:rPr>
          <w:iCs/>
          <w:szCs w:val="28"/>
        </w:rPr>
        <w:t>о</w:t>
      </w:r>
      <w:r>
        <w:rPr>
          <w:iCs/>
          <w:szCs w:val="28"/>
        </w:rPr>
        <w:t>гліцерин</w:t>
      </w:r>
      <w:r w:rsidRPr="004E0C39">
        <w:rPr>
          <w:iCs/>
          <w:szCs w:val="28"/>
        </w:rPr>
        <w:t xml:space="preserve"> 2 таб</w:t>
      </w:r>
      <w:r>
        <w:rPr>
          <w:iCs/>
          <w:szCs w:val="28"/>
        </w:rPr>
        <w:t>летки перорально</w:t>
      </w:r>
      <w:r w:rsidRPr="004E0C39">
        <w:rPr>
          <w:iCs/>
          <w:szCs w:val="28"/>
        </w:rPr>
        <w:t>, ва</w:t>
      </w:r>
      <w:r>
        <w:rPr>
          <w:iCs/>
          <w:szCs w:val="28"/>
        </w:rPr>
        <w:t>лід</w:t>
      </w:r>
      <w:r w:rsidRPr="004E0C39">
        <w:rPr>
          <w:iCs/>
          <w:szCs w:val="28"/>
        </w:rPr>
        <w:t>ол 1 таб</w:t>
      </w:r>
      <w:r>
        <w:rPr>
          <w:iCs/>
          <w:szCs w:val="28"/>
        </w:rPr>
        <w:t>летка перорально</w:t>
      </w:r>
      <w:r w:rsidRPr="004E0C39">
        <w:rPr>
          <w:iCs/>
          <w:szCs w:val="28"/>
        </w:rPr>
        <w:t xml:space="preserve">, </w:t>
      </w:r>
      <w:r>
        <w:rPr>
          <w:iCs/>
          <w:szCs w:val="28"/>
        </w:rPr>
        <w:t xml:space="preserve">повторно зафіксовано </w:t>
      </w:r>
      <w:r w:rsidRPr="004E0C39">
        <w:rPr>
          <w:iCs/>
          <w:szCs w:val="28"/>
        </w:rPr>
        <w:t xml:space="preserve">АД 140/90 мм рт ст, пульс 96 </w:t>
      </w:r>
      <w:r>
        <w:rPr>
          <w:iCs/>
          <w:szCs w:val="28"/>
        </w:rPr>
        <w:t>ударів на хвилину</w:t>
      </w:r>
      <w:r w:rsidRPr="004E0C39">
        <w:rPr>
          <w:iCs/>
          <w:szCs w:val="28"/>
        </w:rPr>
        <w:t xml:space="preserve">. </w:t>
      </w:r>
      <w:r>
        <w:rPr>
          <w:iCs/>
          <w:szCs w:val="28"/>
        </w:rPr>
        <w:t>Е</w:t>
      </w:r>
      <w:r w:rsidRPr="004E0C39">
        <w:rPr>
          <w:iCs/>
          <w:szCs w:val="28"/>
        </w:rPr>
        <w:t xml:space="preserve">КГ не </w:t>
      </w:r>
      <w:r>
        <w:rPr>
          <w:iCs/>
          <w:szCs w:val="28"/>
        </w:rPr>
        <w:t>була виконана</w:t>
      </w:r>
      <w:r w:rsidRPr="004E0C39">
        <w:rPr>
          <w:iCs/>
          <w:szCs w:val="28"/>
        </w:rPr>
        <w:t xml:space="preserve">, </w:t>
      </w:r>
      <w:r>
        <w:rPr>
          <w:iCs/>
          <w:szCs w:val="28"/>
        </w:rPr>
        <w:t>больовий</w:t>
      </w:r>
      <w:r w:rsidRPr="004E0C39">
        <w:rPr>
          <w:iCs/>
          <w:szCs w:val="28"/>
        </w:rPr>
        <w:t xml:space="preserve"> синдром не </w:t>
      </w:r>
      <w:r>
        <w:rPr>
          <w:iCs/>
          <w:szCs w:val="28"/>
        </w:rPr>
        <w:t>був купований, хворого було доставлено до приймального відділення КЗОЗ «</w:t>
      </w:r>
      <w:r w:rsidRPr="00BB408E">
        <w:rPr>
          <w:iCs/>
          <w:szCs w:val="28"/>
        </w:rPr>
        <w:t>Харківськ</w:t>
      </w:r>
      <w:r>
        <w:rPr>
          <w:iCs/>
          <w:szCs w:val="28"/>
        </w:rPr>
        <w:t>а</w:t>
      </w:r>
      <w:r w:rsidRPr="00BB408E">
        <w:rPr>
          <w:iCs/>
          <w:szCs w:val="28"/>
        </w:rPr>
        <w:t xml:space="preserve"> міськ</w:t>
      </w:r>
      <w:r>
        <w:rPr>
          <w:iCs/>
          <w:szCs w:val="28"/>
        </w:rPr>
        <w:t>а</w:t>
      </w:r>
      <w:r w:rsidRPr="00BB408E">
        <w:rPr>
          <w:iCs/>
          <w:szCs w:val="28"/>
        </w:rPr>
        <w:t xml:space="preserve"> клінічн</w:t>
      </w:r>
      <w:r>
        <w:rPr>
          <w:iCs/>
          <w:szCs w:val="28"/>
        </w:rPr>
        <w:t xml:space="preserve">а лікарня № 27». </w:t>
      </w:r>
      <w:r w:rsidRPr="003D5DB7">
        <w:rPr>
          <w:iCs/>
          <w:szCs w:val="28"/>
        </w:rPr>
        <w:t>Об</w:t>
      </w:r>
      <w:r w:rsidRPr="00BB408E">
        <w:rPr>
          <w:iCs/>
          <w:szCs w:val="28"/>
        </w:rPr>
        <w:t>΄</w:t>
      </w:r>
      <w:r w:rsidRPr="003D5DB7">
        <w:rPr>
          <w:iCs/>
          <w:szCs w:val="28"/>
        </w:rPr>
        <w:t xml:space="preserve">єктивно: </w:t>
      </w:r>
      <w:r>
        <w:rPr>
          <w:iCs/>
          <w:szCs w:val="28"/>
        </w:rPr>
        <w:t>Загальний стан важкий</w:t>
      </w:r>
      <w:r w:rsidRPr="002611ED">
        <w:rPr>
          <w:iCs/>
          <w:szCs w:val="28"/>
        </w:rPr>
        <w:t xml:space="preserve">. У свідомості. </w:t>
      </w:r>
      <w:r>
        <w:rPr>
          <w:iCs/>
          <w:szCs w:val="28"/>
        </w:rPr>
        <w:t>Значно п</w:t>
      </w:r>
      <w:r w:rsidRPr="002611ED">
        <w:rPr>
          <w:iCs/>
          <w:szCs w:val="28"/>
        </w:rPr>
        <w:t>ідвищеного харчування</w:t>
      </w:r>
      <w:r>
        <w:rPr>
          <w:iCs/>
          <w:szCs w:val="28"/>
        </w:rPr>
        <w:t xml:space="preserve"> (ІМТ= 43,61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ясн</w:t>
      </w:r>
      <w:r>
        <w:rPr>
          <w:iCs/>
          <w:szCs w:val="28"/>
        </w:rPr>
        <w:t xml:space="preserve">ий </w:t>
      </w:r>
      <w:r w:rsidRPr="00CA568C">
        <w:rPr>
          <w:iCs/>
          <w:szCs w:val="28"/>
        </w:rPr>
        <w:t>легенев</w:t>
      </w:r>
      <w:r>
        <w:rPr>
          <w:iCs/>
          <w:szCs w:val="28"/>
        </w:rPr>
        <w:t>ий</w:t>
      </w:r>
      <w:r w:rsidRPr="00CA568C">
        <w:rPr>
          <w:iCs/>
          <w:szCs w:val="28"/>
        </w:rPr>
        <w:t xml:space="preserve"> звук, аускультативно - везикулярн</w:t>
      </w:r>
      <w:r>
        <w:rPr>
          <w:iCs/>
          <w:szCs w:val="28"/>
        </w:rPr>
        <w:t>е</w:t>
      </w:r>
      <w:r w:rsidRPr="00CA568C">
        <w:rPr>
          <w:iCs/>
          <w:szCs w:val="28"/>
        </w:rPr>
        <w:t xml:space="preserve"> дихання</w:t>
      </w:r>
      <w:r>
        <w:rPr>
          <w:iCs/>
          <w:szCs w:val="28"/>
        </w:rPr>
        <w:t>, ослаблене в задньо-базальних відділах</w:t>
      </w:r>
      <w:r w:rsidRPr="002611ED">
        <w:rPr>
          <w:iCs/>
          <w:szCs w:val="28"/>
        </w:rPr>
        <w:t>. ЧД</w:t>
      </w:r>
      <w:r>
        <w:rPr>
          <w:iCs/>
          <w:szCs w:val="28"/>
        </w:rPr>
        <w:t>Р</w:t>
      </w:r>
      <w:r w:rsidRPr="002611ED">
        <w:rPr>
          <w:iCs/>
          <w:szCs w:val="28"/>
        </w:rPr>
        <w:t xml:space="preserve"> - 1</w:t>
      </w:r>
      <w:r>
        <w:rPr>
          <w:iCs/>
          <w:szCs w:val="28"/>
        </w:rPr>
        <w:t>6</w:t>
      </w:r>
      <w:r w:rsidRPr="002611ED">
        <w:rPr>
          <w:iCs/>
          <w:szCs w:val="28"/>
        </w:rPr>
        <w:t xml:space="preserve"> </w:t>
      </w:r>
      <w:r>
        <w:rPr>
          <w:iCs/>
          <w:szCs w:val="28"/>
        </w:rPr>
        <w:t>на</w:t>
      </w:r>
      <w:r w:rsidRPr="002611ED">
        <w:rPr>
          <w:iCs/>
          <w:szCs w:val="28"/>
        </w:rPr>
        <w:t xml:space="preserve"> 1 хв. Сатурація кисню </w:t>
      </w:r>
      <w:r>
        <w:rPr>
          <w:iCs/>
          <w:szCs w:val="28"/>
        </w:rPr>
        <w:t>92</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140/90 мм рт. ст. ЧСС = 92 уд. на хв., PS = 92</w:t>
      </w:r>
      <w:r w:rsidRPr="002611ED">
        <w:rPr>
          <w:iCs/>
          <w:szCs w:val="28"/>
        </w:rPr>
        <w:t xml:space="preserve"> уд. </w:t>
      </w:r>
      <w:r>
        <w:rPr>
          <w:iCs/>
          <w:szCs w:val="28"/>
        </w:rPr>
        <w:t xml:space="preserve">на </w:t>
      </w:r>
      <w:r w:rsidRPr="002611ED">
        <w:rPr>
          <w:iCs/>
          <w:szCs w:val="28"/>
        </w:rPr>
        <w:t xml:space="preserve">хв. Язик вологий, у кореня обкладений білуватим нальотом. Живіт м'який, безболісний, </w:t>
      </w:r>
      <w:r>
        <w:rPr>
          <w:iCs/>
          <w:szCs w:val="28"/>
        </w:rPr>
        <w:t xml:space="preserve">значно </w:t>
      </w:r>
      <w:r w:rsidRPr="002611ED">
        <w:rPr>
          <w:iCs/>
          <w:szCs w:val="28"/>
        </w:rPr>
        <w:t xml:space="preserve">збільшений в розмірах за рахунок підшкірно-жирового шару. Печінка </w:t>
      </w:r>
      <w:r>
        <w:rPr>
          <w:iCs/>
          <w:szCs w:val="28"/>
        </w:rPr>
        <w:t>біля</w:t>
      </w:r>
      <w:r w:rsidRPr="002611ED">
        <w:rPr>
          <w:iCs/>
          <w:szCs w:val="28"/>
        </w:rPr>
        <w:t xml:space="preserve"> краю реберної дуги</w:t>
      </w:r>
      <w:r>
        <w:rPr>
          <w:iCs/>
          <w:szCs w:val="28"/>
        </w:rPr>
        <w:t xml:space="preserve"> (методом сукусії)</w:t>
      </w:r>
      <w:r w:rsidRPr="002611ED">
        <w:rPr>
          <w:iCs/>
          <w:szCs w:val="28"/>
        </w:rPr>
        <w:t xml:space="preserve">.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0A2A14">
        <w:rPr>
          <w:iCs/>
          <w:szCs w:val="28"/>
        </w:rPr>
        <w:t>.</w:t>
      </w:r>
      <w:r>
        <w:rPr>
          <w:iCs/>
          <w:szCs w:val="28"/>
        </w:rPr>
        <w:t xml:space="preserve"> У хворого було визначено кількісний тропонін I (04.09.2016р – 0,69 нг/мл), вітронектин (04.09.2016р – 397,16 нг/мл; 04.10.2016р – 255,8 нг/мл), галектин-3 (04.09.2016р – 31,87 нг/мл; 04.10.2016р – 14,43 нг/мл). </w:t>
      </w:r>
      <w:r w:rsidRPr="00B04D6C">
        <w:rPr>
          <w:iCs/>
          <w:szCs w:val="28"/>
        </w:rPr>
        <w:t>Згідно</w:t>
      </w:r>
      <w:r>
        <w:rPr>
          <w:iCs/>
          <w:szCs w:val="28"/>
        </w:rPr>
        <w:t xml:space="preserve"> </w:t>
      </w:r>
      <w:r w:rsidRPr="00B04D6C">
        <w:rPr>
          <w:iCs/>
          <w:szCs w:val="28"/>
        </w:rPr>
        <w:t xml:space="preserve">результатів </w:t>
      </w:r>
      <w:r w:rsidRPr="00BB408E">
        <w:rPr>
          <w:iCs/>
          <w:szCs w:val="28"/>
        </w:rPr>
        <w:t>ROC</w:t>
      </w:r>
      <w:r w:rsidRPr="00B04D6C">
        <w:rPr>
          <w:iCs/>
          <w:szCs w:val="28"/>
        </w:rPr>
        <w:t xml:space="preserve"> </w:t>
      </w:r>
      <w:r>
        <w:rPr>
          <w:iCs/>
          <w:szCs w:val="28"/>
        </w:rPr>
        <w:t>аналізу,</w:t>
      </w:r>
      <w:r w:rsidRPr="00B04D6C">
        <w:rPr>
          <w:iCs/>
          <w:szCs w:val="28"/>
        </w:rPr>
        <w:t xml:space="preserve"> отримані дані свідчать на користь прогнозу </w:t>
      </w:r>
      <w:r>
        <w:rPr>
          <w:iCs/>
          <w:szCs w:val="28"/>
        </w:rPr>
        <w:t xml:space="preserve">розвитку повторного інфаркту міокарда та/або нестабільної </w:t>
      </w:r>
      <w:r>
        <w:rPr>
          <w:iCs/>
          <w:szCs w:val="28"/>
        </w:rPr>
        <w:lastRenderedPageBreak/>
        <w:t xml:space="preserve">стенокардії протягом 6-місяців після перенесеного ГІМ на тлі ожиріння. На </w:t>
      </w:r>
      <w:r w:rsidRPr="004D1DE6">
        <w:rPr>
          <w:iCs/>
          <w:szCs w:val="28"/>
        </w:rPr>
        <w:t>Е</w:t>
      </w:r>
      <w:r w:rsidRPr="000A2A14">
        <w:rPr>
          <w:iCs/>
          <w:szCs w:val="28"/>
        </w:rPr>
        <w:t xml:space="preserve">КГ </w:t>
      </w:r>
      <w:r w:rsidRPr="004D1DE6">
        <w:rPr>
          <w:iCs/>
          <w:szCs w:val="28"/>
        </w:rPr>
        <w:t xml:space="preserve">від </w:t>
      </w:r>
      <w:r w:rsidRPr="000A2A14">
        <w:rPr>
          <w:iCs/>
          <w:szCs w:val="28"/>
        </w:rPr>
        <w:t xml:space="preserve">04.09.2016 </w:t>
      </w:r>
      <w:r w:rsidRPr="004D1DE6">
        <w:rPr>
          <w:iCs/>
          <w:szCs w:val="28"/>
        </w:rPr>
        <w:t>о</w:t>
      </w:r>
      <w:r w:rsidRPr="000A2A14">
        <w:rPr>
          <w:iCs/>
          <w:szCs w:val="28"/>
        </w:rPr>
        <w:t xml:space="preserve"> 03:33</w:t>
      </w:r>
      <w:r w:rsidRPr="000A2A14">
        <w:rPr>
          <w:b/>
          <w:iCs/>
          <w:szCs w:val="28"/>
        </w:rPr>
        <w:t xml:space="preserve"> </w:t>
      </w:r>
      <w:r w:rsidRPr="000A2A14">
        <w:rPr>
          <w:iCs/>
          <w:szCs w:val="28"/>
        </w:rPr>
        <w:t>– синусова тах</w:t>
      </w:r>
      <w:r>
        <w:rPr>
          <w:iCs/>
          <w:szCs w:val="28"/>
        </w:rPr>
        <w:t>і</w:t>
      </w:r>
      <w:r w:rsidRPr="000A2A14">
        <w:rPr>
          <w:iCs/>
          <w:szCs w:val="28"/>
        </w:rPr>
        <w:t>кард</w:t>
      </w:r>
      <w:r>
        <w:rPr>
          <w:iCs/>
          <w:szCs w:val="28"/>
        </w:rPr>
        <w:t>і</w:t>
      </w:r>
      <w:r w:rsidRPr="000A2A14">
        <w:rPr>
          <w:iCs/>
          <w:szCs w:val="28"/>
        </w:rPr>
        <w:t>я, блокада право</w:t>
      </w:r>
      <w:r>
        <w:rPr>
          <w:iCs/>
          <w:szCs w:val="28"/>
        </w:rPr>
        <w:t>ї</w:t>
      </w:r>
      <w:r w:rsidRPr="000A2A14">
        <w:rPr>
          <w:iCs/>
          <w:szCs w:val="28"/>
        </w:rPr>
        <w:t xml:space="preserve"> н</w:t>
      </w:r>
      <w:r>
        <w:rPr>
          <w:iCs/>
          <w:szCs w:val="28"/>
        </w:rPr>
        <w:t>і</w:t>
      </w:r>
      <w:r w:rsidRPr="000A2A14">
        <w:rPr>
          <w:iCs/>
          <w:szCs w:val="28"/>
        </w:rPr>
        <w:t>жки п</w:t>
      </w:r>
      <w:r>
        <w:rPr>
          <w:iCs/>
          <w:szCs w:val="28"/>
        </w:rPr>
        <w:t>учка</w:t>
      </w:r>
      <w:r w:rsidRPr="000A2A14">
        <w:rPr>
          <w:iCs/>
          <w:szCs w:val="28"/>
        </w:rPr>
        <w:t xml:space="preserve"> Г</w:t>
      </w:r>
      <w:r>
        <w:rPr>
          <w:iCs/>
          <w:szCs w:val="28"/>
        </w:rPr>
        <w:t>і</w:t>
      </w:r>
      <w:r w:rsidRPr="000A2A14">
        <w:rPr>
          <w:iCs/>
          <w:szCs w:val="28"/>
        </w:rPr>
        <w:t xml:space="preserve">са, </w:t>
      </w:r>
      <w:r>
        <w:rPr>
          <w:iCs/>
          <w:szCs w:val="28"/>
        </w:rPr>
        <w:t>е</w:t>
      </w:r>
      <w:r w:rsidRPr="000A2A14">
        <w:rPr>
          <w:iCs/>
          <w:szCs w:val="28"/>
        </w:rPr>
        <w:t>левац</w:t>
      </w:r>
      <w:r>
        <w:rPr>
          <w:iCs/>
          <w:szCs w:val="28"/>
        </w:rPr>
        <w:t>і</w:t>
      </w:r>
      <w:r w:rsidRPr="000A2A14">
        <w:rPr>
          <w:iCs/>
          <w:szCs w:val="28"/>
        </w:rPr>
        <w:t xml:space="preserve">я </w:t>
      </w:r>
      <w:r>
        <w:rPr>
          <w:iCs/>
          <w:szCs w:val="28"/>
        </w:rPr>
        <w:t xml:space="preserve">сегмента </w:t>
      </w:r>
      <w:r w:rsidRPr="004D1DE6">
        <w:rPr>
          <w:iCs/>
          <w:szCs w:val="28"/>
          <w:lang w:val="en-US"/>
        </w:rPr>
        <w:t>ST</w:t>
      </w:r>
      <w:r w:rsidRPr="000A2A14">
        <w:rPr>
          <w:iCs/>
          <w:szCs w:val="28"/>
        </w:rPr>
        <w:t xml:space="preserve"> до 5 мм по передн</w:t>
      </w:r>
      <w:r>
        <w:rPr>
          <w:iCs/>
          <w:szCs w:val="28"/>
        </w:rPr>
        <w:t>і</w:t>
      </w:r>
      <w:r w:rsidRPr="000A2A14">
        <w:rPr>
          <w:iCs/>
          <w:szCs w:val="28"/>
        </w:rPr>
        <w:t>й с</w:t>
      </w:r>
      <w:r>
        <w:rPr>
          <w:iCs/>
          <w:szCs w:val="28"/>
        </w:rPr>
        <w:t>тінці</w:t>
      </w:r>
      <w:r w:rsidRPr="000A2A14">
        <w:rPr>
          <w:iCs/>
          <w:szCs w:val="28"/>
        </w:rPr>
        <w:t xml:space="preserve"> </w:t>
      </w:r>
      <w:r>
        <w:rPr>
          <w:iCs/>
          <w:szCs w:val="28"/>
        </w:rPr>
        <w:t xml:space="preserve">у відведеннях </w:t>
      </w:r>
      <w:r w:rsidRPr="004D1DE6">
        <w:rPr>
          <w:iCs/>
          <w:szCs w:val="28"/>
          <w:lang w:val="en-US"/>
        </w:rPr>
        <w:t>V</w:t>
      </w:r>
      <w:r w:rsidRPr="000A2A14">
        <w:rPr>
          <w:iCs/>
          <w:szCs w:val="28"/>
        </w:rPr>
        <w:t>2-</w:t>
      </w:r>
      <w:r w:rsidRPr="004D1DE6">
        <w:rPr>
          <w:iCs/>
          <w:szCs w:val="28"/>
          <w:lang w:val="en-US"/>
        </w:rPr>
        <w:t>V</w:t>
      </w:r>
      <w:r w:rsidRPr="000A2A14">
        <w:rPr>
          <w:iCs/>
          <w:szCs w:val="28"/>
        </w:rPr>
        <w:t>5</w:t>
      </w:r>
      <w:r>
        <w:rPr>
          <w:iCs/>
          <w:szCs w:val="28"/>
        </w:rPr>
        <w:t xml:space="preserve">, на </w:t>
      </w:r>
      <w:r w:rsidRPr="004D1DE6">
        <w:rPr>
          <w:iCs/>
          <w:szCs w:val="28"/>
        </w:rPr>
        <w:t>Е</w:t>
      </w:r>
      <w:r w:rsidRPr="000A2A14">
        <w:rPr>
          <w:iCs/>
          <w:szCs w:val="28"/>
        </w:rPr>
        <w:t xml:space="preserve">КГ </w:t>
      </w:r>
      <w:r>
        <w:rPr>
          <w:iCs/>
          <w:szCs w:val="28"/>
        </w:rPr>
        <w:t xml:space="preserve">від </w:t>
      </w:r>
      <w:r w:rsidRPr="000A2A14">
        <w:rPr>
          <w:iCs/>
          <w:szCs w:val="28"/>
        </w:rPr>
        <w:t xml:space="preserve">04.09.2016 </w:t>
      </w:r>
      <w:r>
        <w:rPr>
          <w:iCs/>
          <w:szCs w:val="28"/>
        </w:rPr>
        <w:t>о</w:t>
      </w:r>
      <w:r w:rsidRPr="000A2A14">
        <w:rPr>
          <w:iCs/>
          <w:szCs w:val="28"/>
        </w:rPr>
        <w:t xml:space="preserve"> 17:58 – синусова тах</w:t>
      </w:r>
      <w:r>
        <w:rPr>
          <w:iCs/>
          <w:szCs w:val="28"/>
        </w:rPr>
        <w:t>і</w:t>
      </w:r>
      <w:r w:rsidRPr="000A2A14">
        <w:rPr>
          <w:iCs/>
          <w:szCs w:val="28"/>
        </w:rPr>
        <w:t>кард</w:t>
      </w:r>
      <w:r>
        <w:rPr>
          <w:iCs/>
          <w:szCs w:val="28"/>
        </w:rPr>
        <w:t>і</w:t>
      </w:r>
      <w:r w:rsidRPr="000A2A14">
        <w:rPr>
          <w:iCs/>
          <w:szCs w:val="28"/>
        </w:rPr>
        <w:t xml:space="preserve">я, </w:t>
      </w:r>
      <w:r>
        <w:rPr>
          <w:iCs/>
          <w:szCs w:val="28"/>
        </w:rPr>
        <w:t>початок</w:t>
      </w:r>
      <w:r w:rsidRPr="000A2A14">
        <w:rPr>
          <w:iCs/>
          <w:szCs w:val="28"/>
        </w:rPr>
        <w:t xml:space="preserve"> </w:t>
      </w:r>
      <w:r>
        <w:rPr>
          <w:iCs/>
          <w:szCs w:val="28"/>
        </w:rPr>
        <w:t>е</w:t>
      </w:r>
      <w:r w:rsidRPr="000A2A14">
        <w:rPr>
          <w:iCs/>
          <w:szCs w:val="28"/>
        </w:rPr>
        <w:t>волюц</w:t>
      </w:r>
      <w:r>
        <w:rPr>
          <w:iCs/>
          <w:szCs w:val="28"/>
        </w:rPr>
        <w:t>ії</w:t>
      </w:r>
      <w:r w:rsidRPr="000A2A14">
        <w:rPr>
          <w:iCs/>
          <w:szCs w:val="28"/>
        </w:rPr>
        <w:t xml:space="preserve"> передн</w:t>
      </w:r>
      <w:r>
        <w:rPr>
          <w:iCs/>
          <w:szCs w:val="28"/>
        </w:rPr>
        <w:t>ьо</w:t>
      </w:r>
      <w:r w:rsidRPr="000A2A14">
        <w:rPr>
          <w:iCs/>
          <w:szCs w:val="28"/>
        </w:rPr>
        <w:t xml:space="preserve">го трансмурального </w:t>
      </w:r>
      <w:r>
        <w:rPr>
          <w:iCs/>
          <w:szCs w:val="28"/>
        </w:rPr>
        <w:t>і</w:t>
      </w:r>
      <w:r w:rsidRPr="000A2A14">
        <w:rPr>
          <w:iCs/>
          <w:szCs w:val="28"/>
        </w:rPr>
        <w:t>нфаркт</w:t>
      </w:r>
      <w:r>
        <w:rPr>
          <w:iCs/>
          <w:szCs w:val="28"/>
        </w:rPr>
        <w:t>у</w:t>
      </w:r>
      <w:r w:rsidRPr="000A2A14">
        <w:rPr>
          <w:iCs/>
          <w:szCs w:val="28"/>
        </w:rPr>
        <w:t xml:space="preserve"> м</w:t>
      </w:r>
      <w:r>
        <w:rPr>
          <w:iCs/>
          <w:szCs w:val="28"/>
        </w:rPr>
        <w:t>і</w:t>
      </w:r>
      <w:r w:rsidRPr="000A2A14">
        <w:rPr>
          <w:iCs/>
          <w:szCs w:val="28"/>
        </w:rPr>
        <w:t xml:space="preserve">окарда. </w:t>
      </w:r>
      <w:r>
        <w:rPr>
          <w:iCs/>
          <w:szCs w:val="28"/>
        </w:rPr>
        <w:t xml:space="preserve">За даними УЗД - </w:t>
      </w:r>
      <w:r w:rsidRPr="004D1DE6">
        <w:rPr>
          <w:iCs/>
          <w:szCs w:val="28"/>
        </w:rPr>
        <w:t>ак</w:t>
      </w:r>
      <w:r>
        <w:rPr>
          <w:iCs/>
          <w:szCs w:val="28"/>
        </w:rPr>
        <w:t>і</w:t>
      </w:r>
      <w:r w:rsidRPr="004D1DE6">
        <w:rPr>
          <w:iCs/>
          <w:szCs w:val="28"/>
        </w:rPr>
        <w:t>нез</w:t>
      </w:r>
      <w:r>
        <w:rPr>
          <w:iCs/>
          <w:szCs w:val="28"/>
        </w:rPr>
        <w:t>і</w:t>
      </w:r>
      <w:r w:rsidRPr="004D1DE6">
        <w:rPr>
          <w:iCs/>
          <w:szCs w:val="28"/>
        </w:rPr>
        <w:t xml:space="preserve">я в </w:t>
      </w:r>
      <w:r>
        <w:rPr>
          <w:iCs/>
          <w:szCs w:val="28"/>
        </w:rPr>
        <w:t>перетинково-верхівковій ділянці</w:t>
      </w:r>
      <w:r w:rsidRPr="004D1DE6">
        <w:rPr>
          <w:iCs/>
          <w:szCs w:val="28"/>
        </w:rPr>
        <w:t>, г</w:t>
      </w:r>
      <w:r>
        <w:rPr>
          <w:iCs/>
          <w:szCs w:val="28"/>
        </w:rPr>
        <w:t>і</w:t>
      </w:r>
      <w:r w:rsidRPr="004D1DE6">
        <w:rPr>
          <w:iCs/>
          <w:szCs w:val="28"/>
        </w:rPr>
        <w:t>пертроф</w:t>
      </w:r>
      <w:r>
        <w:rPr>
          <w:iCs/>
          <w:szCs w:val="28"/>
        </w:rPr>
        <w:t>і</w:t>
      </w:r>
      <w:r w:rsidRPr="004D1DE6">
        <w:rPr>
          <w:iCs/>
          <w:szCs w:val="28"/>
        </w:rPr>
        <w:t>я м</w:t>
      </w:r>
      <w:r>
        <w:rPr>
          <w:iCs/>
          <w:szCs w:val="28"/>
        </w:rPr>
        <w:t>і</w:t>
      </w:r>
      <w:r w:rsidRPr="004D1DE6">
        <w:rPr>
          <w:iCs/>
          <w:szCs w:val="28"/>
        </w:rPr>
        <w:t>окарда л</w:t>
      </w:r>
      <w:r>
        <w:rPr>
          <w:iCs/>
          <w:szCs w:val="28"/>
        </w:rPr>
        <w:t>і</w:t>
      </w:r>
      <w:r w:rsidRPr="004D1DE6">
        <w:rPr>
          <w:iCs/>
          <w:szCs w:val="28"/>
        </w:rPr>
        <w:t xml:space="preserve">вого </w:t>
      </w:r>
      <w:r>
        <w:rPr>
          <w:iCs/>
          <w:szCs w:val="28"/>
        </w:rPr>
        <w:t>шлуно</w:t>
      </w:r>
      <w:r w:rsidRPr="004D1DE6">
        <w:rPr>
          <w:iCs/>
          <w:szCs w:val="28"/>
        </w:rPr>
        <w:t xml:space="preserve">чка. ФВ – </w:t>
      </w:r>
      <w:r>
        <w:rPr>
          <w:iCs/>
          <w:szCs w:val="28"/>
        </w:rPr>
        <w:t>38</w:t>
      </w:r>
      <w:r w:rsidRPr="004D1DE6">
        <w:rPr>
          <w:iCs/>
          <w:szCs w:val="28"/>
        </w:rPr>
        <w:t xml:space="preserve"> %.</w:t>
      </w:r>
      <w:r>
        <w:rPr>
          <w:iCs/>
          <w:szCs w:val="28"/>
        </w:rPr>
        <w:t xml:space="preserve"> </w:t>
      </w:r>
      <w:r w:rsidRPr="0007570A">
        <w:rPr>
          <w:iCs/>
          <w:szCs w:val="28"/>
        </w:rPr>
        <w:t>Проведено лікування: тромболітична терапія (</w:t>
      </w:r>
      <w:r>
        <w:rPr>
          <w:iCs/>
          <w:szCs w:val="28"/>
        </w:rPr>
        <w:t>стрептокіназа</w:t>
      </w:r>
      <w:r w:rsidRPr="0007570A">
        <w:rPr>
          <w:iCs/>
          <w:szCs w:val="28"/>
        </w:rPr>
        <w:t xml:space="preserve"> </w:t>
      </w:r>
      <w:r>
        <w:rPr>
          <w:iCs/>
          <w:szCs w:val="28"/>
        </w:rPr>
        <w:t>1,5</w:t>
      </w:r>
      <w:r w:rsidRPr="0007570A">
        <w:rPr>
          <w:iCs/>
          <w:szCs w:val="28"/>
        </w:rPr>
        <w:t xml:space="preserve"> млн. ОД), </w:t>
      </w:r>
      <w:r>
        <w:rPr>
          <w:iCs/>
          <w:szCs w:val="28"/>
        </w:rPr>
        <w:t xml:space="preserve">промедол 1% - 1.0 в/в стр., нітрогліцерин 1% - 2мл на </w:t>
      </w:r>
      <w:r w:rsidRPr="004D1DE6">
        <w:rPr>
          <w:iCs/>
          <w:szCs w:val="28"/>
        </w:rPr>
        <w:t xml:space="preserve">200 мл </w:t>
      </w:r>
      <w:r>
        <w:rPr>
          <w:iCs/>
          <w:szCs w:val="28"/>
        </w:rPr>
        <w:t>0</w:t>
      </w:r>
      <w:r w:rsidRPr="000A2A14">
        <w:rPr>
          <w:iCs/>
          <w:szCs w:val="28"/>
        </w:rPr>
        <w:t>,</w:t>
      </w:r>
      <w:r>
        <w:rPr>
          <w:iCs/>
          <w:szCs w:val="28"/>
        </w:rPr>
        <w:t xml:space="preserve">9% розчину NaCl </w:t>
      </w:r>
      <w:r w:rsidRPr="004D1DE6">
        <w:rPr>
          <w:iCs/>
          <w:szCs w:val="28"/>
        </w:rPr>
        <w:t>в/в к</w:t>
      </w:r>
      <w:r>
        <w:rPr>
          <w:iCs/>
          <w:szCs w:val="28"/>
        </w:rPr>
        <w:t>р</w:t>
      </w:r>
      <w:r w:rsidRPr="004D1DE6">
        <w:rPr>
          <w:iCs/>
          <w:szCs w:val="28"/>
        </w:rPr>
        <w:t>апельно</w:t>
      </w:r>
      <w:r>
        <w:rPr>
          <w:iCs/>
          <w:szCs w:val="28"/>
        </w:rPr>
        <w:t>,</w:t>
      </w:r>
      <w:r w:rsidRPr="004D1DE6">
        <w:rPr>
          <w:iCs/>
          <w:szCs w:val="28"/>
        </w:rPr>
        <w:t xml:space="preserve"> </w:t>
      </w:r>
      <w:r>
        <w:rPr>
          <w:iCs/>
          <w:szCs w:val="28"/>
        </w:rPr>
        <w:t>АСК</w:t>
      </w:r>
      <w:r w:rsidRPr="0007570A">
        <w:rPr>
          <w:iCs/>
          <w:szCs w:val="28"/>
        </w:rPr>
        <w:t xml:space="preserve"> - навантажувальна доза 250 мг, потім 125 мг </w:t>
      </w:r>
      <w:r>
        <w:rPr>
          <w:iCs/>
          <w:szCs w:val="28"/>
        </w:rPr>
        <w:t>перорально</w:t>
      </w:r>
      <w:r w:rsidRPr="0007570A">
        <w:rPr>
          <w:iCs/>
          <w:szCs w:val="28"/>
        </w:rPr>
        <w:t xml:space="preserve">, </w:t>
      </w:r>
      <w:r>
        <w:rPr>
          <w:iCs/>
          <w:szCs w:val="28"/>
        </w:rPr>
        <w:t>клопідогрель</w:t>
      </w:r>
      <w:r w:rsidRPr="0007570A">
        <w:rPr>
          <w:iCs/>
          <w:szCs w:val="28"/>
        </w:rPr>
        <w:t xml:space="preserve"> - навантажувальна доза </w:t>
      </w:r>
      <w:r>
        <w:rPr>
          <w:iCs/>
          <w:szCs w:val="28"/>
        </w:rPr>
        <w:t>300</w:t>
      </w:r>
      <w:r w:rsidRPr="0007570A">
        <w:rPr>
          <w:iCs/>
          <w:szCs w:val="28"/>
        </w:rPr>
        <w:t xml:space="preserve"> мг, потім </w:t>
      </w:r>
      <w:r>
        <w:rPr>
          <w:iCs/>
          <w:szCs w:val="28"/>
        </w:rPr>
        <w:t>75 мг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 xml:space="preserve">внутрішньо; метопролол 12.5 мг 2 рази на день перорально; </w:t>
      </w:r>
      <w:r w:rsidRPr="0007570A">
        <w:rPr>
          <w:iCs/>
          <w:szCs w:val="28"/>
        </w:rPr>
        <w:t xml:space="preserve">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Було встановлено, що через 5 місяців після перенесеного ІМ у хворого виник ангінозний біль тривалістю 25 хвилин, з ірадіацією в ліву руку, що стало причиною для екстреної госпіталізації хворого до спеціалізованого стаціонару з діагнозом гострого повторного інфаркту міокарда.</w:t>
      </w:r>
    </w:p>
    <w:p w:rsidR="00984B86" w:rsidRDefault="00CE0F75" w:rsidP="00CE0F75">
      <w:pPr>
        <w:autoSpaceDE w:val="0"/>
        <w:autoSpaceDN w:val="0"/>
        <w:adjustRightInd w:val="0"/>
        <w:spacing w:after="0" w:line="360" w:lineRule="auto"/>
        <w:ind w:firstLine="708"/>
        <w:jc w:val="both"/>
        <w:rPr>
          <w:iCs/>
          <w:szCs w:val="28"/>
        </w:rPr>
      </w:pPr>
      <w:r w:rsidRPr="00BB408E">
        <w:rPr>
          <w:iCs/>
          <w:szCs w:val="28"/>
        </w:rPr>
        <w:t xml:space="preserve">Тобто об’єктивно та інструментальними методами підтверджено предикторність рівня </w:t>
      </w:r>
      <w:r>
        <w:rPr>
          <w:iCs/>
          <w:szCs w:val="28"/>
        </w:rPr>
        <w:t>вітронектину</w:t>
      </w:r>
      <w:r w:rsidRPr="00BB408E">
        <w:rPr>
          <w:iCs/>
          <w:szCs w:val="28"/>
        </w:rPr>
        <w:t xml:space="preserve"> ˃</w:t>
      </w:r>
      <w:r>
        <w:rPr>
          <w:iCs/>
          <w:szCs w:val="28"/>
        </w:rPr>
        <w:t xml:space="preserve"> 283,27 </w:t>
      </w:r>
      <w:r w:rsidRPr="00BB408E">
        <w:rPr>
          <w:iCs/>
          <w:szCs w:val="28"/>
        </w:rPr>
        <w:t xml:space="preserve">нг/мл </w:t>
      </w:r>
      <w:r>
        <w:rPr>
          <w:iCs/>
          <w:szCs w:val="28"/>
        </w:rPr>
        <w:t xml:space="preserve">та галектину-3 </w:t>
      </w:r>
      <w:r w:rsidRPr="000A2A14">
        <w:rPr>
          <w:iCs/>
          <w:szCs w:val="28"/>
        </w:rPr>
        <w:t>&gt;</w:t>
      </w:r>
      <w:r>
        <w:rPr>
          <w:iCs/>
          <w:szCs w:val="28"/>
          <w:lang w:val="en-US"/>
        </w:rPr>
        <w:t> </w:t>
      </w:r>
      <w:r>
        <w:rPr>
          <w:iCs/>
          <w:szCs w:val="28"/>
        </w:rPr>
        <w:t>12,83 </w:t>
      </w:r>
      <w:r w:rsidRPr="000A2A14">
        <w:rPr>
          <w:iCs/>
          <w:szCs w:val="28"/>
        </w:rPr>
        <w:t xml:space="preserve">нг/мл </w:t>
      </w:r>
      <w:r w:rsidRPr="00BB408E">
        <w:rPr>
          <w:iCs/>
          <w:szCs w:val="28"/>
        </w:rPr>
        <w:t xml:space="preserve">у відношенні </w:t>
      </w:r>
      <w:r>
        <w:rPr>
          <w:iCs/>
          <w:szCs w:val="28"/>
        </w:rPr>
        <w:t>розвитку повторних кардіоваскулярних подій протягом 6 місяців після перенесеного ГІМ на тлі супутнього ожиріння</w:t>
      </w:r>
      <w:r w:rsidRPr="00BB408E">
        <w:rPr>
          <w:iCs/>
          <w:szCs w:val="28"/>
        </w:rPr>
        <w:t>, що надає можливість застосовувати його з метою удосконалення діагностики.</w:t>
      </w:r>
      <w:r>
        <w:rPr>
          <w:iCs/>
          <w:szCs w:val="28"/>
        </w:rPr>
        <w:t xml:space="preserve"> </w:t>
      </w:r>
    </w:p>
    <w:p w:rsidR="00F407BB" w:rsidRPr="00F407BB" w:rsidRDefault="00984B86" w:rsidP="001262BE">
      <w:pPr>
        <w:spacing w:after="0" w:line="360" w:lineRule="auto"/>
        <w:ind w:firstLine="720"/>
        <w:jc w:val="center"/>
      </w:pPr>
      <w:r>
        <w:rPr>
          <w:iCs/>
          <w:szCs w:val="28"/>
        </w:rPr>
        <w:br w:type="page"/>
      </w:r>
      <w:r w:rsidR="00F407BB" w:rsidRPr="00F407BB">
        <w:lastRenderedPageBreak/>
        <w:t>УЗАГАЛЬНЕННЯ РЕЗУЛЬТАТІВ ДОСЛІДЖЕННЯ</w:t>
      </w:r>
    </w:p>
    <w:p w:rsidR="00F407BB" w:rsidRPr="00F407BB" w:rsidRDefault="00F407BB" w:rsidP="00F407BB">
      <w:pPr>
        <w:spacing w:after="0" w:line="360" w:lineRule="auto"/>
        <w:ind w:firstLine="720"/>
        <w:jc w:val="both"/>
      </w:pPr>
    </w:p>
    <w:p w:rsidR="00F407BB" w:rsidRPr="00EB68FC" w:rsidRDefault="00F407BB" w:rsidP="00F407BB">
      <w:pPr>
        <w:spacing w:after="0" w:line="360" w:lineRule="auto"/>
        <w:ind w:firstLine="851"/>
        <w:jc w:val="both"/>
        <w:rPr>
          <w:szCs w:val="28"/>
        </w:rPr>
      </w:pPr>
      <w:r w:rsidRPr="00EB68FC">
        <w:rPr>
          <w:szCs w:val="28"/>
        </w:rPr>
        <w:t>Гострий інфаркт міокарда (ГІМ) насьогодні є найбільш загрозливою формою ішемічної хвороби серця (ІХС) [1-4]. За статистикою щороку в світі фіксується більше 15 мільйонів нових випадків ГІМ, а його віддалені наслідки визначаються через місяці і роки. Так, за даними Американської Асоціації Серця, протягом шести років після перенесеного ГІМ 18% чоловіків і 35% жінок переносять повторний ІМ, 22% чоловіків і 46% жінок стають інвалідами через розвиток тяжкої серцевої недостатності (СН), а в 30-40 % хворих спостерігається дисфункція лівого шлуночка (ЛШ) [5]</w:t>
      </w:r>
    </w:p>
    <w:p w:rsidR="00F407BB" w:rsidRPr="00EB68FC" w:rsidRDefault="00F407BB" w:rsidP="00F407BB">
      <w:pPr>
        <w:spacing w:after="0" w:line="360" w:lineRule="auto"/>
        <w:ind w:firstLine="851"/>
        <w:jc w:val="both"/>
        <w:rPr>
          <w:szCs w:val="28"/>
        </w:rPr>
      </w:pPr>
      <w:r w:rsidRPr="00EB68FC">
        <w:rPr>
          <w:szCs w:val="28"/>
        </w:rPr>
        <w:t>Незважаючи на те, що смертність від ГІМ поступово знижувалася протягом останніх десятиліть у країнах Західної та Східної Європи, включаючи Україну, цей стан все ще призводить до приблизно однієї третини всіх смертей серед людей старше 35 років [6-8]. За прогнозами ВОЗ, до 2030 року летальність від захворювань серця та інсульту складе близько 23,6 млн осіб [9]. Так в 2008 році від ССЗ померло 17,3 мільйона чоловік, що склало 30% всіх глобальних випадків смерті. Серед них, за оцінками, 7,3 мільйона випадків сталося в результаті ІХС, а 6,2 мільйони - від інсульту [10].</w:t>
      </w:r>
    </w:p>
    <w:p w:rsidR="00F407BB" w:rsidRPr="00EB68FC" w:rsidRDefault="00F407BB" w:rsidP="00F407BB">
      <w:pPr>
        <w:spacing w:after="0" w:line="360" w:lineRule="auto"/>
        <w:ind w:firstLine="851"/>
        <w:jc w:val="both"/>
        <w:rPr>
          <w:szCs w:val="28"/>
        </w:rPr>
      </w:pPr>
      <w:r w:rsidRPr="00EB68FC">
        <w:rPr>
          <w:szCs w:val="28"/>
        </w:rPr>
        <w:t xml:space="preserve">Фремінгемське дослідження, яке розпочалося в 1949 році та тривало 25 років, дозволяючи спостерігати за цілим поколінням у певному регіоні, стало першим проспективним епідеміологічним дослідженням, в якому були отримані дані для оцінки впливу факторів ризику на розвиток серцево-судинних подій [11]. Дане дослідження дало уявлення про поширеність, захворюваність, прогноз, фактори, що впливають, та детермінанти ССЗ. На сьогодні, розроблена концепція факторів ризику, що є основополягаючою та широко використовується для запобігання ССЗ, була заснована саме на даних Фремінгемського дослідження. Це спричинило висвітлення таких явищ, як наслідки вживання тютюну, нездорового харчування, </w:t>
      </w:r>
      <w:r w:rsidRPr="00EB68FC">
        <w:rPr>
          <w:szCs w:val="28"/>
        </w:rPr>
        <w:lastRenderedPageBreak/>
        <w:t xml:space="preserve">гіподинамії, ожиріння, підвищеного рівня холестерину в крові, підвищеного артеріального тиску та наявності супутнього діабету при ССЗ. Наразі вищезазначені фактори ризику є головною метою глобальних та національних заходів профілактики, спрямованих на зменшення наслідків ССЗ та інших неінфекційних захворювань [12]. Однак, автори Фремінгемскої шкали ризику неодноразово попереджали, що екстраполювати результати їх досліджень на інші групи населення без урахування специфіки регіону, соціально-політичних умов, географічних та кліматичних особливостей необхідно з великою обережністю. </w:t>
      </w:r>
    </w:p>
    <w:p w:rsidR="00F407BB" w:rsidRPr="00EB68FC" w:rsidRDefault="00F407BB" w:rsidP="00F407BB">
      <w:pPr>
        <w:spacing w:after="0" w:line="360" w:lineRule="auto"/>
        <w:ind w:firstLine="851"/>
        <w:jc w:val="both"/>
        <w:rPr>
          <w:szCs w:val="28"/>
        </w:rPr>
      </w:pPr>
      <w:r w:rsidRPr="00EB68FC">
        <w:rPr>
          <w:szCs w:val="28"/>
        </w:rPr>
        <w:t>В часи, коли перелік неінфекційних захворювань стає все більш і більш складним, а швидка глобалізація, урбанізація, старіння суспільства та поширення хронічних захворювань становлять нові проблеми сучасній системі охорони здоров'я, ССЗ можна запобігти, але фізична бездіяльність, зловживання нікотином та втрата традиційних дієтичних звичок у нових промислових культурах призводить до збільшення їх поширеності в більшості країн. Крім того, соціальна нерівність збільшує серцево-судинну смертність та спричиняє негативний вплив на спосіб життя, такий як зниження фізичної активності та зростання ожиріння в суспільстві</w:t>
      </w:r>
    </w:p>
    <w:p w:rsidR="00F407BB" w:rsidRPr="00EB68FC" w:rsidRDefault="00F407BB" w:rsidP="00F407BB">
      <w:pPr>
        <w:spacing w:after="0" w:line="360" w:lineRule="auto"/>
        <w:ind w:firstLine="851"/>
        <w:jc w:val="both"/>
        <w:rPr>
          <w:szCs w:val="28"/>
        </w:rPr>
      </w:pPr>
      <w:r w:rsidRPr="00EB68FC">
        <w:rPr>
          <w:szCs w:val="28"/>
        </w:rPr>
        <w:t xml:space="preserve">Починаючи з кінця ХХ століття, ожиріння було визнане не тільки косметичною, але й медико-соціальною проблемою. Важливо відмітити, що до цього надлишкова вага сприймалася багатьма суспільствами як ознака добробуту або символ високого соціального статусу, а також те, що працівники охорони здоров'я та громадськість не оголошували ожиріння самостійною хворобою та сприяли її неналежній ідентифікації, що й обумовило відсутність ефективних стратегій громадського здоров'я для боротьби з даною патологією. </w:t>
      </w:r>
    </w:p>
    <w:p w:rsidR="00F407BB" w:rsidRPr="00EB68FC" w:rsidRDefault="00F407BB" w:rsidP="00F407BB">
      <w:pPr>
        <w:spacing w:after="0" w:line="360" w:lineRule="auto"/>
        <w:ind w:firstLine="851"/>
        <w:jc w:val="both"/>
        <w:rPr>
          <w:szCs w:val="28"/>
        </w:rPr>
      </w:pPr>
      <w:r w:rsidRPr="00EB68FC">
        <w:rPr>
          <w:szCs w:val="28"/>
        </w:rPr>
        <w:t xml:space="preserve">У 2015 році, згідно даних Організації економічного співробітництва та розвитку (ОЕСР) 19,5% дорослого населення страждали ожирінням. Ця цифра коливається від менш ніж 6% в Кореї та Японії до 30% та більше в Угорщині, Новій Зеландії, Мексиці та Сполучених Штатах Америки. Більше одного з чотирьох </w:t>
      </w:r>
      <w:r w:rsidRPr="00EB68FC">
        <w:rPr>
          <w:szCs w:val="28"/>
        </w:rPr>
        <w:lastRenderedPageBreak/>
        <w:t>дорослих страждає ожирінням в Австралії, Канаді, Чилі, Південній Африці та Об'єднаному Королівстві. Протягом останнього десятиліття рівень поширеності зайвої ваги та ожиріння збільшився у Канаді, Франції, Мексиці, Швейцарії та США, а в Англії, Італії, Кореї та Іспанії стабілізувався [13].  2010 року в Сполучених Штатах Америки було зафіксовано близько 68% дорослого населення, що мало надмірну вагу та ожиріння [14]. У Канаді 46 % дорослого населення страждає від ожиріння, а в Мексиці – кожен сьомий мешканець країни [15].</w:t>
      </w:r>
    </w:p>
    <w:p w:rsidR="00F407BB" w:rsidRPr="00EB68FC" w:rsidRDefault="00F407BB" w:rsidP="00F407BB">
      <w:pPr>
        <w:spacing w:after="0" w:line="360" w:lineRule="auto"/>
        <w:ind w:firstLine="851"/>
        <w:jc w:val="both"/>
        <w:rPr>
          <w:szCs w:val="28"/>
        </w:rPr>
      </w:pPr>
      <w:r w:rsidRPr="00EB68FC">
        <w:rPr>
          <w:szCs w:val="28"/>
        </w:rPr>
        <w:t>Занепокоєність викликає також стан в європейських країнах. Згідно Звіту Всесвітньої Організації Охорони Здоров'я (ВООЗ), представленого 17 травня 2017 року в Португалії під час Європейського Конгресу з питань ожиріння, 29,5% та 26,8% населення Андори та Чеської Республіки відповідно страждають на ожиріння. В Україні станом на 2017 рік на ожиріння страждає 22,1% населення, тобто майже кожен п’ятий громадянин країни [</w:t>
      </w:r>
      <w:r w:rsidRPr="007462C1">
        <w:rPr>
          <w:szCs w:val="28"/>
        </w:rPr>
        <w:t>16</w:t>
      </w:r>
      <w:r w:rsidRPr="00EB68FC">
        <w:rPr>
          <w:szCs w:val="28"/>
        </w:rPr>
        <w:t xml:space="preserve">]. Однак, явних ознак зменшення епідемії немає в жодній країні. </w:t>
      </w:r>
    </w:p>
    <w:p w:rsidR="00F407BB" w:rsidRPr="00EB68FC" w:rsidRDefault="00F407BB" w:rsidP="00F407BB">
      <w:pPr>
        <w:spacing w:after="0" w:line="360" w:lineRule="auto"/>
        <w:ind w:firstLine="851"/>
        <w:jc w:val="both"/>
        <w:rPr>
          <w:szCs w:val="28"/>
        </w:rPr>
      </w:pPr>
      <w:r w:rsidRPr="00EB68FC">
        <w:rPr>
          <w:szCs w:val="28"/>
        </w:rPr>
        <w:t xml:space="preserve">Ретроспективний аналіз результатів Фремінгемського дослідження продемонстрував, що ожиріння є незалежним чинником ризику розвитку серцево-судинних ускладнень, особливо у жінок. Множинний логістичний аналіз показав, що відносна маса тіла (дійсна маса / ідеальна маса) на початку дослідження грала прогностичну роль у розвитку ішемічної хвороби серця (ІХС) (стенокардії, нестабільної стенокардії, ГІМ, раптової смерті), серцевої смертності, серцевої недостатності у чоловіків. Вплив ожиріння на прогноз не залежало від віку, рівня систолічного артеріального тиску, холестерину, куріння сигарет в день, ступеня ГЛШ і наявності порушень толерантності до глюкози. У жінок значення відносної маси тіла мало статистично достовірний зв'язок з розвитком інфаркту міокарда, мозкового інсульту, серцевої недостатності, а також - з рівнем серцево-судинної смертності. Ожиріння мало довгострокове прогностичне значення для ССЗ, особливо у хворих не старше 50 років. Подальше збільшення маси тіла з віком </w:t>
      </w:r>
      <w:r w:rsidRPr="00EB68FC">
        <w:rPr>
          <w:szCs w:val="28"/>
        </w:rPr>
        <w:lastRenderedPageBreak/>
        <w:t xml:space="preserve">підвищує ступінь ризику виникнення ГІМ як у чоловіків, так і у жінок, незалежно від початкової маси тіла або наявності інших факторів ризику, пов'язаних зі збільшенням маси тіла [19]. </w:t>
      </w:r>
    </w:p>
    <w:p w:rsidR="00F407BB" w:rsidRPr="00EB68FC" w:rsidRDefault="00F407BB" w:rsidP="00F407BB">
      <w:pPr>
        <w:spacing w:after="0" w:line="360" w:lineRule="auto"/>
        <w:ind w:firstLine="851"/>
        <w:jc w:val="both"/>
        <w:rPr>
          <w:szCs w:val="28"/>
        </w:rPr>
      </w:pPr>
      <w:r w:rsidRPr="00EB68FC">
        <w:rPr>
          <w:szCs w:val="28"/>
        </w:rPr>
        <w:t>На Конгресі Європейського Кардіологічного Товариства у 2004 році були висвітлені результати великого міжнародного міжконтинентального епідеміологічного дослідження INTERHEART. Дане дослідження вивчало мультиетнічну когорту з 15152 хворих на ГІМ з 52 країн світу протягом 10 років.  та встановило дев'ять факторів ризику, шість з яких збільшують ймовірність виникнення захворювання, інші, навпаки - знижують. Так наявність супутнього ожиріння достовірно збільшувала ризик виникнення ГІМ в 1,62 рази, незалежно від віку, статі або регіону проживання хворого [20]</w:t>
      </w:r>
    </w:p>
    <w:p w:rsidR="00F407BB" w:rsidRPr="00EB68FC" w:rsidRDefault="00F407BB" w:rsidP="00F407BB">
      <w:pPr>
        <w:spacing w:after="0" w:line="360" w:lineRule="auto"/>
        <w:ind w:firstLine="851"/>
        <w:jc w:val="both"/>
        <w:rPr>
          <w:szCs w:val="28"/>
        </w:rPr>
      </w:pPr>
      <w:r w:rsidRPr="00EB68FC">
        <w:rPr>
          <w:szCs w:val="28"/>
        </w:rPr>
        <w:t xml:space="preserve">За визначенням В.П. Лупанова ожиріння є «хронічним поліетіологічним захворюванням, пов'язаним з впливом ряду генетичних і неврологічних чинників, зміною функцій ендокринної системи, стилем життя і харчовою поведінкою пацієнта, а не тільки з порушенням енергетичного балансу» [21]. </w:t>
      </w:r>
    </w:p>
    <w:p w:rsidR="00F407BB" w:rsidRPr="00EB68FC" w:rsidRDefault="00F407BB" w:rsidP="00F407BB">
      <w:pPr>
        <w:spacing w:after="0" w:line="360" w:lineRule="auto"/>
        <w:ind w:firstLine="851"/>
        <w:jc w:val="both"/>
        <w:rPr>
          <w:szCs w:val="28"/>
        </w:rPr>
      </w:pPr>
      <w:r w:rsidRPr="00EB68FC">
        <w:rPr>
          <w:szCs w:val="28"/>
        </w:rPr>
        <w:t>Жирова тканина (ЖТ), яка являє собою не тільки «камеру зберігання» жиру, а й активний ендокринний і паракрінний орган, поділяється на білу, що превалює в організмі, та буру [22]. Різні типи ЖТ мають структурні та функціональні особливості.</w:t>
      </w:r>
    </w:p>
    <w:p w:rsidR="00F407BB" w:rsidRPr="00EB68FC" w:rsidRDefault="00F407BB" w:rsidP="00F407BB">
      <w:pPr>
        <w:spacing w:after="0" w:line="360" w:lineRule="auto"/>
        <w:ind w:firstLine="851"/>
        <w:jc w:val="both"/>
        <w:rPr>
          <w:szCs w:val="28"/>
        </w:rPr>
      </w:pPr>
      <w:r w:rsidRPr="00EB68FC">
        <w:rPr>
          <w:szCs w:val="28"/>
        </w:rPr>
        <w:t xml:space="preserve">Адипоцит білої ЖТ містить в собі один великий жировий міхур, який займає практично всю площу клітини, з ядром на периферії. Основні завдання білої ЖТ - депонування енергії у вигляді </w:t>
      </w:r>
      <w:r w:rsidR="003F03AB">
        <w:rPr>
          <w:szCs w:val="28"/>
        </w:rPr>
        <w:t>ТГ</w:t>
      </w:r>
      <w:r w:rsidRPr="00EB68FC">
        <w:rPr>
          <w:szCs w:val="28"/>
        </w:rPr>
        <w:t xml:space="preserve"> і регуляція енергетичного балансу, а також теплоізоляція, створення механічного захисту навколо органів у вигляді жирового прошарку, ендокринна функція [23] .</w:t>
      </w:r>
    </w:p>
    <w:p w:rsidR="00F407BB" w:rsidRPr="00EB68FC" w:rsidRDefault="00F407BB" w:rsidP="00F407BB">
      <w:pPr>
        <w:spacing w:after="0" w:line="360" w:lineRule="auto"/>
        <w:ind w:firstLine="851"/>
        <w:jc w:val="both"/>
        <w:rPr>
          <w:szCs w:val="28"/>
        </w:rPr>
      </w:pPr>
      <w:r w:rsidRPr="00EB68FC">
        <w:rPr>
          <w:szCs w:val="28"/>
        </w:rPr>
        <w:t xml:space="preserve">Вісцеральний жир, як гормонально-активна субстанція, виконує в організмі комплексну роль: секретує естрогени (ароматаза адипоцитів сприяє синтезу естрогенів з надниркових андрогенів), ангиотензиноген, простагландини, фактор </w:t>
      </w:r>
      <w:r w:rsidRPr="00EB68FC">
        <w:rPr>
          <w:szCs w:val="28"/>
        </w:rPr>
        <w:lastRenderedPageBreak/>
        <w:t>некрозу пухлини α (ФНП-α), інтерлейкін-6 (ІЛ-6), лептин, резистин, адипонектин, інсуліноподібний фактор росту 1 (ІПФР-1), інгібітор тканинного активатора плазміногену I (ІТАП I), фібриноген  [3]. Вони мають різний несприятливий вплив на серцево-судинну систему, створюючи прозапальний та протромботичний стан, а також викликаючи ендотеліальні ураження та судинну гіпертрофію [26].</w:t>
      </w:r>
    </w:p>
    <w:p w:rsidR="00F407BB" w:rsidRPr="00EB68FC" w:rsidRDefault="00F407BB" w:rsidP="00F407BB">
      <w:pPr>
        <w:spacing w:after="0" w:line="360" w:lineRule="auto"/>
        <w:ind w:firstLine="851"/>
        <w:jc w:val="both"/>
        <w:rPr>
          <w:szCs w:val="28"/>
        </w:rPr>
      </w:pPr>
      <w:r w:rsidRPr="00EB68FC">
        <w:rPr>
          <w:szCs w:val="28"/>
        </w:rPr>
        <w:t xml:space="preserve">Вченими було доведено, що надлишок ЖТ призводить до розвитку </w:t>
      </w:r>
      <w:r w:rsidR="003F03AB">
        <w:rPr>
          <w:szCs w:val="28"/>
        </w:rPr>
        <w:t>ІР</w:t>
      </w:r>
      <w:r w:rsidRPr="00EB68FC">
        <w:rPr>
          <w:szCs w:val="28"/>
        </w:rPr>
        <w:t xml:space="preserve"> [27]. Менш добре відомо, але настільки ж важливо, що втрата селективних жирових прошарків (або відсутність ЖТ взагалі) також пов'язана з важкими формами ІР [28].</w:t>
      </w:r>
    </w:p>
    <w:p w:rsidR="00F407BB" w:rsidRPr="00EB68FC" w:rsidRDefault="00F407BB" w:rsidP="00F407BB">
      <w:pPr>
        <w:spacing w:after="0" w:line="360" w:lineRule="auto"/>
        <w:ind w:firstLine="851"/>
        <w:jc w:val="both"/>
        <w:rPr>
          <w:szCs w:val="28"/>
        </w:rPr>
      </w:pPr>
      <w:r w:rsidRPr="00EB68FC">
        <w:rPr>
          <w:szCs w:val="28"/>
        </w:rPr>
        <w:t>Це частково пояснюється відсутністю депо для зберігання ліпідів у звичайних умовах. Даний стан призводить до дисрегуляції рівня тригліцеридів і вільних жирних кислот, а також специфічних білків, похідних від адипоцитів, групи білків, які ми називаємо адипокінами. Як головний регулятор системного зберігання ліпідів і через секрецію ряду цих адипокінів ЖТ впливає на багато процесів, включаючи енергетичний обмін, запалення та патофізіологічні зміни, такі як рак та інфекційні захворювання [</w:t>
      </w:r>
      <w:r w:rsidRPr="007462C1">
        <w:rPr>
          <w:szCs w:val="28"/>
        </w:rPr>
        <w:t>29</w:t>
      </w:r>
      <w:r w:rsidRPr="00EB68FC">
        <w:rPr>
          <w:szCs w:val="28"/>
        </w:rPr>
        <w:t xml:space="preserve">]. На межі енергетичного обміну та запалення ЖТ також відіграє ключову роль у розвитку метаболічного синдрому. Таким чином, погляди вчених на ЖТ істотно змінилися за останні 20 років. Спочатку ЖТ вважалася інертним відділенням для зберігання тригліцеридів, новаторська робота лабораторій Spiegelman і Flier </w:t>
      </w:r>
      <w:r w:rsidRPr="007462C1">
        <w:rPr>
          <w:szCs w:val="28"/>
        </w:rPr>
        <w:t>[30]</w:t>
      </w:r>
      <w:r w:rsidRPr="00EB68FC">
        <w:rPr>
          <w:szCs w:val="28"/>
        </w:rPr>
        <w:t xml:space="preserve"> у середині 1980-х років вперше показала, що адипоцити є багатим джерелом специфічного секреторного білка, який називається адипін або фактор комплемента D. У 1994 р. Група Джефрі Фрідмана [</w:t>
      </w:r>
      <w:r w:rsidRPr="007462C1">
        <w:rPr>
          <w:szCs w:val="28"/>
        </w:rPr>
        <w:t>31</w:t>
      </w:r>
      <w:r w:rsidRPr="00EB68FC">
        <w:rPr>
          <w:szCs w:val="28"/>
        </w:rPr>
        <w:t>] визначила лептин як специфічний для жирової клітини секреторний фактор, недостатній у мишей ob / ob, що опосередковує гормональну вісь між ЖТ і мозком.</w:t>
      </w:r>
    </w:p>
    <w:p w:rsidR="00F407BB" w:rsidRPr="00EB68FC" w:rsidRDefault="00F407BB" w:rsidP="00F407BB">
      <w:pPr>
        <w:spacing w:after="0" w:line="360" w:lineRule="auto"/>
        <w:ind w:firstLine="851"/>
        <w:jc w:val="both"/>
        <w:rPr>
          <w:szCs w:val="28"/>
        </w:rPr>
      </w:pPr>
      <w:r w:rsidRPr="00EB68FC">
        <w:rPr>
          <w:szCs w:val="28"/>
        </w:rPr>
        <w:t>У міру того, як відносна важливість загального та абдомінального ожиріння все ще обговорюється, саме абдомінальне ожиріння розглядається у фокусі атерогенного різномаїття, оскільки воно сприяє скупченню атерогенних факторів ризику, пов'язаних з резистентністю до інсуліну [</w:t>
      </w:r>
      <w:r w:rsidRPr="007462C1">
        <w:rPr>
          <w:szCs w:val="28"/>
        </w:rPr>
        <w:t>35</w:t>
      </w:r>
      <w:r w:rsidRPr="00EB68FC">
        <w:rPr>
          <w:szCs w:val="28"/>
        </w:rPr>
        <w:t xml:space="preserve">]. Абдомінальне ожиріння, </w:t>
      </w:r>
      <w:r w:rsidRPr="00EB68FC">
        <w:rPr>
          <w:szCs w:val="28"/>
        </w:rPr>
        <w:lastRenderedPageBreak/>
        <w:t>представлене окружністю талії та співвідношенням талії-стегна, було показано як сильний предиктор ІХС, незалежно від загального ступеня ожиріння, хоча ІМТ також впливає на ризик ІХС [</w:t>
      </w:r>
      <w:r w:rsidRPr="007462C1">
        <w:rPr>
          <w:szCs w:val="28"/>
        </w:rPr>
        <w:t>36</w:t>
      </w:r>
      <w:r w:rsidRPr="00EB68FC">
        <w:rPr>
          <w:szCs w:val="28"/>
        </w:rPr>
        <w:t xml:space="preserve">]. </w:t>
      </w:r>
    </w:p>
    <w:p w:rsidR="00F407BB" w:rsidRPr="00EB68FC" w:rsidRDefault="00F407BB" w:rsidP="00F407BB">
      <w:pPr>
        <w:spacing w:after="0" w:line="360" w:lineRule="auto"/>
        <w:ind w:firstLine="851"/>
        <w:jc w:val="both"/>
        <w:rPr>
          <w:szCs w:val="28"/>
        </w:rPr>
      </w:pPr>
      <w:r w:rsidRPr="00EB68FC">
        <w:rPr>
          <w:szCs w:val="28"/>
        </w:rPr>
        <w:t xml:space="preserve">У кількох регресійних аналізах традиційні маркери серцево-судинних ризиків – ІМТ, </w:t>
      </w:r>
      <w:r w:rsidR="003F03AB">
        <w:rPr>
          <w:szCs w:val="28"/>
        </w:rPr>
        <w:t>ЛПНЩ</w:t>
      </w:r>
      <w:r w:rsidRPr="00EB68FC">
        <w:rPr>
          <w:szCs w:val="28"/>
        </w:rPr>
        <w:t xml:space="preserve"> та сімейна історія цукрового діабету (ЦД) 2 типу були довгостроковими факторами накопичення вісцеральної ЖТ та підшкірних об'ємів жиру від молодих до чоловіків середнього віку [</w:t>
      </w:r>
      <w:r w:rsidRPr="007462C1">
        <w:rPr>
          <w:szCs w:val="28"/>
        </w:rPr>
        <w:t>37]. Однак надмірн</w:t>
      </w:r>
      <w:r w:rsidRPr="00EB68FC">
        <w:rPr>
          <w:szCs w:val="28"/>
        </w:rPr>
        <w:t>а кількість вісцеральної ЖТ</w:t>
      </w:r>
      <w:r w:rsidRPr="007462C1">
        <w:rPr>
          <w:szCs w:val="28"/>
        </w:rPr>
        <w:t xml:space="preserve"> бу</w:t>
      </w:r>
      <w:r w:rsidRPr="00EB68FC">
        <w:rPr>
          <w:szCs w:val="28"/>
        </w:rPr>
        <w:t>ла</w:t>
      </w:r>
      <w:r w:rsidRPr="007462C1">
        <w:rPr>
          <w:szCs w:val="28"/>
        </w:rPr>
        <w:t xml:space="preserve"> більш патогенним</w:t>
      </w:r>
      <w:r w:rsidRPr="00EB68FC">
        <w:rPr>
          <w:szCs w:val="28"/>
        </w:rPr>
        <w:t xml:space="preserve"> фактором</w:t>
      </w:r>
      <w:r w:rsidRPr="007462C1">
        <w:rPr>
          <w:szCs w:val="28"/>
        </w:rPr>
        <w:t>, ніж підшкірни</w:t>
      </w:r>
      <w:r w:rsidRPr="00EB68FC">
        <w:rPr>
          <w:szCs w:val="28"/>
        </w:rPr>
        <w:t>й</w:t>
      </w:r>
      <w:r w:rsidRPr="007462C1">
        <w:rPr>
          <w:szCs w:val="28"/>
        </w:rPr>
        <w:t xml:space="preserve"> жир, оскільки</w:t>
      </w:r>
      <w:r w:rsidRPr="00EB68FC">
        <w:rPr>
          <w:szCs w:val="28"/>
        </w:rPr>
        <w:t xml:space="preserve"> надмірний вміст</w:t>
      </w:r>
      <w:r w:rsidRPr="007462C1">
        <w:rPr>
          <w:szCs w:val="28"/>
        </w:rPr>
        <w:t xml:space="preserve"> </w:t>
      </w:r>
      <w:r w:rsidRPr="00EB68FC">
        <w:rPr>
          <w:szCs w:val="28"/>
        </w:rPr>
        <w:t>вісцеральної ЖТ</w:t>
      </w:r>
      <w:r w:rsidRPr="007462C1">
        <w:rPr>
          <w:szCs w:val="28"/>
        </w:rPr>
        <w:t xml:space="preserve"> тісно пов'язаний з кардіометаболічними аномаліями</w:t>
      </w:r>
      <w:r w:rsidRPr="00EB68FC">
        <w:rPr>
          <w:szCs w:val="28"/>
        </w:rPr>
        <w:t xml:space="preserve"> та збільшення постачання вільних жирних кислот до печінки через портальний венозний дренаж за рахунок анатомічної локалізації</w:t>
      </w:r>
      <w:r w:rsidRPr="007462C1">
        <w:rPr>
          <w:szCs w:val="28"/>
        </w:rPr>
        <w:t xml:space="preserve"> [38]. </w:t>
      </w:r>
      <w:r w:rsidRPr="00EB68FC">
        <w:rPr>
          <w:szCs w:val="28"/>
        </w:rPr>
        <w:t xml:space="preserve">В дослідженні </w:t>
      </w:r>
      <w:r w:rsidRPr="00EB68FC">
        <w:rPr>
          <w:szCs w:val="28"/>
          <w:lang w:val="en-US"/>
        </w:rPr>
        <w:t>Dudina</w:t>
      </w:r>
      <w:r w:rsidRPr="00EB68FC">
        <w:rPr>
          <w:szCs w:val="28"/>
        </w:rPr>
        <w:t xml:space="preserve"> А. і співавт. [</w:t>
      </w:r>
      <w:r w:rsidRPr="007462C1">
        <w:rPr>
          <w:szCs w:val="28"/>
        </w:rPr>
        <w:t>43</w:t>
      </w:r>
      <w:r w:rsidRPr="00EB68FC">
        <w:rPr>
          <w:szCs w:val="28"/>
        </w:rPr>
        <w:t>], завершеному і опублікованому в 2011 році, для виявлення кореляції між показником ІМТ та традиційними факторами ризику ССЗ, такими як вік, паління, рівень загального холестерину крові, систолічний АТ, використовувався шкала SCORE (Systematic Coronary Risk Evaluation). За результатами аналізу даних 12 когортних європейських досліджень було зроблено висновок: підвищення ІМТ на кожні п'ять одиниць корелює з ростом серцево-судинної смертності на 34% у чоловіків і на 29% у жінок.</w:t>
      </w:r>
    </w:p>
    <w:p w:rsidR="00F407BB" w:rsidRPr="00EB68FC" w:rsidRDefault="00F407BB" w:rsidP="00F407BB">
      <w:pPr>
        <w:spacing w:after="0" w:line="360" w:lineRule="auto"/>
        <w:ind w:firstLine="851"/>
        <w:jc w:val="both"/>
        <w:rPr>
          <w:szCs w:val="28"/>
        </w:rPr>
      </w:pPr>
      <w:r w:rsidRPr="00EB68FC">
        <w:rPr>
          <w:szCs w:val="28"/>
        </w:rPr>
        <w:t>В той же час 2007 року Hassani і співавт. [</w:t>
      </w:r>
      <w:r w:rsidRPr="007462C1">
        <w:rPr>
          <w:szCs w:val="28"/>
        </w:rPr>
        <w:t>44</w:t>
      </w:r>
      <w:r w:rsidRPr="00EB68FC">
        <w:rPr>
          <w:szCs w:val="28"/>
        </w:rPr>
        <w:t>] публікують результати своїх спостережень, в яких відзначається, що у пацієнтів з надмірною масою тіла та ІХС, які перенесли ендоваскулярне лікування коронарних артерій, відсоток рестенозів і летальність від кардіоваскулярних причин достовірно нижче, ніж у хворих з нормальною масою тіла. У 2009 році George D. Lundberg і співавт. [</w:t>
      </w:r>
      <w:r w:rsidRPr="007462C1">
        <w:rPr>
          <w:szCs w:val="28"/>
        </w:rPr>
        <w:t>45</w:t>
      </w:r>
      <w:r w:rsidRPr="00EB68FC">
        <w:rPr>
          <w:szCs w:val="28"/>
        </w:rPr>
        <w:t xml:space="preserve">] підтверджують, що у пацієнтів з ХСН наявність ожиріння не погіршує серцево-судинний прогноз: надлишкова маса тіла корелює зі зменшенням загальної летальності на 25%, а при ожирінні I ступеня ризик смерті знижується на 12%. </w:t>
      </w:r>
      <w:r w:rsidRPr="00EB68FC">
        <w:rPr>
          <w:szCs w:val="28"/>
        </w:rPr>
        <w:lastRenderedPageBreak/>
        <w:t>Таким чином, був закріплений термін «парадокс ожиріння», запропонований 2003 року американським нефрологом Kalantar-Zadeh [</w:t>
      </w:r>
      <w:r w:rsidRPr="007462C1">
        <w:rPr>
          <w:szCs w:val="28"/>
        </w:rPr>
        <w:t>46</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Результати найбільшого міжнародного дослідження MONICA - Multinational Monitoring of Trends and Determinants in Cardiovascular Disease (загальна кількість учасників склала 10 мільйонів чоловік у віці 25-64 років), метою якого було виявити, якою мірою серцево-судинна захворюваність залежить від відомих факторів ризику її розвитку , а також щоденних звичок, способу життя і соціально-економічних чинників, продемонструвало, що класичні причини появи і прогресування атеросклерозу підтверджуються лише в 15% випадків у жінок і в 40% у чоловіків [</w:t>
      </w:r>
      <w:r w:rsidRPr="007462C1">
        <w:rPr>
          <w:szCs w:val="28"/>
        </w:rPr>
        <w:t>47</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Також в системному огляді 40 досліджень з включенням 250 000 пацієнтів було проаналізовано, якою мірою ожиріння впливає на загальну і коронарну смертність у пацієнтів з ІХС [</w:t>
      </w:r>
      <w:r w:rsidRPr="007462C1">
        <w:rPr>
          <w:szCs w:val="28"/>
        </w:rPr>
        <w:t>48</w:t>
      </w:r>
      <w:r w:rsidRPr="00EB68FC">
        <w:rPr>
          <w:szCs w:val="28"/>
        </w:rPr>
        <w:t xml:space="preserve">]. За час спостереження,що склав 3,8 років, було показано, що особи з надмірною вагою і ожирінням мають більш низький ризик як загальної, так і серцево-судинної смертності в порівнянні з особами з нормальною та зниженою вагою. Однак пацієнти з ІМТ більше 35 кг/м2 достовірно частіше вмирали від кардіальних причин без підвищення загальної смертності. </w:t>
      </w:r>
    </w:p>
    <w:p w:rsidR="00F407BB" w:rsidRPr="00EB68FC" w:rsidRDefault="00F407BB" w:rsidP="00F407BB">
      <w:pPr>
        <w:spacing w:after="0" w:line="360" w:lineRule="auto"/>
        <w:ind w:firstLine="851"/>
        <w:jc w:val="both"/>
        <w:rPr>
          <w:szCs w:val="28"/>
        </w:rPr>
      </w:pPr>
      <w:r w:rsidRPr="00EB68FC">
        <w:rPr>
          <w:szCs w:val="28"/>
        </w:rPr>
        <w:t>У дослідженні APPROACH (Alberta Provincial Project for Outcome Assessment in Coronary Heart Disease) вивчався вплив ІМТ на загальну смертність в залежності від виду лікування підтвердженої ІХС [</w:t>
      </w:r>
      <w:r w:rsidRPr="007462C1">
        <w:rPr>
          <w:szCs w:val="28"/>
        </w:rPr>
        <w:t>49</w:t>
      </w:r>
      <w:r w:rsidRPr="00EB68FC">
        <w:rPr>
          <w:szCs w:val="28"/>
        </w:rPr>
        <w:t xml:space="preserve">]. Більше 30 тисяч пацієнтів спостерігали протягом 46 місяців. Вони були розділені на групи за рівнем ІМТ і виду лікування ІХС: медикаментозна терапія, стентування коронарних артерій і аорто-коронарне шунтування. У групі пацієнтів, що мали надлишкову масу тіла або ожиріння, що не перевищує 1-2-й ступінь, які отримують медикаментозну терапію, ІМТ корелював з більш низькою смертністю в порівнянні з нормальною вагою. Проте, хворі з надмірною вагою і помірним ожирінням частіше піддавалися реваскулярізуючим втручанням, незважаючи на те, що були менш схильні до прогностично </w:t>
      </w:r>
      <w:r w:rsidRPr="00EB68FC">
        <w:rPr>
          <w:szCs w:val="28"/>
        </w:rPr>
        <w:lastRenderedPageBreak/>
        <w:t>несприятливого ураження лівої коронарної артерії. Останнє спостереження дослідники пов'язали з тим, що ці пацієнти частіше мали гіперхолестеринемію, АГ, порушену толерантність до глюкози або ЦД.</w:t>
      </w:r>
    </w:p>
    <w:p w:rsidR="00F407BB" w:rsidRPr="00EB68FC" w:rsidRDefault="00F407BB" w:rsidP="00F407BB">
      <w:pPr>
        <w:spacing w:after="0" w:line="360" w:lineRule="auto"/>
        <w:ind w:firstLine="851"/>
        <w:jc w:val="both"/>
        <w:rPr>
          <w:szCs w:val="28"/>
        </w:rPr>
      </w:pPr>
      <w:r w:rsidRPr="00EB68FC">
        <w:rPr>
          <w:szCs w:val="28"/>
        </w:rPr>
        <w:t>Аналізуючи дослідження за участю 26 тисяч пацієнтів, кому проводилося ендоваскулярне лікування ІХС, підтвердилися раніше отримані висновки: при ІМТ в діапазоні 25 – 40 кг/м</w:t>
      </w:r>
      <w:r w:rsidRPr="00EB68FC">
        <w:rPr>
          <w:szCs w:val="28"/>
          <w:vertAlign w:val="superscript"/>
        </w:rPr>
        <w:t>2</w:t>
      </w:r>
      <w:r w:rsidRPr="00EB68FC">
        <w:rPr>
          <w:szCs w:val="28"/>
        </w:rPr>
        <w:t xml:space="preserve"> серцево-судинний прогноз менш сприятливий. Цікаво, що в даному дослідженні, що закінчилося в 2010 р [</w:t>
      </w:r>
      <w:r w:rsidRPr="007462C1">
        <w:rPr>
          <w:szCs w:val="28"/>
        </w:rPr>
        <w:t>50</w:t>
      </w:r>
      <w:r w:rsidRPr="00EB68FC">
        <w:rPr>
          <w:szCs w:val="28"/>
        </w:rPr>
        <w:t>], виживаність в групі хворих з ІМТ 25 – 40 кг/м2 вище в порівнянні як з крайніми показниками ІМТ, так і з нормальною вагою.</w:t>
      </w:r>
    </w:p>
    <w:p w:rsidR="00F407BB" w:rsidRPr="00EB68FC" w:rsidRDefault="00F407BB" w:rsidP="00F407BB">
      <w:pPr>
        <w:spacing w:after="0" w:line="360" w:lineRule="auto"/>
        <w:ind w:firstLine="851"/>
        <w:jc w:val="both"/>
        <w:rPr>
          <w:szCs w:val="28"/>
        </w:rPr>
      </w:pPr>
      <w:r w:rsidRPr="00EB68FC">
        <w:rPr>
          <w:szCs w:val="28"/>
        </w:rPr>
        <w:t>У 2012 р шведськими вченими опубліковані результати великого дослідження за участю 38 000 пацієнтів, які перенесли гострий коронарний синдром (ГКС) [</w:t>
      </w:r>
      <w:r w:rsidRPr="007462C1">
        <w:rPr>
          <w:szCs w:val="28"/>
        </w:rPr>
        <w:t>51</w:t>
      </w:r>
      <w:r w:rsidRPr="00EB68FC">
        <w:rPr>
          <w:szCs w:val="28"/>
        </w:rPr>
        <w:t>]. Особи з гемодинамічно значущими стенозами за результатами коронарографії були розділені за ступенем ІМТ на 9 груп. Протягом 3-річного періоду спостереження найбільша смертність від усіх причин зареєстрована у пацієнтів з дефіцитом ваги, потім з нормальною вагою, а найменша смертність - у осіб з надлишковою масою тіла. Ті ж результати спостерігалися в групі у майже 29 тисяч осіб, кому проводилося стентування коронарних артерій. Смертність достовірно знижувалася від групи з дефіцитом ваги (12,4%) до групи з надмірною вагою і ожирінням з ІМТ до 35 кг / м2 (3,9%). При ІМТ понад 35 кг/м2 смертність починала зростати. Вчені пояснили отримані результати дією деяких невстановлених чинників у пацієнтів з надмірною вагою, або наявністю кардіопротективного ефекту ЖТ.</w:t>
      </w:r>
    </w:p>
    <w:p w:rsidR="00F407BB" w:rsidRPr="00EB68FC" w:rsidRDefault="00F407BB" w:rsidP="00F407BB">
      <w:pPr>
        <w:spacing w:after="0" w:line="360" w:lineRule="auto"/>
        <w:ind w:firstLine="851"/>
        <w:jc w:val="both"/>
        <w:rPr>
          <w:szCs w:val="28"/>
        </w:rPr>
      </w:pPr>
      <w:r w:rsidRPr="00EB68FC">
        <w:rPr>
          <w:szCs w:val="28"/>
        </w:rPr>
        <w:t>За новою інформацією американські вчені в дослідженні, опублікованому на сайті журналу The JAMA Cardiology у лютому 2018 року, заперечують існування так званого «парадоксу ожиріння» [</w:t>
      </w:r>
      <w:r w:rsidRPr="007462C1">
        <w:rPr>
          <w:szCs w:val="28"/>
        </w:rPr>
        <w:t>52</w:t>
      </w:r>
      <w:r w:rsidRPr="00EB68FC">
        <w:rPr>
          <w:szCs w:val="28"/>
        </w:rPr>
        <w:t>]. Для цього вчені зібрали дані 190 тисяч осіб з десяти досліджень з 1964 по 2015 рік. При порівнянні було зроблено висновок, що у чоловіків з надмірною вагою (ІМТ від 25 до 29,9 кг/м</w:t>
      </w:r>
      <w:r w:rsidRPr="00EB68FC">
        <w:rPr>
          <w:szCs w:val="28"/>
          <w:vertAlign w:val="superscript"/>
        </w:rPr>
        <w:t>2</w:t>
      </w:r>
      <w:r w:rsidRPr="00EB68FC">
        <w:rPr>
          <w:szCs w:val="28"/>
        </w:rPr>
        <w:t xml:space="preserve">) вірогідність ССЗ більше на </w:t>
      </w:r>
      <w:r w:rsidRPr="00EB68FC">
        <w:rPr>
          <w:szCs w:val="28"/>
        </w:rPr>
        <w:lastRenderedPageBreak/>
        <w:t>21%, а у жінок - на 32%. Серед людей з ожирінням (ІМТ від 30 до 39,9) такий ризик зростає до 67% у чоловіків і 85% у жінок. Але автори дослідження відзначають, що індекс маси тіла впливає безпосередньо не на тривалість життя, а тільки на ризики небезпечних захворювань.</w:t>
      </w:r>
    </w:p>
    <w:p w:rsidR="00F407BB" w:rsidRDefault="00F407BB" w:rsidP="00F407BB">
      <w:pPr>
        <w:spacing w:after="0" w:line="360" w:lineRule="auto"/>
        <w:ind w:firstLine="851"/>
        <w:jc w:val="both"/>
        <w:rPr>
          <w:szCs w:val="28"/>
        </w:rPr>
      </w:pPr>
      <w:r w:rsidRPr="00EB68FC">
        <w:rPr>
          <w:szCs w:val="28"/>
        </w:rPr>
        <w:t xml:space="preserve">Тож на сьогодні вивчення впливу ожиріння на перебіг серцево-судинних захворювань, особливо ГІМ, досі залишається актуальною та дискутабельною проблемою сучасної медицини внутрішніх хвороб. </w:t>
      </w:r>
    </w:p>
    <w:p w:rsidR="00F407BB" w:rsidRPr="00EB68FC" w:rsidRDefault="00F407BB" w:rsidP="00F407BB">
      <w:pPr>
        <w:spacing w:after="0" w:line="360" w:lineRule="auto"/>
        <w:ind w:firstLine="851"/>
        <w:jc w:val="both"/>
        <w:rPr>
          <w:szCs w:val="28"/>
        </w:rPr>
      </w:pPr>
      <w:r w:rsidRPr="00EB68FC">
        <w:rPr>
          <w:szCs w:val="28"/>
        </w:rPr>
        <w:t>Галектини - це сімейство β-галактозид-зв'язуючих лектинів з одним та більше еволюційно-консервативним вуглеводрозпізнаючим доменом (С</w:t>
      </w:r>
      <w:r w:rsidRPr="00EB68FC">
        <w:rPr>
          <w:szCs w:val="28"/>
          <w:lang w:val="en-US"/>
        </w:rPr>
        <w:t>RD</w:t>
      </w:r>
      <w:r w:rsidRPr="00EB68FC">
        <w:rPr>
          <w:szCs w:val="28"/>
        </w:rPr>
        <w:t>) [</w:t>
      </w:r>
      <w:r w:rsidRPr="007462C1">
        <w:rPr>
          <w:szCs w:val="28"/>
        </w:rPr>
        <w:t>53</w:t>
      </w:r>
      <w:r w:rsidRPr="00EB68FC">
        <w:rPr>
          <w:szCs w:val="28"/>
        </w:rPr>
        <w:t xml:space="preserve">]. В даний час у ссавців виявлено 15 галектинів, які поділяються на три типи на основі доменної організації наступним чином: 1) прототипи – галектини з одним єдиним </w:t>
      </w:r>
      <w:r w:rsidRPr="00EB68FC">
        <w:rPr>
          <w:szCs w:val="28"/>
          <w:lang w:val="en-US"/>
        </w:rPr>
        <w:t>CRD</w:t>
      </w:r>
      <w:r w:rsidRPr="00EB68FC">
        <w:rPr>
          <w:szCs w:val="28"/>
        </w:rPr>
        <w:t xml:space="preserve">; 2) галектини типу «тандем-повтору» з двома CRD на одній поліпептидній ланці; 3) химерні галектини – галектини, що складаються з CRD і нелектинової частини, багатої проліном і гліцином; здатні утворювати пентамер при зв'язуванні з мультивалентними вуглеводами </w:t>
      </w:r>
      <w:r w:rsidRPr="007462C1">
        <w:rPr>
          <w:szCs w:val="28"/>
        </w:rPr>
        <w:t>[54]</w:t>
      </w:r>
      <w:r w:rsidRPr="00EB68FC">
        <w:rPr>
          <w:szCs w:val="28"/>
        </w:rPr>
        <w:t xml:space="preserve">. Відомо, що галектин-3 є єдиним галектином хімерного типу. </w:t>
      </w:r>
    </w:p>
    <w:p w:rsidR="00F407BB" w:rsidRPr="007462C1" w:rsidRDefault="00F407BB" w:rsidP="00F407BB">
      <w:pPr>
        <w:spacing w:after="0" w:line="360" w:lineRule="auto"/>
        <w:ind w:firstLine="851"/>
        <w:jc w:val="both"/>
        <w:rPr>
          <w:szCs w:val="28"/>
        </w:rPr>
      </w:pPr>
      <w:r w:rsidRPr="00EB68FC">
        <w:rPr>
          <w:szCs w:val="28"/>
        </w:rPr>
        <w:t xml:space="preserve">Галектин-3 людини - білок з молекулярною масою 35 кДа, кодований геном LGALS3, розташований на 14-й хромосомі. N-кінцевий домен галектину-3 є важливим для його мультимерізації, чутливої до протеолізу матричними металопротеїназами, і може брати участь у взаємодії з іншими внутрішньоклітинними білками </w:t>
      </w:r>
      <w:r w:rsidRPr="007462C1">
        <w:rPr>
          <w:szCs w:val="28"/>
        </w:rPr>
        <w:t>[55]</w:t>
      </w:r>
      <w:r w:rsidRPr="00EB68FC">
        <w:rPr>
          <w:szCs w:val="28"/>
        </w:rPr>
        <w:t>. Крім того, перші 12 амінокислот галектину-3 необхідні для його секреції та ядерної транслокації. С-кінцевий CRD галектину відповідає за його взаємодію з глікокон'югатами, що містять N-ацетиллактозамін. Таким чином, галектин-3 зв'язує білки вуглеводзалежним та незалежним чином.</w:t>
      </w:r>
      <w:r w:rsidRPr="007462C1">
        <w:rPr>
          <w:szCs w:val="28"/>
        </w:rPr>
        <w:t xml:space="preserve"> </w:t>
      </w:r>
    </w:p>
    <w:p w:rsidR="00F407BB" w:rsidRPr="007462C1" w:rsidRDefault="00F407BB" w:rsidP="00F407BB">
      <w:pPr>
        <w:spacing w:after="0" w:line="360" w:lineRule="auto"/>
        <w:ind w:firstLine="851"/>
        <w:jc w:val="both"/>
        <w:rPr>
          <w:szCs w:val="28"/>
        </w:rPr>
      </w:pPr>
      <w:r w:rsidRPr="00EB68FC">
        <w:rPr>
          <w:szCs w:val="28"/>
        </w:rPr>
        <w:t xml:space="preserve">Галектин-3 широко виражений у тканинах людини, включаючи всі види імунних клітин (макрофаги, моноцити, дендритні клітини, еозинофіли, тучні клітини, натуральні кілери та активізовані Т і В клітини), епітеліальні клітини, </w:t>
      </w:r>
      <w:r w:rsidRPr="00EB68FC">
        <w:rPr>
          <w:szCs w:val="28"/>
        </w:rPr>
        <w:lastRenderedPageBreak/>
        <w:t xml:space="preserve">ендотеліальні клітини та сенсорні нейрони </w:t>
      </w:r>
      <w:r w:rsidRPr="007462C1">
        <w:rPr>
          <w:szCs w:val="28"/>
        </w:rPr>
        <w:t>[56]</w:t>
      </w:r>
      <w:r w:rsidRPr="00EB68FC">
        <w:rPr>
          <w:szCs w:val="28"/>
        </w:rPr>
        <w:t>. Експресія галектину-3 в тканинах регулюється залежно від етапу розвитку –  воно є більш поширеним під час ембріогенезу та розвитку в порівнянні з дорослим життям [</w:t>
      </w:r>
      <w:r w:rsidRPr="007462C1">
        <w:rPr>
          <w:szCs w:val="28"/>
        </w:rPr>
        <w:t>57</w:t>
      </w:r>
      <w:r w:rsidRPr="00EB68FC">
        <w:rPr>
          <w:szCs w:val="28"/>
        </w:rPr>
        <w:t>]. Крім того, на ранніх стадіях ембріогенезу характер вираженості його експресії більш специфічний та переважно знаходиться в епітелії, нирках, хондроцитах та печінці [</w:t>
      </w:r>
      <w:r w:rsidRPr="007462C1">
        <w:rPr>
          <w:szCs w:val="28"/>
        </w:rPr>
        <w:t>58</w:t>
      </w:r>
      <w:r w:rsidRPr="00EB68FC">
        <w:rPr>
          <w:szCs w:val="28"/>
        </w:rPr>
        <w:t>]. Галектин-3 міститься в тканинах легенів, шлунка, кишечника, печінки, підшлункової залози, селезінки, а також в тканинах серця, головного мозку і частини органів ендокринної системи [</w:t>
      </w:r>
      <w:r w:rsidRPr="007462C1">
        <w:rPr>
          <w:szCs w:val="28"/>
        </w:rPr>
        <w:t>59; 60]</w:t>
      </w:r>
    </w:p>
    <w:p w:rsidR="00F407BB" w:rsidRPr="00EB68FC" w:rsidRDefault="00F407BB" w:rsidP="00F407BB">
      <w:pPr>
        <w:spacing w:after="0" w:line="360" w:lineRule="auto"/>
        <w:ind w:firstLine="851"/>
        <w:jc w:val="both"/>
        <w:rPr>
          <w:szCs w:val="28"/>
        </w:rPr>
      </w:pPr>
      <w:r w:rsidRPr="001D123E">
        <w:rPr>
          <w:szCs w:val="28"/>
        </w:rPr>
        <w:t>Експресія галект</w:t>
      </w:r>
      <w:r w:rsidRPr="00EB68FC">
        <w:rPr>
          <w:szCs w:val="28"/>
        </w:rPr>
        <w:t>и</w:t>
      </w:r>
      <w:r w:rsidRPr="001D123E">
        <w:rPr>
          <w:szCs w:val="28"/>
        </w:rPr>
        <w:t>на</w:t>
      </w:r>
      <w:r w:rsidRPr="00EB68FC">
        <w:rPr>
          <w:szCs w:val="28"/>
        </w:rPr>
        <w:t>-</w:t>
      </w:r>
      <w:r w:rsidRPr="001D123E">
        <w:rPr>
          <w:szCs w:val="28"/>
        </w:rPr>
        <w:t>3 мінімальна у здорових осіб і супроводжується зв'язуванням біомаркер</w:t>
      </w:r>
      <w:r w:rsidRPr="00EB68FC">
        <w:rPr>
          <w:szCs w:val="28"/>
        </w:rPr>
        <w:t>а</w:t>
      </w:r>
      <w:r w:rsidRPr="001D123E">
        <w:rPr>
          <w:szCs w:val="28"/>
        </w:rPr>
        <w:t xml:space="preserve"> з рецепторами на поверхні різних клітин і глікопротеїнами. Концентрація галек</w:t>
      </w:r>
      <w:r w:rsidRPr="00EB68FC">
        <w:rPr>
          <w:szCs w:val="28"/>
        </w:rPr>
        <w:t>ти</w:t>
      </w:r>
      <w:r w:rsidRPr="001D123E">
        <w:rPr>
          <w:szCs w:val="28"/>
        </w:rPr>
        <w:t>на</w:t>
      </w:r>
      <w:r w:rsidRPr="00EB68FC">
        <w:rPr>
          <w:szCs w:val="28"/>
        </w:rPr>
        <w:t>-</w:t>
      </w:r>
      <w:r w:rsidRPr="001D123E">
        <w:rPr>
          <w:szCs w:val="28"/>
        </w:rPr>
        <w:t>3 залежить від статі, віку,</w:t>
      </w:r>
      <w:r w:rsidRPr="00EB68FC">
        <w:rPr>
          <w:szCs w:val="28"/>
        </w:rPr>
        <w:t xml:space="preserve"> </w:t>
      </w:r>
      <w:r w:rsidRPr="001D123E">
        <w:rPr>
          <w:szCs w:val="28"/>
        </w:rPr>
        <w:t xml:space="preserve">індексу маси тіла, наявності цукрового діабету, гіперліпідемії. </w:t>
      </w:r>
      <w:r w:rsidRPr="00EB68FC">
        <w:rPr>
          <w:szCs w:val="28"/>
        </w:rPr>
        <w:t>Також даний протеїн</w:t>
      </w:r>
      <w:r w:rsidRPr="001D123E">
        <w:rPr>
          <w:szCs w:val="28"/>
        </w:rPr>
        <w:t xml:space="preserve"> </w:t>
      </w:r>
      <w:r w:rsidRPr="00EB68FC">
        <w:rPr>
          <w:szCs w:val="28"/>
        </w:rPr>
        <w:t>володіє</w:t>
      </w:r>
      <w:r w:rsidRPr="001D123E">
        <w:rPr>
          <w:szCs w:val="28"/>
        </w:rPr>
        <w:t xml:space="preserve"> </w:t>
      </w:r>
      <w:r w:rsidRPr="00EB68FC">
        <w:rPr>
          <w:szCs w:val="28"/>
        </w:rPr>
        <w:t>різноманітними</w:t>
      </w:r>
      <w:r w:rsidRPr="001D123E">
        <w:rPr>
          <w:szCs w:val="28"/>
        </w:rPr>
        <w:t xml:space="preserve"> </w:t>
      </w:r>
      <w:r w:rsidRPr="00EB68FC">
        <w:rPr>
          <w:szCs w:val="28"/>
        </w:rPr>
        <w:t>функціями</w:t>
      </w:r>
      <w:r w:rsidRPr="001D123E">
        <w:rPr>
          <w:szCs w:val="28"/>
        </w:rPr>
        <w:t xml:space="preserve">, </w:t>
      </w:r>
      <w:r w:rsidRPr="00EB68FC">
        <w:rPr>
          <w:szCs w:val="28"/>
        </w:rPr>
        <w:t>беручи</w:t>
      </w:r>
      <w:r w:rsidRPr="001D123E">
        <w:rPr>
          <w:szCs w:val="28"/>
        </w:rPr>
        <w:t xml:space="preserve"> </w:t>
      </w:r>
      <w:r w:rsidRPr="00EB68FC">
        <w:rPr>
          <w:szCs w:val="28"/>
        </w:rPr>
        <w:t>участь</w:t>
      </w:r>
      <w:r w:rsidRPr="001D123E">
        <w:rPr>
          <w:szCs w:val="28"/>
        </w:rPr>
        <w:t xml:space="preserve"> </w:t>
      </w:r>
      <w:r w:rsidRPr="00EB68FC">
        <w:rPr>
          <w:szCs w:val="28"/>
        </w:rPr>
        <w:t>в</w:t>
      </w:r>
      <w:r w:rsidRPr="001D123E">
        <w:rPr>
          <w:szCs w:val="28"/>
        </w:rPr>
        <w:t xml:space="preserve"> </w:t>
      </w:r>
      <w:r w:rsidRPr="00EB68FC">
        <w:rPr>
          <w:szCs w:val="28"/>
        </w:rPr>
        <w:t>процесах</w:t>
      </w:r>
      <w:r w:rsidRPr="001D123E">
        <w:rPr>
          <w:szCs w:val="28"/>
        </w:rPr>
        <w:t xml:space="preserve"> </w:t>
      </w:r>
      <w:r w:rsidRPr="00EB68FC">
        <w:rPr>
          <w:szCs w:val="28"/>
        </w:rPr>
        <w:t>запалення</w:t>
      </w:r>
      <w:r w:rsidRPr="001D123E">
        <w:rPr>
          <w:szCs w:val="28"/>
        </w:rPr>
        <w:t xml:space="preserve"> </w:t>
      </w:r>
      <w:r w:rsidRPr="00EB68FC">
        <w:rPr>
          <w:szCs w:val="28"/>
        </w:rPr>
        <w:t>і</w:t>
      </w:r>
      <w:r w:rsidRPr="001D123E">
        <w:rPr>
          <w:szCs w:val="28"/>
        </w:rPr>
        <w:t xml:space="preserve"> </w:t>
      </w:r>
      <w:r w:rsidRPr="00EB68FC">
        <w:rPr>
          <w:szCs w:val="28"/>
        </w:rPr>
        <w:t>фіброзування</w:t>
      </w:r>
      <w:r w:rsidRPr="001D123E">
        <w:rPr>
          <w:szCs w:val="28"/>
        </w:rPr>
        <w:t xml:space="preserve">, </w:t>
      </w:r>
      <w:r w:rsidRPr="00EB68FC">
        <w:rPr>
          <w:szCs w:val="28"/>
        </w:rPr>
        <w:t>імунної</w:t>
      </w:r>
      <w:r w:rsidRPr="001D123E">
        <w:rPr>
          <w:szCs w:val="28"/>
        </w:rPr>
        <w:t xml:space="preserve"> </w:t>
      </w:r>
      <w:r w:rsidRPr="00EB68FC">
        <w:rPr>
          <w:szCs w:val="28"/>
        </w:rPr>
        <w:t>відповіді</w:t>
      </w:r>
      <w:r w:rsidRPr="001D123E">
        <w:rPr>
          <w:szCs w:val="28"/>
        </w:rPr>
        <w:t xml:space="preserve"> </w:t>
      </w:r>
      <w:r w:rsidRPr="00EB68FC">
        <w:rPr>
          <w:szCs w:val="28"/>
        </w:rPr>
        <w:t>організму</w:t>
      </w:r>
      <w:r w:rsidRPr="001D123E">
        <w:rPr>
          <w:szCs w:val="28"/>
        </w:rPr>
        <w:t xml:space="preserve">, </w:t>
      </w:r>
      <w:r w:rsidRPr="00EB68FC">
        <w:rPr>
          <w:szCs w:val="28"/>
        </w:rPr>
        <w:t>зростання</w:t>
      </w:r>
      <w:r w:rsidRPr="001D123E">
        <w:rPr>
          <w:szCs w:val="28"/>
        </w:rPr>
        <w:t xml:space="preserve"> </w:t>
      </w:r>
      <w:r w:rsidRPr="00EB68FC">
        <w:rPr>
          <w:szCs w:val="28"/>
        </w:rPr>
        <w:t>і</w:t>
      </w:r>
      <w:r w:rsidRPr="001D123E">
        <w:rPr>
          <w:szCs w:val="28"/>
        </w:rPr>
        <w:t xml:space="preserve"> </w:t>
      </w:r>
      <w:r w:rsidRPr="00EB68FC">
        <w:rPr>
          <w:szCs w:val="28"/>
        </w:rPr>
        <w:t>апоптозу</w:t>
      </w:r>
      <w:r w:rsidRPr="001D123E">
        <w:rPr>
          <w:szCs w:val="28"/>
        </w:rPr>
        <w:t xml:space="preserve"> </w:t>
      </w:r>
      <w:r w:rsidRPr="00EB68FC">
        <w:rPr>
          <w:szCs w:val="28"/>
        </w:rPr>
        <w:t>клітин</w:t>
      </w:r>
      <w:r w:rsidRPr="001D123E">
        <w:rPr>
          <w:szCs w:val="28"/>
        </w:rPr>
        <w:t xml:space="preserve">, </w:t>
      </w:r>
      <w:r w:rsidRPr="00EB68FC">
        <w:rPr>
          <w:szCs w:val="28"/>
        </w:rPr>
        <w:t>неопластичної</w:t>
      </w:r>
      <w:r w:rsidRPr="001D123E">
        <w:rPr>
          <w:szCs w:val="28"/>
        </w:rPr>
        <w:t xml:space="preserve"> </w:t>
      </w:r>
      <w:r w:rsidRPr="00EB68FC">
        <w:rPr>
          <w:szCs w:val="28"/>
        </w:rPr>
        <w:t>трансформації</w:t>
      </w:r>
      <w:r w:rsidRPr="001D123E">
        <w:rPr>
          <w:szCs w:val="28"/>
        </w:rPr>
        <w:t xml:space="preserve">, </w:t>
      </w:r>
      <w:r w:rsidRPr="00EB68FC">
        <w:rPr>
          <w:szCs w:val="28"/>
        </w:rPr>
        <w:t>гіпертрофії</w:t>
      </w:r>
      <w:r w:rsidRPr="001D123E">
        <w:rPr>
          <w:szCs w:val="28"/>
        </w:rPr>
        <w:t xml:space="preserve"> </w:t>
      </w:r>
      <w:r w:rsidRPr="00EB68FC">
        <w:rPr>
          <w:szCs w:val="28"/>
        </w:rPr>
        <w:t xml:space="preserve">міокарда тощо </w:t>
      </w:r>
      <w:r w:rsidRPr="001D123E">
        <w:rPr>
          <w:szCs w:val="28"/>
        </w:rPr>
        <w:t>[61; 62</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Галектин-3 як біомаркер фіброзу та запалення був пов'язаний з розвитком і прогресуванням СН, і може передбачати зростання захворюваності та смертності. Два останніх мета-аналізи показали, що підвищення рівня експресії галектину-3 пов'язане зі смертю при гострій та хронічній СН [63; 64], тоді як інший систематичний огляд демонструє, що галектин-3 неефективний для прогнозування смертності від усіх причин та серцево-судинної смертності, зокрема під впливом певних клінічних факторів, включаючи оцінювання швидкості клубочкової фільтрації (ШКФ), фракцію викиду лівого желудочка (ФВ ЛШ) та N-кінцевого натрійуретичного пептиду pro-B типу (NT-proBNP) [65].</w:t>
      </w:r>
    </w:p>
    <w:p w:rsidR="00F407BB" w:rsidRPr="00EB68FC" w:rsidRDefault="00F407BB" w:rsidP="00F407BB">
      <w:pPr>
        <w:spacing w:after="0" w:line="360" w:lineRule="auto"/>
        <w:ind w:firstLine="851"/>
        <w:jc w:val="both"/>
        <w:rPr>
          <w:szCs w:val="28"/>
        </w:rPr>
      </w:pPr>
      <w:r w:rsidRPr="00EB68FC">
        <w:rPr>
          <w:szCs w:val="28"/>
        </w:rPr>
        <w:t xml:space="preserve">Проспективне когортне дослідження із 26-місячним терміном спостереження показало, що рівень експресії галектину-3 є незалежним предиктором 26-місячної смертності у пацієнтів з ХСН, а рівень галектину-3 &gt; 21 нг / мл був пов'язаний з </w:t>
      </w:r>
      <w:r w:rsidRPr="00EB68FC">
        <w:rPr>
          <w:szCs w:val="28"/>
        </w:rPr>
        <w:lastRenderedPageBreak/>
        <w:t xml:space="preserve">підвищенням смертності </w:t>
      </w:r>
      <w:r w:rsidRPr="007462C1">
        <w:rPr>
          <w:szCs w:val="28"/>
        </w:rPr>
        <w:t>[66]</w:t>
      </w:r>
      <w:r w:rsidRPr="00EB68FC">
        <w:rPr>
          <w:szCs w:val="28"/>
        </w:rPr>
        <w:t>. У хворих на ІХС та СН підвищений рівень сироваткового галектину-3 був незалежним прогностичним фактором повторної госпіталізації та смертності від усіх причин.</w:t>
      </w:r>
    </w:p>
    <w:p w:rsidR="00F407BB" w:rsidRPr="00EB68FC" w:rsidRDefault="00F407BB" w:rsidP="00F407BB">
      <w:pPr>
        <w:spacing w:after="0" w:line="360" w:lineRule="auto"/>
        <w:ind w:firstLine="851"/>
        <w:jc w:val="both"/>
        <w:rPr>
          <w:szCs w:val="28"/>
        </w:rPr>
      </w:pPr>
      <w:r w:rsidRPr="00EB68FC">
        <w:rPr>
          <w:szCs w:val="28"/>
        </w:rPr>
        <w:t xml:space="preserve">Роль галектину-3 у розвитку ремоделювання міокарда з формуванням ХСН знайшла підтвердження в експериментальних та клінічних роботах. Передбачається, що галектин-3 може стимулювати міграцію макрофагів у зону пошкодженого міокарда з подальшою активацією фібробластів, міофібробластів і збільшенням синтезу проколагенів I і IV та накопиченням компонентів позаклітинного матриксу, таким чином, викликаючи фіброз міокарда і формуючи, перш за все, систолічну та дистолічну дисфункцію ЛШ </w:t>
      </w:r>
      <w:r w:rsidRPr="007462C1">
        <w:rPr>
          <w:szCs w:val="28"/>
        </w:rPr>
        <w:t>[67-69</w:t>
      </w:r>
      <w:r w:rsidRPr="00EB68FC">
        <w:rPr>
          <w:szCs w:val="28"/>
        </w:rPr>
        <w:t>].</w:t>
      </w:r>
    </w:p>
    <w:p w:rsidR="00F407BB" w:rsidRPr="007462C1" w:rsidRDefault="00F407BB" w:rsidP="00F407BB">
      <w:pPr>
        <w:spacing w:after="0" w:line="360" w:lineRule="auto"/>
        <w:ind w:firstLine="851"/>
        <w:jc w:val="both"/>
        <w:rPr>
          <w:szCs w:val="28"/>
        </w:rPr>
      </w:pPr>
      <w:r w:rsidRPr="00EB68FC">
        <w:rPr>
          <w:szCs w:val="28"/>
        </w:rPr>
        <w:t>У недавньому випробуванні плазмові концентрації галектину-3 визначалися у осіб з ХСН після проведеної терапії розувастатином в субпопуляції пацієнтів, які взяли участь в дослідженні CORONA (Controlled Rosuvastatin Multinational Trial in Heart Failure) [</w:t>
      </w:r>
      <w:r w:rsidRPr="007462C1">
        <w:rPr>
          <w:szCs w:val="28"/>
        </w:rPr>
        <w:t>70</w:t>
      </w:r>
      <w:r w:rsidRPr="00EB68FC">
        <w:rPr>
          <w:szCs w:val="28"/>
        </w:rPr>
        <w:t xml:space="preserve">]. Метою даного дослідження була оцінка ефективності застосування розувастатину у пацієнтів з систолічною СН ішемічного генезу з низьким плазмовим рівнем галектину-3. Плазмова концентрація галектину-3 була визначена у 1492 пацієнтів, у 411 з яких протягом 33 місяців спостереження були зафіксовані випадки нефатального інсульту, ГІМ або смерть від серцево-судинних причин. Хоча терапія розувастатином не знижує частоту первинних кінцевих точок у пацієнтів з рівнем галектину-3 плазми крові нижче або рівним середньому, відзначалося достовірне зниження частоти подій на 30,4% в порівнянні з пацієнтами тієї ж групи, що одержували плацебо. Цікаво відзначити, що у пацієнтів з рівнем галектину-3 нижче або рівним середньому, які отримували розувастатин, спостерігалася значно низька частота подій. І навпаки, у пацієнтів з плазмовими концентраціями галектину-3 вище середнього рівня терапія розувастатином була неефективною </w:t>
      </w:r>
      <w:r w:rsidRPr="007462C1">
        <w:rPr>
          <w:szCs w:val="28"/>
        </w:rPr>
        <w:t>[71]</w:t>
      </w:r>
    </w:p>
    <w:p w:rsidR="00F407BB" w:rsidRPr="00EB68FC" w:rsidRDefault="00F407BB" w:rsidP="00F407BB">
      <w:pPr>
        <w:spacing w:after="0" w:line="360" w:lineRule="auto"/>
        <w:ind w:firstLine="851"/>
        <w:jc w:val="both"/>
        <w:rPr>
          <w:szCs w:val="28"/>
        </w:rPr>
      </w:pPr>
      <w:r w:rsidRPr="00EB68FC">
        <w:rPr>
          <w:szCs w:val="28"/>
        </w:rPr>
        <w:lastRenderedPageBreak/>
        <w:t>У проспективному когортному дослідженні з довгостроковим контролем (середній показник 7,2 років) у пацієнтів з ІХС галектин-3 представлений як сильний незалежний предиктор серцево-судинної смертності [</w:t>
      </w:r>
      <w:r w:rsidRPr="007462C1">
        <w:rPr>
          <w:szCs w:val="28"/>
        </w:rPr>
        <w:t>72</w:t>
      </w:r>
      <w:r w:rsidRPr="00EB68FC">
        <w:rPr>
          <w:szCs w:val="28"/>
        </w:rPr>
        <w:t xml:space="preserve">]. У пацієнтів з хронічними формами ІХС збільшення рівня галектину в сироватці крові було пов'язане з більшою частотою серцево-судинних подій </w:t>
      </w:r>
      <w:r w:rsidRPr="007462C1">
        <w:rPr>
          <w:szCs w:val="28"/>
        </w:rPr>
        <w:t>[73]</w:t>
      </w:r>
      <w:r w:rsidRPr="00EB68FC">
        <w:rPr>
          <w:szCs w:val="28"/>
        </w:rPr>
        <w:t>. На відміну від цього, ще одне велике когортне дослідження з 13-річним терміном спостереження пацієнтів зі стабільною формою ІХС, після корекції для маркерів гемодинамічного стресу, пошкодження міокарда, запалення та дисфункції нирок, галектин-3 не міг самостійно прогнозувати рецидивуючі серцево-судинні події [</w:t>
      </w:r>
      <w:r w:rsidRPr="007462C1">
        <w:rPr>
          <w:szCs w:val="28"/>
        </w:rPr>
        <w:t>74</w:t>
      </w:r>
      <w:r w:rsidRPr="00EB68FC">
        <w:rPr>
          <w:szCs w:val="28"/>
        </w:rPr>
        <w:t>]. У пацієнтів з ІХС рівень галектину-3 у сироватці крові виявив суттєву позитивну асоціацію з вираженою тяжкістю ураження коронарних артерій, яка визначалася за шкалою Генсіні та кількістю уражених судин [</w:t>
      </w:r>
      <w:r w:rsidRPr="007462C1">
        <w:rPr>
          <w:szCs w:val="28"/>
        </w:rPr>
        <w:t>75</w:t>
      </w:r>
      <w:r w:rsidRPr="00EB68FC">
        <w:rPr>
          <w:szCs w:val="28"/>
        </w:rPr>
        <w:t>], а збільшення рівня галектину-3 в сироватці крові відображало підвищений ступінь фіброзу міокарда [</w:t>
      </w:r>
      <w:r w:rsidRPr="007462C1">
        <w:rPr>
          <w:szCs w:val="28"/>
        </w:rPr>
        <w:t>76</w:t>
      </w:r>
      <w:r w:rsidRPr="00EB68FC">
        <w:rPr>
          <w:szCs w:val="28"/>
        </w:rPr>
        <w:t>]. Навпаки, у пацієнтів з гострим коронарним синдромом (ГКС) рівень галектину-3 в сироватці крові показав достовірний позитивний зв'язок зі шкалою Генсіні, однак, не з кількістю залучених до атеросклеротичного процесу судин [</w:t>
      </w:r>
      <w:r w:rsidRPr="007462C1">
        <w:rPr>
          <w:szCs w:val="28"/>
        </w:rPr>
        <w:t>77</w:t>
      </w:r>
      <w:r w:rsidRPr="00EB68FC">
        <w:rPr>
          <w:szCs w:val="28"/>
        </w:rPr>
        <w:t>]. Крім того, у хворих на ГКС з вищими показниками експресії галектину-3 було виявлено зниження ФВ ЛШ та ШКФ [</w:t>
      </w:r>
      <w:r w:rsidRPr="007462C1">
        <w:rPr>
          <w:szCs w:val="28"/>
        </w:rPr>
        <w:t>78</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У 2006 році групою вчених під керівництвом van Kimmenade R. R. було проведено дослідження з вивчення діагностичної ролі нового біомаркера галектину-3 у пацієнтів з гострою СН. У дослідження були включені 599 пацієнтів із задишкою та іншими симптомами СН. У всіх пацієнтів визначався рівень галектину-3 і NT-proBNP в плазмі крові. В результаті дослідження було показано, що рівень галектину-3 не корелював з тяжкістю стану пацієнта, що оцінювалась згідно з класифікацією NYHA, і характеризувався більш низькою діагностичною специфічністю і чутливістю для ідентифікації СН в порівнянні з NT-proBNP [</w:t>
      </w:r>
      <w:r w:rsidRPr="007462C1">
        <w:rPr>
          <w:szCs w:val="28"/>
        </w:rPr>
        <w:t>79</w:t>
      </w:r>
      <w:r w:rsidRPr="00EB68FC">
        <w:rPr>
          <w:szCs w:val="28"/>
        </w:rPr>
        <w:t xml:space="preserve">]. </w:t>
      </w:r>
    </w:p>
    <w:p w:rsidR="00F407BB" w:rsidRPr="007462C1" w:rsidRDefault="00F407BB" w:rsidP="00F407BB">
      <w:pPr>
        <w:spacing w:after="0" w:line="360" w:lineRule="auto"/>
        <w:ind w:firstLine="851"/>
        <w:jc w:val="both"/>
        <w:rPr>
          <w:szCs w:val="28"/>
        </w:rPr>
      </w:pPr>
      <w:r w:rsidRPr="00EB68FC">
        <w:rPr>
          <w:szCs w:val="28"/>
        </w:rPr>
        <w:lastRenderedPageBreak/>
        <w:t xml:space="preserve">За даними Di Tano, у хворих з першим ГІМ передньої стінки з елевацією сегмента </w:t>
      </w:r>
      <w:r w:rsidRPr="00EB68FC">
        <w:rPr>
          <w:szCs w:val="28"/>
          <w:lang w:val="en-US"/>
        </w:rPr>
        <w:t>ST</w:t>
      </w:r>
      <w:r w:rsidRPr="00EB68FC">
        <w:rPr>
          <w:szCs w:val="28"/>
        </w:rPr>
        <w:t xml:space="preserve"> (</w:t>
      </w:r>
      <w:r w:rsidRPr="00EB68FC">
        <w:rPr>
          <w:szCs w:val="28"/>
          <w:lang w:val="en-US"/>
        </w:rPr>
        <w:t>STEMI</w:t>
      </w:r>
      <w:r w:rsidRPr="00EB68FC">
        <w:rPr>
          <w:szCs w:val="28"/>
        </w:rPr>
        <w:t xml:space="preserve">) і оклюзією передньої нисхідної артерії, яким було проведене </w:t>
      </w:r>
      <w:r w:rsidR="003F03AB">
        <w:rPr>
          <w:szCs w:val="28"/>
        </w:rPr>
        <w:t>ПКВ</w:t>
      </w:r>
      <w:r w:rsidRPr="00EB68FC">
        <w:rPr>
          <w:szCs w:val="28"/>
        </w:rPr>
        <w:t>, під час госпіталізації були виявлені підвищені сироваткові рівні галектину-3, і вони були пов'язані з підвищеним ризиком ремоделювання ЛШ [</w:t>
      </w:r>
      <w:r w:rsidRPr="007462C1">
        <w:rPr>
          <w:szCs w:val="28"/>
        </w:rPr>
        <w:t>80</w:t>
      </w:r>
      <w:r w:rsidRPr="00EB68FC">
        <w:rPr>
          <w:szCs w:val="28"/>
        </w:rPr>
        <w:t xml:space="preserve">]. Крім того, підвищені рівні експресії галектину-3 були найбільш ефективним незалежним прогностичним інструментом для комбінованих 30-денних основних несприятливих клінічних подій у пацієнтів з першим ГІМ без передуючої СН, лікованої методом </w:t>
      </w:r>
      <w:r w:rsidR="003F03AB">
        <w:rPr>
          <w:szCs w:val="28"/>
        </w:rPr>
        <w:t>ПКВ</w:t>
      </w:r>
      <w:r w:rsidRPr="00EB68FC">
        <w:rPr>
          <w:szCs w:val="28"/>
        </w:rPr>
        <w:t xml:space="preserve"> [</w:t>
      </w:r>
      <w:r w:rsidRPr="007462C1">
        <w:rPr>
          <w:szCs w:val="28"/>
        </w:rPr>
        <w:t>81; 82</w:t>
      </w:r>
      <w:r w:rsidR="00C40143">
        <w:rPr>
          <w:szCs w:val="28"/>
        </w:rPr>
        <w:t>]. Рівень</w:t>
      </w:r>
      <w:r w:rsidR="003F03AB">
        <w:rPr>
          <w:szCs w:val="28"/>
        </w:rPr>
        <w:t xml:space="preserve"> </w:t>
      </w:r>
      <w:r w:rsidRPr="00EB68FC">
        <w:rPr>
          <w:szCs w:val="28"/>
        </w:rPr>
        <w:t xml:space="preserve">галектину-3 також був пов'язаний з реінфарктом після вперше перенесеного ГІМ [83]. Галектин-3, визначений під час гострого періоду STEMI, проявив себе як незалежний предиктор підвищеного позаклітинного об'єму протягом півроку спостереження, який може бути корисним для тривалої стратифікації ризику </w:t>
      </w:r>
      <w:r w:rsidRPr="007462C1">
        <w:rPr>
          <w:szCs w:val="28"/>
        </w:rPr>
        <w:t>[84], і може використовуватися для прогнозування ФВ ЛШ та</w:t>
      </w:r>
      <w:r w:rsidRPr="00EB68FC">
        <w:rPr>
          <w:szCs w:val="28"/>
        </w:rPr>
        <w:t xml:space="preserve"> розміру ураженої ділянки після</w:t>
      </w:r>
      <w:r w:rsidRPr="007462C1">
        <w:rPr>
          <w:szCs w:val="28"/>
        </w:rPr>
        <w:t xml:space="preserve"> інфаркту через 4 місяці після вимірювання </w:t>
      </w:r>
      <w:r w:rsidRPr="00EB68FC">
        <w:rPr>
          <w:szCs w:val="28"/>
        </w:rPr>
        <w:t xml:space="preserve">його </w:t>
      </w:r>
      <w:r w:rsidRPr="007462C1">
        <w:rPr>
          <w:szCs w:val="28"/>
        </w:rPr>
        <w:t xml:space="preserve">концентрації відразу після </w:t>
      </w:r>
      <w:r w:rsidRPr="00EB68FC">
        <w:rPr>
          <w:szCs w:val="28"/>
        </w:rPr>
        <w:t>Г</w:t>
      </w:r>
      <w:r w:rsidRPr="007462C1">
        <w:rPr>
          <w:szCs w:val="28"/>
        </w:rPr>
        <w:t xml:space="preserve">ІМ [85]. </w:t>
      </w:r>
      <w:r w:rsidRPr="00EB68FC">
        <w:rPr>
          <w:szCs w:val="28"/>
        </w:rPr>
        <w:t>Крім</w:t>
      </w:r>
      <w:r w:rsidRPr="007462C1">
        <w:rPr>
          <w:szCs w:val="28"/>
        </w:rPr>
        <w:t xml:space="preserve"> </w:t>
      </w:r>
      <w:r w:rsidRPr="00EB68FC">
        <w:rPr>
          <w:szCs w:val="28"/>
        </w:rPr>
        <w:t>того</w:t>
      </w:r>
      <w:r w:rsidRPr="007462C1">
        <w:rPr>
          <w:szCs w:val="28"/>
        </w:rPr>
        <w:t xml:space="preserve">, </w:t>
      </w:r>
      <w:r w:rsidRPr="00EB68FC">
        <w:rPr>
          <w:szCs w:val="28"/>
        </w:rPr>
        <w:t>сироваткові рівні галектину</w:t>
      </w:r>
      <w:r w:rsidRPr="007462C1">
        <w:rPr>
          <w:szCs w:val="28"/>
        </w:rPr>
        <w:t xml:space="preserve">-3 </w:t>
      </w:r>
      <w:r w:rsidRPr="00EB68FC">
        <w:rPr>
          <w:szCs w:val="28"/>
        </w:rPr>
        <w:t>значно</w:t>
      </w:r>
      <w:r w:rsidRPr="007462C1">
        <w:rPr>
          <w:szCs w:val="28"/>
        </w:rPr>
        <w:t xml:space="preserve"> </w:t>
      </w:r>
      <w:r w:rsidRPr="00EB68FC">
        <w:rPr>
          <w:szCs w:val="28"/>
        </w:rPr>
        <w:t>змінювалися за</w:t>
      </w:r>
      <w:r w:rsidRPr="007462C1">
        <w:rPr>
          <w:szCs w:val="28"/>
        </w:rPr>
        <w:t xml:space="preserve"> </w:t>
      </w:r>
      <w:r w:rsidRPr="00EB68FC">
        <w:rPr>
          <w:szCs w:val="28"/>
        </w:rPr>
        <w:t>короткий</w:t>
      </w:r>
      <w:r w:rsidRPr="007462C1">
        <w:rPr>
          <w:szCs w:val="28"/>
        </w:rPr>
        <w:t xml:space="preserve"> </w:t>
      </w:r>
      <w:r w:rsidRPr="00EB68FC">
        <w:rPr>
          <w:szCs w:val="28"/>
        </w:rPr>
        <w:t>проміжок</w:t>
      </w:r>
      <w:r w:rsidRPr="007462C1">
        <w:rPr>
          <w:szCs w:val="28"/>
        </w:rPr>
        <w:t xml:space="preserve"> </w:t>
      </w:r>
      <w:r w:rsidRPr="00EB68FC">
        <w:rPr>
          <w:szCs w:val="28"/>
        </w:rPr>
        <w:t>часу</w:t>
      </w:r>
      <w:r w:rsidRPr="007462C1">
        <w:rPr>
          <w:szCs w:val="28"/>
        </w:rPr>
        <w:t xml:space="preserve"> </w:t>
      </w:r>
      <w:r w:rsidRPr="00EB68FC">
        <w:rPr>
          <w:szCs w:val="28"/>
        </w:rPr>
        <w:t xml:space="preserve">у хворих зі </w:t>
      </w:r>
      <w:r w:rsidRPr="00EB68FC">
        <w:rPr>
          <w:szCs w:val="28"/>
          <w:lang w:val="en-US"/>
        </w:rPr>
        <w:t>STEMI</w:t>
      </w:r>
      <w:r w:rsidRPr="007462C1">
        <w:rPr>
          <w:szCs w:val="28"/>
        </w:rPr>
        <w:t xml:space="preserve">, </w:t>
      </w:r>
      <w:r w:rsidRPr="00EB68FC">
        <w:rPr>
          <w:szCs w:val="28"/>
        </w:rPr>
        <w:t>що</w:t>
      </w:r>
      <w:r w:rsidRPr="007462C1">
        <w:rPr>
          <w:szCs w:val="28"/>
        </w:rPr>
        <w:t xml:space="preserve"> </w:t>
      </w:r>
      <w:r w:rsidRPr="00EB68FC">
        <w:rPr>
          <w:szCs w:val="28"/>
        </w:rPr>
        <w:t>пов</w:t>
      </w:r>
      <w:r w:rsidRPr="007462C1">
        <w:rPr>
          <w:szCs w:val="28"/>
        </w:rPr>
        <w:t>’</w:t>
      </w:r>
      <w:r w:rsidRPr="00EB68FC">
        <w:rPr>
          <w:szCs w:val="28"/>
        </w:rPr>
        <w:t>язано з</w:t>
      </w:r>
      <w:r w:rsidRPr="007462C1">
        <w:rPr>
          <w:szCs w:val="28"/>
        </w:rPr>
        <w:t xml:space="preserve"> </w:t>
      </w:r>
      <w:r w:rsidRPr="00EB68FC">
        <w:rPr>
          <w:szCs w:val="28"/>
        </w:rPr>
        <w:t>часом</w:t>
      </w:r>
      <w:r w:rsidRPr="007462C1">
        <w:rPr>
          <w:szCs w:val="28"/>
        </w:rPr>
        <w:t xml:space="preserve"> </w:t>
      </w:r>
      <w:r w:rsidRPr="00EB68FC">
        <w:rPr>
          <w:szCs w:val="28"/>
        </w:rPr>
        <w:t>реперфузії</w:t>
      </w:r>
      <w:r w:rsidRPr="007462C1">
        <w:rPr>
          <w:szCs w:val="28"/>
        </w:rPr>
        <w:t xml:space="preserve"> [86]. </w:t>
      </w:r>
      <w:r w:rsidRPr="00EB68FC">
        <w:rPr>
          <w:szCs w:val="28"/>
        </w:rPr>
        <w:t>У</w:t>
      </w:r>
      <w:r w:rsidRPr="007462C1">
        <w:rPr>
          <w:szCs w:val="28"/>
        </w:rPr>
        <w:t xml:space="preserve"> </w:t>
      </w:r>
      <w:r w:rsidRPr="00EB68FC">
        <w:rPr>
          <w:szCs w:val="28"/>
        </w:rPr>
        <w:t>пацієнтів з ГІМ</w:t>
      </w:r>
      <w:r w:rsidRPr="007462C1">
        <w:rPr>
          <w:szCs w:val="28"/>
        </w:rPr>
        <w:t xml:space="preserve"> </w:t>
      </w:r>
      <w:r w:rsidRPr="00EB68FC">
        <w:rPr>
          <w:szCs w:val="28"/>
        </w:rPr>
        <w:t>рівні експресії</w:t>
      </w:r>
      <w:r w:rsidRPr="007462C1">
        <w:rPr>
          <w:szCs w:val="28"/>
        </w:rPr>
        <w:t xml:space="preserve"> </w:t>
      </w:r>
      <w:r w:rsidRPr="00EB68FC">
        <w:rPr>
          <w:szCs w:val="28"/>
        </w:rPr>
        <w:t>галектину</w:t>
      </w:r>
      <w:r w:rsidRPr="007462C1">
        <w:rPr>
          <w:szCs w:val="28"/>
        </w:rPr>
        <w:t xml:space="preserve">-3 </w:t>
      </w:r>
      <w:r w:rsidRPr="00EB68FC">
        <w:rPr>
          <w:szCs w:val="28"/>
        </w:rPr>
        <w:t>були</w:t>
      </w:r>
      <w:r w:rsidRPr="007462C1">
        <w:rPr>
          <w:szCs w:val="28"/>
        </w:rPr>
        <w:t xml:space="preserve"> </w:t>
      </w:r>
      <w:r w:rsidRPr="00EB68FC">
        <w:rPr>
          <w:szCs w:val="28"/>
        </w:rPr>
        <w:t>продемонстрували тісний прямий зв</w:t>
      </w:r>
      <w:r w:rsidRPr="007462C1">
        <w:rPr>
          <w:szCs w:val="28"/>
        </w:rPr>
        <w:t>'</w:t>
      </w:r>
      <w:r w:rsidRPr="00EB68FC">
        <w:rPr>
          <w:szCs w:val="28"/>
        </w:rPr>
        <w:t>язок</w:t>
      </w:r>
      <w:r w:rsidRPr="007462C1">
        <w:rPr>
          <w:szCs w:val="28"/>
        </w:rPr>
        <w:t xml:space="preserve"> </w:t>
      </w:r>
      <w:r w:rsidRPr="00EB68FC">
        <w:rPr>
          <w:szCs w:val="28"/>
        </w:rPr>
        <w:t>з</w:t>
      </w:r>
      <w:r w:rsidRPr="007462C1">
        <w:rPr>
          <w:szCs w:val="28"/>
        </w:rPr>
        <w:t xml:space="preserve"> </w:t>
      </w:r>
      <w:r w:rsidRPr="00EB68FC">
        <w:rPr>
          <w:szCs w:val="28"/>
        </w:rPr>
        <w:t>певними</w:t>
      </w:r>
      <w:r w:rsidRPr="007462C1">
        <w:rPr>
          <w:szCs w:val="28"/>
        </w:rPr>
        <w:t xml:space="preserve"> </w:t>
      </w:r>
      <w:r w:rsidRPr="00EB68FC">
        <w:rPr>
          <w:szCs w:val="28"/>
        </w:rPr>
        <w:t>запальними</w:t>
      </w:r>
      <w:r w:rsidRPr="007462C1">
        <w:rPr>
          <w:szCs w:val="28"/>
        </w:rPr>
        <w:t xml:space="preserve"> </w:t>
      </w:r>
      <w:r w:rsidRPr="00EB68FC">
        <w:rPr>
          <w:szCs w:val="28"/>
        </w:rPr>
        <w:t>факторами</w:t>
      </w:r>
      <w:r w:rsidRPr="007462C1">
        <w:rPr>
          <w:szCs w:val="28"/>
        </w:rPr>
        <w:t xml:space="preserve">, </w:t>
      </w:r>
      <w:r w:rsidRPr="00EB68FC">
        <w:rPr>
          <w:szCs w:val="28"/>
        </w:rPr>
        <w:t>тоді</w:t>
      </w:r>
      <w:r w:rsidRPr="007462C1">
        <w:rPr>
          <w:szCs w:val="28"/>
        </w:rPr>
        <w:t xml:space="preserve"> </w:t>
      </w:r>
      <w:r w:rsidRPr="00EB68FC">
        <w:rPr>
          <w:szCs w:val="28"/>
        </w:rPr>
        <w:t>як</w:t>
      </w:r>
      <w:r w:rsidRPr="007462C1">
        <w:rPr>
          <w:szCs w:val="28"/>
        </w:rPr>
        <w:t xml:space="preserve"> </w:t>
      </w:r>
      <w:r w:rsidRPr="00EB68FC">
        <w:rPr>
          <w:szCs w:val="28"/>
        </w:rPr>
        <w:t>інше</w:t>
      </w:r>
      <w:r w:rsidRPr="007462C1">
        <w:rPr>
          <w:szCs w:val="28"/>
        </w:rPr>
        <w:t xml:space="preserve"> </w:t>
      </w:r>
      <w:r w:rsidRPr="00EB68FC">
        <w:rPr>
          <w:szCs w:val="28"/>
        </w:rPr>
        <w:t>дослідження</w:t>
      </w:r>
      <w:r w:rsidRPr="007462C1">
        <w:rPr>
          <w:szCs w:val="28"/>
        </w:rPr>
        <w:t xml:space="preserve"> </w:t>
      </w:r>
      <w:r w:rsidRPr="00EB68FC">
        <w:rPr>
          <w:szCs w:val="28"/>
        </w:rPr>
        <w:t>показало</w:t>
      </w:r>
      <w:r w:rsidRPr="007462C1">
        <w:rPr>
          <w:szCs w:val="28"/>
        </w:rPr>
        <w:t xml:space="preserve">, </w:t>
      </w:r>
      <w:r w:rsidRPr="00EB68FC">
        <w:rPr>
          <w:szCs w:val="28"/>
        </w:rPr>
        <w:t>що</w:t>
      </w:r>
      <w:r w:rsidRPr="007462C1">
        <w:rPr>
          <w:szCs w:val="28"/>
        </w:rPr>
        <w:t xml:space="preserve"> </w:t>
      </w:r>
      <w:r w:rsidRPr="00EB68FC">
        <w:rPr>
          <w:szCs w:val="28"/>
        </w:rPr>
        <w:t>рівень</w:t>
      </w:r>
      <w:r w:rsidRPr="007462C1">
        <w:rPr>
          <w:szCs w:val="28"/>
        </w:rPr>
        <w:t xml:space="preserve"> </w:t>
      </w:r>
      <w:r w:rsidRPr="00EB68FC">
        <w:rPr>
          <w:szCs w:val="28"/>
        </w:rPr>
        <w:t>галектину</w:t>
      </w:r>
      <w:r w:rsidRPr="007462C1">
        <w:rPr>
          <w:szCs w:val="28"/>
        </w:rPr>
        <w:t xml:space="preserve">-3 </w:t>
      </w:r>
      <w:r w:rsidRPr="00EB68FC">
        <w:rPr>
          <w:szCs w:val="28"/>
        </w:rPr>
        <w:t>не</w:t>
      </w:r>
      <w:r w:rsidRPr="007462C1">
        <w:rPr>
          <w:szCs w:val="28"/>
        </w:rPr>
        <w:t xml:space="preserve"> </w:t>
      </w:r>
      <w:r w:rsidRPr="00EB68FC">
        <w:rPr>
          <w:szCs w:val="28"/>
        </w:rPr>
        <w:t>змінювався</w:t>
      </w:r>
      <w:r w:rsidRPr="007462C1">
        <w:rPr>
          <w:szCs w:val="28"/>
        </w:rPr>
        <w:t xml:space="preserve"> </w:t>
      </w:r>
      <w:r w:rsidRPr="00EB68FC">
        <w:rPr>
          <w:szCs w:val="28"/>
        </w:rPr>
        <w:t>протягом</w:t>
      </w:r>
      <w:r w:rsidRPr="007462C1">
        <w:rPr>
          <w:szCs w:val="28"/>
        </w:rPr>
        <w:t xml:space="preserve"> </w:t>
      </w:r>
      <w:r w:rsidRPr="00EB68FC">
        <w:rPr>
          <w:szCs w:val="28"/>
        </w:rPr>
        <w:t>гострого</w:t>
      </w:r>
      <w:r w:rsidRPr="007462C1">
        <w:rPr>
          <w:szCs w:val="28"/>
        </w:rPr>
        <w:t xml:space="preserve"> </w:t>
      </w:r>
      <w:r w:rsidRPr="00EB68FC">
        <w:rPr>
          <w:szCs w:val="28"/>
        </w:rPr>
        <w:t>періоду</w:t>
      </w:r>
      <w:r w:rsidRPr="007462C1">
        <w:rPr>
          <w:szCs w:val="28"/>
        </w:rPr>
        <w:t xml:space="preserve"> </w:t>
      </w:r>
      <w:r w:rsidRPr="00EB68FC">
        <w:rPr>
          <w:szCs w:val="28"/>
        </w:rPr>
        <w:t>ІМ</w:t>
      </w:r>
      <w:r w:rsidRPr="007462C1">
        <w:rPr>
          <w:szCs w:val="28"/>
        </w:rPr>
        <w:t xml:space="preserve"> </w:t>
      </w:r>
      <w:r w:rsidRPr="00EB68FC">
        <w:rPr>
          <w:szCs w:val="28"/>
        </w:rPr>
        <w:t>та</w:t>
      </w:r>
      <w:r w:rsidRPr="007462C1">
        <w:rPr>
          <w:szCs w:val="28"/>
        </w:rPr>
        <w:t xml:space="preserve"> </w:t>
      </w:r>
      <w:r w:rsidRPr="00EB68FC">
        <w:rPr>
          <w:szCs w:val="28"/>
        </w:rPr>
        <w:t>не</w:t>
      </w:r>
      <w:r w:rsidRPr="007462C1">
        <w:rPr>
          <w:szCs w:val="28"/>
        </w:rPr>
        <w:t xml:space="preserve"> </w:t>
      </w:r>
      <w:r w:rsidRPr="00EB68FC">
        <w:rPr>
          <w:szCs w:val="28"/>
        </w:rPr>
        <w:t>було</w:t>
      </w:r>
      <w:r w:rsidRPr="007462C1">
        <w:rPr>
          <w:szCs w:val="28"/>
        </w:rPr>
        <w:t xml:space="preserve"> </w:t>
      </w:r>
      <w:r w:rsidRPr="00EB68FC">
        <w:rPr>
          <w:szCs w:val="28"/>
        </w:rPr>
        <w:t>знайдено зв</w:t>
      </w:r>
      <w:r w:rsidRPr="007462C1">
        <w:rPr>
          <w:szCs w:val="28"/>
        </w:rPr>
        <w:t>'</w:t>
      </w:r>
      <w:r w:rsidRPr="00EB68FC">
        <w:rPr>
          <w:szCs w:val="28"/>
        </w:rPr>
        <w:t>язку</w:t>
      </w:r>
      <w:r w:rsidRPr="007462C1">
        <w:rPr>
          <w:szCs w:val="28"/>
        </w:rPr>
        <w:t xml:space="preserve"> </w:t>
      </w:r>
      <w:r w:rsidRPr="00EB68FC">
        <w:rPr>
          <w:szCs w:val="28"/>
        </w:rPr>
        <w:t>між</w:t>
      </w:r>
      <w:r w:rsidRPr="007462C1">
        <w:rPr>
          <w:szCs w:val="28"/>
        </w:rPr>
        <w:t xml:space="preserve"> </w:t>
      </w:r>
      <w:r w:rsidRPr="00EB68FC">
        <w:rPr>
          <w:szCs w:val="28"/>
        </w:rPr>
        <w:t>рівнем</w:t>
      </w:r>
      <w:r w:rsidRPr="007462C1">
        <w:rPr>
          <w:szCs w:val="28"/>
        </w:rPr>
        <w:t xml:space="preserve"> </w:t>
      </w:r>
      <w:r w:rsidRPr="00EB68FC">
        <w:rPr>
          <w:szCs w:val="28"/>
        </w:rPr>
        <w:t>галектину</w:t>
      </w:r>
      <w:r w:rsidRPr="007462C1">
        <w:rPr>
          <w:szCs w:val="28"/>
        </w:rPr>
        <w:t xml:space="preserve">-3 </w:t>
      </w:r>
      <w:r w:rsidRPr="00EB68FC">
        <w:rPr>
          <w:szCs w:val="28"/>
        </w:rPr>
        <w:t>та</w:t>
      </w:r>
      <w:r w:rsidRPr="007462C1">
        <w:rPr>
          <w:szCs w:val="28"/>
        </w:rPr>
        <w:t xml:space="preserve"> </w:t>
      </w:r>
      <w:r w:rsidRPr="00EB68FC">
        <w:rPr>
          <w:szCs w:val="28"/>
        </w:rPr>
        <w:t>гострим</w:t>
      </w:r>
      <w:r w:rsidRPr="007462C1">
        <w:rPr>
          <w:szCs w:val="28"/>
        </w:rPr>
        <w:t xml:space="preserve"> </w:t>
      </w:r>
      <w:r w:rsidRPr="00EB68FC">
        <w:rPr>
          <w:szCs w:val="28"/>
        </w:rPr>
        <w:t>ішемічним</w:t>
      </w:r>
      <w:r w:rsidRPr="007462C1">
        <w:rPr>
          <w:szCs w:val="28"/>
        </w:rPr>
        <w:t xml:space="preserve"> </w:t>
      </w:r>
      <w:r w:rsidRPr="00EB68FC">
        <w:rPr>
          <w:szCs w:val="28"/>
        </w:rPr>
        <w:t>ураженням</w:t>
      </w:r>
      <w:r w:rsidRPr="007462C1">
        <w:rPr>
          <w:szCs w:val="28"/>
        </w:rPr>
        <w:t xml:space="preserve"> </w:t>
      </w:r>
      <w:r w:rsidRPr="00EB68FC">
        <w:rPr>
          <w:szCs w:val="28"/>
        </w:rPr>
        <w:t>міокарда</w:t>
      </w:r>
      <w:r w:rsidRPr="007462C1">
        <w:rPr>
          <w:szCs w:val="28"/>
        </w:rPr>
        <w:t xml:space="preserve"> [87]. </w:t>
      </w:r>
      <w:r w:rsidRPr="00EB68FC">
        <w:rPr>
          <w:szCs w:val="28"/>
        </w:rPr>
        <w:t>Також у хворих з</w:t>
      </w:r>
      <w:r w:rsidRPr="007462C1">
        <w:rPr>
          <w:szCs w:val="28"/>
        </w:rPr>
        <w:t xml:space="preserve"> </w:t>
      </w:r>
      <w:r w:rsidRPr="00EB68FC">
        <w:rPr>
          <w:szCs w:val="28"/>
        </w:rPr>
        <w:t>ГІМ</w:t>
      </w:r>
      <w:r w:rsidRPr="007462C1">
        <w:rPr>
          <w:szCs w:val="28"/>
        </w:rPr>
        <w:t xml:space="preserve"> </w:t>
      </w:r>
      <w:r w:rsidRPr="00EB68FC">
        <w:rPr>
          <w:szCs w:val="28"/>
        </w:rPr>
        <w:t>галектин</w:t>
      </w:r>
      <w:r w:rsidRPr="007462C1">
        <w:rPr>
          <w:szCs w:val="28"/>
        </w:rPr>
        <w:t xml:space="preserve">-3 </w:t>
      </w:r>
      <w:r w:rsidRPr="00EB68FC">
        <w:rPr>
          <w:szCs w:val="28"/>
        </w:rPr>
        <w:t>було виявлено зв</w:t>
      </w:r>
      <w:r w:rsidRPr="007462C1">
        <w:rPr>
          <w:szCs w:val="28"/>
        </w:rPr>
        <w:t>’</w:t>
      </w:r>
      <w:r w:rsidRPr="00EB68FC">
        <w:rPr>
          <w:szCs w:val="28"/>
        </w:rPr>
        <w:t>язок з</w:t>
      </w:r>
      <w:r w:rsidRPr="007462C1">
        <w:rPr>
          <w:szCs w:val="28"/>
        </w:rPr>
        <w:t xml:space="preserve"> </w:t>
      </w:r>
      <w:r w:rsidRPr="00EB68FC">
        <w:rPr>
          <w:szCs w:val="28"/>
        </w:rPr>
        <w:t>певними</w:t>
      </w:r>
      <w:r w:rsidRPr="007462C1">
        <w:rPr>
          <w:szCs w:val="28"/>
        </w:rPr>
        <w:t xml:space="preserve"> </w:t>
      </w:r>
      <w:r w:rsidRPr="00EB68FC">
        <w:rPr>
          <w:szCs w:val="28"/>
        </w:rPr>
        <w:t>біомаркерами</w:t>
      </w:r>
      <w:r w:rsidRPr="007462C1">
        <w:rPr>
          <w:szCs w:val="28"/>
        </w:rPr>
        <w:t xml:space="preserve">, </w:t>
      </w:r>
      <w:r w:rsidRPr="00EB68FC">
        <w:rPr>
          <w:szCs w:val="28"/>
        </w:rPr>
        <w:t>такими як</w:t>
      </w:r>
      <w:r w:rsidRPr="007462C1">
        <w:rPr>
          <w:szCs w:val="28"/>
        </w:rPr>
        <w:t xml:space="preserve"> </w:t>
      </w:r>
      <w:r w:rsidRPr="00EB68FC">
        <w:rPr>
          <w:szCs w:val="28"/>
        </w:rPr>
        <w:t>матриксна</w:t>
      </w:r>
      <w:r w:rsidRPr="007462C1">
        <w:rPr>
          <w:szCs w:val="28"/>
        </w:rPr>
        <w:t xml:space="preserve"> </w:t>
      </w:r>
      <w:r w:rsidRPr="00EB68FC">
        <w:rPr>
          <w:szCs w:val="28"/>
        </w:rPr>
        <w:t>металлопротеїназа-</w:t>
      </w:r>
      <w:r w:rsidRPr="007462C1">
        <w:rPr>
          <w:szCs w:val="28"/>
        </w:rPr>
        <w:t xml:space="preserve">3, </w:t>
      </w:r>
      <w:r w:rsidRPr="00EB68FC">
        <w:rPr>
          <w:szCs w:val="28"/>
        </w:rPr>
        <w:t>моноцитарний</w:t>
      </w:r>
      <w:r w:rsidRPr="007462C1">
        <w:rPr>
          <w:szCs w:val="28"/>
        </w:rPr>
        <w:t xml:space="preserve"> </w:t>
      </w:r>
      <w:r w:rsidRPr="00EB68FC">
        <w:rPr>
          <w:szCs w:val="28"/>
        </w:rPr>
        <w:t>хемоатрактивний</w:t>
      </w:r>
      <w:r w:rsidRPr="007462C1">
        <w:rPr>
          <w:szCs w:val="28"/>
        </w:rPr>
        <w:t xml:space="preserve"> </w:t>
      </w:r>
      <w:r w:rsidRPr="00EB68FC">
        <w:rPr>
          <w:szCs w:val="28"/>
        </w:rPr>
        <w:t>протеїн</w:t>
      </w:r>
      <w:r w:rsidRPr="007462C1">
        <w:rPr>
          <w:szCs w:val="28"/>
        </w:rPr>
        <w:t xml:space="preserve">-1 </w:t>
      </w:r>
      <w:r w:rsidRPr="00EB68FC">
        <w:rPr>
          <w:szCs w:val="28"/>
        </w:rPr>
        <w:t>та</w:t>
      </w:r>
      <w:r w:rsidRPr="007462C1">
        <w:rPr>
          <w:szCs w:val="28"/>
        </w:rPr>
        <w:t xml:space="preserve"> </w:t>
      </w:r>
      <w:r w:rsidRPr="00EB68FC">
        <w:rPr>
          <w:szCs w:val="28"/>
        </w:rPr>
        <w:t>інтерлейкін</w:t>
      </w:r>
      <w:r w:rsidRPr="007462C1">
        <w:rPr>
          <w:szCs w:val="28"/>
        </w:rPr>
        <w:t xml:space="preserve"> (</w:t>
      </w:r>
      <w:r w:rsidRPr="00EB68FC">
        <w:rPr>
          <w:szCs w:val="28"/>
        </w:rPr>
        <w:t>ІЛ</w:t>
      </w:r>
      <w:r w:rsidRPr="007462C1">
        <w:rPr>
          <w:szCs w:val="28"/>
        </w:rPr>
        <w:t xml:space="preserve">)-8, </w:t>
      </w:r>
      <w:r w:rsidRPr="00EB68FC">
        <w:rPr>
          <w:szCs w:val="28"/>
        </w:rPr>
        <w:t>що</w:t>
      </w:r>
      <w:r w:rsidRPr="007462C1">
        <w:rPr>
          <w:szCs w:val="28"/>
        </w:rPr>
        <w:t xml:space="preserve"> </w:t>
      </w:r>
      <w:r w:rsidRPr="00EB68FC">
        <w:rPr>
          <w:szCs w:val="28"/>
        </w:rPr>
        <w:t>залучені</w:t>
      </w:r>
      <w:r w:rsidRPr="007462C1">
        <w:rPr>
          <w:szCs w:val="28"/>
        </w:rPr>
        <w:t xml:space="preserve"> </w:t>
      </w:r>
      <w:r w:rsidRPr="00EB68FC">
        <w:rPr>
          <w:szCs w:val="28"/>
        </w:rPr>
        <w:t>до</w:t>
      </w:r>
      <w:r w:rsidRPr="007462C1">
        <w:rPr>
          <w:szCs w:val="28"/>
        </w:rPr>
        <w:t xml:space="preserve"> </w:t>
      </w:r>
      <w:r w:rsidRPr="00EB68FC">
        <w:rPr>
          <w:szCs w:val="28"/>
        </w:rPr>
        <w:t>обміну</w:t>
      </w:r>
      <w:r w:rsidRPr="007462C1">
        <w:rPr>
          <w:szCs w:val="28"/>
        </w:rPr>
        <w:t xml:space="preserve"> </w:t>
      </w:r>
      <w:r w:rsidRPr="00EB68FC">
        <w:rPr>
          <w:szCs w:val="28"/>
        </w:rPr>
        <w:t>позаклітинного</w:t>
      </w:r>
      <w:r w:rsidRPr="007462C1">
        <w:rPr>
          <w:szCs w:val="28"/>
        </w:rPr>
        <w:t xml:space="preserve"> </w:t>
      </w:r>
      <w:r w:rsidRPr="00EB68FC">
        <w:rPr>
          <w:szCs w:val="28"/>
        </w:rPr>
        <w:t>матриксу</w:t>
      </w:r>
      <w:r w:rsidRPr="007462C1">
        <w:rPr>
          <w:szCs w:val="28"/>
        </w:rPr>
        <w:t xml:space="preserve">, </w:t>
      </w:r>
      <w:r w:rsidRPr="00EB68FC">
        <w:rPr>
          <w:szCs w:val="28"/>
        </w:rPr>
        <w:t>але</w:t>
      </w:r>
      <w:r w:rsidRPr="007462C1">
        <w:rPr>
          <w:szCs w:val="28"/>
        </w:rPr>
        <w:t xml:space="preserve"> </w:t>
      </w:r>
      <w:r w:rsidRPr="00EB68FC">
        <w:rPr>
          <w:szCs w:val="28"/>
        </w:rPr>
        <w:t>з</w:t>
      </w:r>
      <w:r w:rsidRPr="007462C1">
        <w:rPr>
          <w:szCs w:val="28"/>
        </w:rPr>
        <w:t xml:space="preserve"> </w:t>
      </w:r>
      <w:r w:rsidRPr="00EB68FC">
        <w:rPr>
          <w:szCs w:val="28"/>
        </w:rPr>
        <w:t>ремоделюванням</w:t>
      </w:r>
      <w:r w:rsidRPr="007462C1">
        <w:rPr>
          <w:szCs w:val="28"/>
        </w:rPr>
        <w:t xml:space="preserve"> </w:t>
      </w:r>
      <w:r w:rsidRPr="00EB68FC">
        <w:rPr>
          <w:szCs w:val="28"/>
        </w:rPr>
        <w:t>ЛШ такого зв</w:t>
      </w:r>
      <w:r w:rsidRPr="007462C1">
        <w:rPr>
          <w:szCs w:val="28"/>
        </w:rPr>
        <w:t>’</w:t>
      </w:r>
      <w:r w:rsidRPr="00EB68FC">
        <w:rPr>
          <w:szCs w:val="28"/>
        </w:rPr>
        <w:t>язку виявлено не було</w:t>
      </w:r>
      <w:r w:rsidRPr="007462C1">
        <w:rPr>
          <w:szCs w:val="28"/>
        </w:rPr>
        <w:t xml:space="preserve"> [88]. </w:t>
      </w:r>
      <w:r w:rsidRPr="00EB68FC">
        <w:rPr>
          <w:szCs w:val="28"/>
        </w:rPr>
        <w:t>Крім</w:t>
      </w:r>
      <w:r w:rsidRPr="007462C1">
        <w:rPr>
          <w:szCs w:val="28"/>
        </w:rPr>
        <w:t xml:space="preserve"> </w:t>
      </w:r>
      <w:r w:rsidRPr="00EB68FC">
        <w:rPr>
          <w:szCs w:val="28"/>
        </w:rPr>
        <w:t>того</w:t>
      </w:r>
      <w:r w:rsidRPr="007462C1">
        <w:rPr>
          <w:szCs w:val="28"/>
        </w:rPr>
        <w:t xml:space="preserve">, </w:t>
      </w:r>
      <w:r w:rsidRPr="00EB68FC">
        <w:rPr>
          <w:szCs w:val="28"/>
        </w:rPr>
        <w:t>галектин</w:t>
      </w:r>
      <w:r w:rsidRPr="007462C1">
        <w:rPr>
          <w:szCs w:val="28"/>
        </w:rPr>
        <w:t xml:space="preserve">-3 </w:t>
      </w:r>
      <w:r w:rsidRPr="00EB68FC">
        <w:rPr>
          <w:szCs w:val="28"/>
        </w:rPr>
        <w:t>був</w:t>
      </w:r>
      <w:r w:rsidRPr="007462C1">
        <w:rPr>
          <w:szCs w:val="28"/>
        </w:rPr>
        <w:t xml:space="preserve"> </w:t>
      </w:r>
      <w:r w:rsidRPr="00EB68FC">
        <w:rPr>
          <w:szCs w:val="28"/>
        </w:rPr>
        <w:t>позитивно</w:t>
      </w:r>
      <w:r w:rsidRPr="007462C1">
        <w:rPr>
          <w:szCs w:val="28"/>
        </w:rPr>
        <w:t xml:space="preserve"> </w:t>
      </w:r>
      <w:r w:rsidRPr="00EB68FC">
        <w:rPr>
          <w:szCs w:val="28"/>
        </w:rPr>
        <w:t>пов</w:t>
      </w:r>
      <w:r w:rsidRPr="007462C1">
        <w:rPr>
          <w:szCs w:val="28"/>
        </w:rPr>
        <w:t>'</w:t>
      </w:r>
      <w:r w:rsidRPr="00EB68FC">
        <w:rPr>
          <w:szCs w:val="28"/>
        </w:rPr>
        <w:t>язаний</w:t>
      </w:r>
      <w:r w:rsidRPr="007462C1">
        <w:rPr>
          <w:szCs w:val="28"/>
        </w:rPr>
        <w:t xml:space="preserve"> </w:t>
      </w:r>
      <w:r w:rsidRPr="00EB68FC">
        <w:rPr>
          <w:szCs w:val="28"/>
        </w:rPr>
        <w:t>з</w:t>
      </w:r>
      <w:r w:rsidRPr="007462C1">
        <w:rPr>
          <w:szCs w:val="28"/>
        </w:rPr>
        <w:t xml:space="preserve"> </w:t>
      </w:r>
      <w:r w:rsidRPr="00EB68FC">
        <w:rPr>
          <w:szCs w:val="28"/>
        </w:rPr>
        <w:t>розміром</w:t>
      </w:r>
      <w:r w:rsidRPr="007462C1">
        <w:rPr>
          <w:szCs w:val="28"/>
        </w:rPr>
        <w:t xml:space="preserve"> </w:t>
      </w:r>
      <w:r w:rsidRPr="00EB68FC">
        <w:rPr>
          <w:szCs w:val="28"/>
        </w:rPr>
        <w:t>ІМ</w:t>
      </w:r>
      <w:r w:rsidRPr="007462C1">
        <w:rPr>
          <w:szCs w:val="28"/>
        </w:rPr>
        <w:t xml:space="preserve"> </w:t>
      </w:r>
      <w:r w:rsidRPr="00EB68FC">
        <w:rPr>
          <w:szCs w:val="28"/>
        </w:rPr>
        <w:t>та</w:t>
      </w:r>
      <w:r w:rsidRPr="007462C1">
        <w:rPr>
          <w:szCs w:val="28"/>
        </w:rPr>
        <w:t xml:space="preserve"> </w:t>
      </w:r>
      <w:r w:rsidRPr="00EB68FC">
        <w:rPr>
          <w:szCs w:val="28"/>
        </w:rPr>
        <w:t>ремоделюванням</w:t>
      </w:r>
      <w:r w:rsidRPr="007462C1">
        <w:rPr>
          <w:szCs w:val="28"/>
        </w:rPr>
        <w:t xml:space="preserve"> </w:t>
      </w:r>
      <w:r w:rsidRPr="00EB68FC">
        <w:rPr>
          <w:szCs w:val="28"/>
        </w:rPr>
        <w:t>ЛШ</w:t>
      </w:r>
      <w:r w:rsidRPr="007462C1">
        <w:rPr>
          <w:szCs w:val="28"/>
        </w:rPr>
        <w:t xml:space="preserve"> </w:t>
      </w:r>
      <w:r w:rsidRPr="00EB68FC">
        <w:rPr>
          <w:szCs w:val="28"/>
        </w:rPr>
        <w:t>у</w:t>
      </w:r>
      <w:r w:rsidRPr="007462C1">
        <w:rPr>
          <w:szCs w:val="28"/>
        </w:rPr>
        <w:t xml:space="preserve"> </w:t>
      </w:r>
      <w:r w:rsidRPr="00EB68FC">
        <w:rPr>
          <w:szCs w:val="28"/>
        </w:rPr>
        <w:t>пацієнтів</w:t>
      </w:r>
      <w:r w:rsidRPr="007462C1">
        <w:rPr>
          <w:szCs w:val="28"/>
        </w:rPr>
        <w:t xml:space="preserve"> </w:t>
      </w:r>
      <w:r w:rsidRPr="00EB68FC">
        <w:rPr>
          <w:szCs w:val="28"/>
        </w:rPr>
        <w:t>з</w:t>
      </w:r>
      <w:r w:rsidRPr="007462C1">
        <w:rPr>
          <w:szCs w:val="28"/>
        </w:rPr>
        <w:t xml:space="preserve"> </w:t>
      </w:r>
      <w:r w:rsidRPr="00EB68FC">
        <w:rPr>
          <w:szCs w:val="28"/>
        </w:rPr>
        <w:t>анамнезом</w:t>
      </w:r>
      <w:r w:rsidRPr="007462C1">
        <w:rPr>
          <w:szCs w:val="28"/>
        </w:rPr>
        <w:t xml:space="preserve"> </w:t>
      </w:r>
      <w:r w:rsidRPr="00EB68FC">
        <w:rPr>
          <w:szCs w:val="28"/>
        </w:rPr>
        <w:t>ускладненого</w:t>
      </w:r>
      <w:r w:rsidRPr="007462C1">
        <w:rPr>
          <w:szCs w:val="28"/>
        </w:rPr>
        <w:t xml:space="preserve"> </w:t>
      </w:r>
      <w:r w:rsidRPr="00EB68FC">
        <w:rPr>
          <w:szCs w:val="28"/>
        </w:rPr>
        <w:t>ІМ</w:t>
      </w:r>
      <w:r w:rsidRPr="007462C1">
        <w:rPr>
          <w:szCs w:val="28"/>
        </w:rPr>
        <w:t xml:space="preserve"> [87].</w:t>
      </w:r>
    </w:p>
    <w:p w:rsidR="00F407BB" w:rsidRPr="007462C1" w:rsidRDefault="00F407BB" w:rsidP="00F407BB">
      <w:pPr>
        <w:spacing w:after="0" w:line="360" w:lineRule="auto"/>
        <w:ind w:firstLine="851"/>
        <w:jc w:val="both"/>
        <w:rPr>
          <w:szCs w:val="28"/>
        </w:rPr>
      </w:pPr>
      <w:r w:rsidRPr="00EB68FC">
        <w:rPr>
          <w:szCs w:val="28"/>
        </w:rPr>
        <w:t xml:space="preserve">Короткострокова прогностична цінність галектину-3 вивчалася в дослідженні </w:t>
      </w:r>
      <w:r w:rsidRPr="00EB68FC">
        <w:rPr>
          <w:szCs w:val="28"/>
          <w:lang w:val="en-US"/>
        </w:rPr>
        <w:t>PRIDE</w:t>
      </w:r>
      <w:r w:rsidRPr="00EB68FC">
        <w:rPr>
          <w:szCs w:val="28"/>
        </w:rPr>
        <w:t xml:space="preserve"> за участю 209 пацієнтів з гострою задишкою, що надійшли до відділення </w:t>
      </w:r>
      <w:r w:rsidRPr="00EB68FC">
        <w:rPr>
          <w:szCs w:val="28"/>
        </w:rPr>
        <w:lastRenderedPageBreak/>
        <w:t>інтенсивної терапії. Протягом 60-денного періоду спостереження за хворими, що мали високі рівні галектину-3 при надходженні до клініки, рецидив гострої СН відзначався у 29% хворих, а 8% померли. Грунтуючись на цих даних, дослідниками був визначений прогностичний показник 60-денний см</w:t>
      </w:r>
      <w:r w:rsidR="00E0327D">
        <w:rPr>
          <w:szCs w:val="28"/>
        </w:rPr>
        <w:t>ертності для Г3, рівний 9,42</w:t>
      </w:r>
      <w:r w:rsidR="00E0327D">
        <w:rPr>
          <w:szCs w:val="28"/>
          <w:lang w:val="en-US"/>
        </w:rPr>
        <w:t> </w:t>
      </w:r>
      <w:r w:rsidR="00E0327D">
        <w:rPr>
          <w:szCs w:val="28"/>
        </w:rPr>
        <w:t>нг/</w:t>
      </w:r>
      <w:r w:rsidRPr="00EB68FC">
        <w:rPr>
          <w:szCs w:val="28"/>
        </w:rPr>
        <w:t xml:space="preserve">мл. Загальна частота смертності і рецидивів гострої СН була найбільш високою у пацієнтів з комбінацією високих рівнів як </w:t>
      </w:r>
      <w:r w:rsidR="00E0327D">
        <w:rPr>
          <w:szCs w:val="28"/>
        </w:rPr>
        <w:t>галектину-</w:t>
      </w:r>
      <w:r w:rsidRPr="00EB68FC">
        <w:rPr>
          <w:szCs w:val="28"/>
        </w:rPr>
        <w:t xml:space="preserve">3, так і </w:t>
      </w:r>
      <w:r w:rsidRPr="00EB68FC">
        <w:rPr>
          <w:szCs w:val="28"/>
          <w:lang w:val="en-US"/>
        </w:rPr>
        <w:t>NT</w:t>
      </w:r>
      <w:r w:rsidRPr="00EB68FC">
        <w:rPr>
          <w:szCs w:val="28"/>
        </w:rPr>
        <w:t>-</w:t>
      </w:r>
      <w:r w:rsidRPr="00EB68FC">
        <w:rPr>
          <w:szCs w:val="28"/>
          <w:lang w:val="en-US"/>
        </w:rPr>
        <w:t>proBNP</w:t>
      </w:r>
      <w:r w:rsidRPr="00EB68FC">
        <w:rPr>
          <w:szCs w:val="28"/>
        </w:rPr>
        <w:t xml:space="preserve">. Таким чином, хоча діагностична цінність </w:t>
      </w:r>
      <w:r w:rsidRPr="00EB68FC">
        <w:rPr>
          <w:szCs w:val="28"/>
          <w:lang w:val="en-US"/>
        </w:rPr>
        <w:t>NT</w:t>
      </w:r>
      <w:r w:rsidRPr="00EB68FC">
        <w:rPr>
          <w:szCs w:val="28"/>
        </w:rPr>
        <w:t>-</w:t>
      </w:r>
      <w:r w:rsidRPr="00EB68FC">
        <w:rPr>
          <w:szCs w:val="28"/>
          <w:lang w:val="en-US"/>
        </w:rPr>
        <w:t>proBNP</w:t>
      </w:r>
      <w:r w:rsidRPr="00EB68FC">
        <w:rPr>
          <w:szCs w:val="28"/>
        </w:rPr>
        <w:t xml:space="preserve"> для СН перевищувала таку у галектину-3, останній був більш потужним предиктором короткострокової смертності [</w:t>
      </w:r>
      <w:r w:rsidRPr="007462C1">
        <w:rPr>
          <w:szCs w:val="28"/>
        </w:rPr>
        <w:t>89].</w:t>
      </w:r>
    </w:p>
    <w:p w:rsidR="00F407BB" w:rsidRPr="00EB68FC" w:rsidRDefault="00F407BB" w:rsidP="00F407BB">
      <w:pPr>
        <w:spacing w:after="0" w:line="360" w:lineRule="auto"/>
        <w:ind w:firstLine="851"/>
        <w:jc w:val="both"/>
        <w:rPr>
          <w:szCs w:val="28"/>
        </w:rPr>
      </w:pPr>
      <w:r w:rsidRPr="00EB68FC">
        <w:rPr>
          <w:szCs w:val="28"/>
        </w:rPr>
        <w:t>Беручи</w:t>
      </w:r>
      <w:r w:rsidRPr="007462C1">
        <w:rPr>
          <w:szCs w:val="28"/>
        </w:rPr>
        <w:t xml:space="preserve"> </w:t>
      </w:r>
      <w:r w:rsidRPr="00EB68FC">
        <w:rPr>
          <w:szCs w:val="28"/>
        </w:rPr>
        <w:t>до</w:t>
      </w:r>
      <w:r w:rsidRPr="007462C1">
        <w:rPr>
          <w:szCs w:val="28"/>
        </w:rPr>
        <w:t xml:space="preserve"> </w:t>
      </w:r>
      <w:r w:rsidRPr="00EB68FC">
        <w:rPr>
          <w:szCs w:val="28"/>
        </w:rPr>
        <w:t>уваги</w:t>
      </w:r>
      <w:r w:rsidRPr="007462C1">
        <w:rPr>
          <w:szCs w:val="28"/>
        </w:rPr>
        <w:t xml:space="preserve"> </w:t>
      </w:r>
      <w:r w:rsidRPr="00EB68FC">
        <w:rPr>
          <w:szCs w:val="28"/>
        </w:rPr>
        <w:t>результати</w:t>
      </w:r>
      <w:r w:rsidRPr="007462C1">
        <w:rPr>
          <w:szCs w:val="28"/>
        </w:rPr>
        <w:t xml:space="preserve"> </w:t>
      </w:r>
      <w:r w:rsidRPr="00EB68FC">
        <w:rPr>
          <w:szCs w:val="28"/>
        </w:rPr>
        <w:t>нещодавнього</w:t>
      </w:r>
      <w:r w:rsidRPr="007462C1">
        <w:rPr>
          <w:szCs w:val="28"/>
        </w:rPr>
        <w:t xml:space="preserve"> </w:t>
      </w:r>
      <w:r w:rsidRPr="00EB68FC">
        <w:rPr>
          <w:szCs w:val="28"/>
        </w:rPr>
        <w:t>дослідження</w:t>
      </w:r>
      <w:r w:rsidRPr="007462C1">
        <w:rPr>
          <w:szCs w:val="28"/>
        </w:rPr>
        <w:t xml:space="preserve"> </w:t>
      </w:r>
      <w:r w:rsidRPr="00EB68FC">
        <w:rPr>
          <w:szCs w:val="28"/>
          <w:lang w:val="en-US"/>
        </w:rPr>
        <w:t>Erkilet</w:t>
      </w:r>
      <w:r w:rsidRPr="007462C1">
        <w:rPr>
          <w:szCs w:val="28"/>
        </w:rPr>
        <w:t xml:space="preserve"> </w:t>
      </w:r>
      <w:r w:rsidRPr="00EB68FC">
        <w:rPr>
          <w:szCs w:val="28"/>
        </w:rPr>
        <w:t>з</w:t>
      </w:r>
      <w:r w:rsidRPr="007462C1">
        <w:rPr>
          <w:szCs w:val="28"/>
        </w:rPr>
        <w:t xml:space="preserve"> </w:t>
      </w:r>
      <w:r w:rsidRPr="00EB68FC">
        <w:rPr>
          <w:szCs w:val="28"/>
        </w:rPr>
        <w:t>співавт</w:t>
      </w:r>
      <w:r w:rsidRPr="007462C1">
        <w:rPr>
          <w:szCs w:val="28"/>
        </w:rPr>
        <w:t xml:space="preserve">. [90], </w:t>
      </w:r>
      <w:r w:rsidRPr="00EB68FC">
        <w:rPr>
          <w:szCs w:val="28"/>
        </w:rPr>
        <w:t>а</w:t>
      </w:r>
      <w:r w:rsidRPr="007462C1">
        <w:rPr>
          <w:szCs w:val="28"/>
        </w:rPr>
        <w:t xml:space="preserve"> </w:t>
      </w:r>
      <w:r w:rsidRPr="00EB68FC">
        <w:rPr>
          <w:szCs w:val="28"/>
        </w:rPr>
        <w:t>також</w:t>
      </w:r>
      <w:r w:rsidRPr="007462C1">
        <w:rPr>
          <w:szCs w:val="28"/>
        </w:rPr>
        <w:t xml:space="preserve"> </w:t>
      </w:r>
      <w:r w:rsidRPr="00EB68FC">
        <w:rPr>
          <w:szCs w:val="28"/>
        </w:rPr>
        <w:t>результати</w:t>
      </w:r>
      <w:r w:rsidRPr="007462C1">
        <w:rPr>
          <w:szCs w:val="28"/>
        </w:rPr>
        <w:t xml:space="preserve"> </w:t>
      </w:r>
      <w:r w:rsidRPr="00EB68FC">
        <w:rPr>
          <w:szCs w:val="28"/>
        </w:rPr>
        <w:t>дослідження</w:t>
      </w:r>
      <w:r w:rsidRPr="007462C1">
        <w:rPr>
          <w:szCs w:val="28"/>
        </w:rPr>
        <w:t xml:space="preserve"> </w:t>
      </w:r>
      <w:r w:rsidRPr="00EB68FC">
        <w:rPr>
          <w:szCs w:val="28"/>
          <w:lang w:val="en-US"/>
        </w:rPr>
        <w:t>COACH</w:t>
      </w:r>
      <w:r w:rsidRPr="007462C1">
        <w:rPr>
          <w:szCs w:val="28"/>
        </w:rPr>
        <w:t xml:space="preserve"> [91</w:t>
      </w:r>
      <w:r w:rsidRPr="00EB68FC">
        <w:rPr>
          <w:szCs w:val="28"/>
        </w:rPr>
        <w:t xml:space="preserve">], можна підтвердити той факт, що галектин-3 є не тільки кардіоспецифічним біомаркером. Виходячи з того, що прогностична потужність цього біомаркера може бути обумовлена нирковою дисфункцією, будь-які висновки, що грунтуються на плазмових рівнях галектина-3, повинні завжди розглядатися в контексті коморбідних станів. </w:t>
      </w:r>
    </w:p>
    <w:p w:rsidR="00F407BB" w:rsidRPr="00EB68FC" w:rsidRDefault="00F407BB" w:rsidP="00F407BB">
      <w:pPr>
        <w:spacing w:after="0" w:line="360" w:lineRule="auto"/>
        <w:ind w:firstLine="851"/>
        <w:jc w:val="both"/>
        <w:rPr>
          <w:szCs w:val="28"/>
        </w:rPr>
      </w:pPr>
      <w:r w:rsidRPr="00EB68FC">
        <w:rPr>
          <w:szCs w:val="28"/>
        </w:rPr>
        <w:t>Дослідження Kiwaki К. et al.[</w:t>
      </w:r>
      <w:r w:rsidRPr="007462C1">
        <w:rPr>
          <w:szCs w:val="28"/>
        </w:rPr>
        <w:t>102]</w:t>
      </w:r>
      <w:r w:rsidRPr="00EB68FC">
        <w:rPr>
          <w:szCs w:val="28"/>
        </w:rPr>
        <w:t xml:space="preserve"> продемонструвало, що галектин-3 експресується переважно в преадипоцитарній фракції в жировій тканині людини. Крім того, екзогенний галектин-3 стимулює синтез ДНК у дозозалежній формі за допомогою лектин-вуглеводної взаємодії, оскільки він може бути суттєво інгібований лактозою, дисахаридом, який є конкурентоспроможним для зв'язування вуглеводів галектином-3. Взяті разом дані дозволяють припустити, що ендогенний галектин-3 може відігравати важливу роль при ожирінні </w:t>
      </w:r>
    </w:p>
    <w:p w:rsidR="00F407BB" w:rsidRPr="00EB68FC" w:rsidRDefault="00F407BB" w:rsidP="00F407BB">
      <w:pPr>
        <w:spacing w:after="0" w:line="360" w:lineRule="auto"/>
        <w:ind w:firstLine="851"/>
        <w:jc w:val="both"/>
        <w:rPr>
          <w:szCs w:val="28"/>
        </w:rPr>
      </w:pPr>
      <w:r w:rsidRPr="00EB68FC">
        <w:rPr>
          <w:szCs w:val="28"/>
        </w:rPr>
        <w:t xml:space="preserve">Вітронектин, також відомий як сироватковий розповсюджувальний фактор, S-білок та епіболін - це багатофункціональний глікопротеїн, присутній у крові у вигляді компонента альфа-гранул тромбоцитів, сечі, амніотичній рідині та екстрацелюлярному матриксі тканин. Він відіграє роль у регулюванні комплементу і системи коагуляції, зв'язується з гепарином і нейтралізує інактивацію тромбіну </w:t>
      </w:r>
      <w:r w:rsidRPr="00EB68FC">
        <w:rPr>
          <w:szCs w:val="28"/>
        </w:rPr>
        <w:lastRenderedPageBreak/>
        <w:t>антитромбіном III [</w:t>
      </w:r>
      <w:r w:rsidRPr="007462C1">
        <w:rPr>
          <w:szCs w:val="28"/>
        </w:rPr>
        <w:t>104</w:t>
      </w:r>
      <w:r w:rsidRPr="00EB68FC">
        <w:rPr>
          <w:szCs w:val="28"/>
        </w:rPr>
        <w:t>]. Також відомо, що вітронектин відіграє ключову роль у регуляції клітинної диференціації, проліферації, міграції та морфогенезу [</w:t>
      </w:r>
      <w:r w:rsidRPr="007462C1">
        <w:rPr>
          <w:szCs w:val="28"/>
        </w:rPr>
        <w:t>105</w:t>
      </w:r>
      <w:r w:rsidRPr="00EB68FC">
        <w:rPr>
          <w:szCs w:val="28"/>
        </w:rPr>
        <w:t>]</w:t>
      </w:r>
      <w:r w:rsidRPr="007462C1">
        <w:rPr>
          <w:szCs w:val="28"/>
        </w:rPr>
        <w:t>.</w:t>
      </w:r>
    </w:p>
    <w:p w:rsidR="00F407BB" w:rsidRDefault="00F407BB" w:rsidP="00F407BB">
      <w:pPr>
        <w:spacing w:after="0" w:line="360" w:lineRule="auto"/>
        <w:ind w:firstLine="851"/>
        <w:jc w:val="both"/>
        <w:rPr>
          <w:szCs w:val="28"/>
        </w:rPr>
      </w:pPr>
      <w:r w:rsidRPr="00EB68FC">
        <w:rPr>
          <w:szCs w:val="28"/>
        </w:rPr>
        <w:t>Структурні особливості вітронектину визначають його участь у багатьох процесах, що мають місце при нормальному і патологічному станах системи гемостазу. Циркулюючий в крові вітронектин представлений, в основному, мономерной формою, однак під дією активаторів він переходить в більш активну мультимерну форму, яка пов'язує гепарин, і утворює стабільний комплекс з інгібітором активатора плазміногену (</w:t>
      </w:r>
      <w:r w:rsidRPr="00EB68FC">
        <w:rPr>
          <w:szCs w:val="28"/>
          <w:lang w:val="en-US"/>
        </w:rPr>
        <w:t>PAI</w:t>
      </w:r>
      <w:r w:rsidRPr="00EB68FC">
        <w:rPr>
          <w:szCs w:val="28"/>
        </w:rPr>
        <w:t>-1). У мультимерній формі вітронектин виявляють в складі атеросклеротичних бляшок і в ділянках судинного пошкодження або запалення. До теперішнього часу в літературі з'явилися нові дані щодо функціональної ролі цього білка, що знаходяться в протиріччі з колишніми уявленнями</w:t>
      </w:r>
      <w:r w:rsidRPr="007462C1">
        <w:rPr>
          <w:szCs w:val="28"/>
        </w:rPr>
        <w:t xml:space="preserve"> [</w:t>
      </w:r>
      <w:r w:rsidRPr="00EB68FC">
        <w:rPr>
          <w:szCs w:val="28"/>
        </w:rPr>
        <w:t>111</w:t>
      </w:r>
      <w:r w:rsidRPr="007462C1">
        <w:rPr>
          <w:szCs w:val="28"/>
        </w:rPr>
        <w:t>]</w:t>
      </w:r>
      <w:r w:rsidRPr="00EB68FC">
        <w:rPr>
          <w:szCs w:val="28"/>
        </w:rPr>
        <w:t>.</w:t>
      </w:r>
      <w:r w:rsidRPr="006B304D">
        <w:rPr>
          <w:szCs w:val="28"/>
        </w:rPr>
        <w:t xml:space="preserve"> </w:t>
      </w:r>
    </w:p>
    <w:p w:rsidR="00F407BB" w:rsidRPr="005E2669" w:rsidRDefault="00F407BB" w:rsidP="00F407BB">
      <w:pPr>
        <w:spacing w:after="0" w:line="360" w:lineRule="auto"/>
        <w:ind w:firstLine="851"/>
        <w:jc w:val="both"/>
        <w:rPr>
          <w:szCs w:val="28"/>
        </w:rPr>
      </w:pPr>
      <w:r>
        <w:rPr>
          <w:szCs w:val="28"/>
        </w:rPr>
        <w:t xml:space="preserve">На сьогодні </w:t>
      </w:r>
      <w:r w:rsidRPr="009326EC">
        <w:rPr>
          <w:szCs w:val="28"/>
        </w:rPr>
        <w:t xml:space="preserve">інтенсивне впровадження в практику сучасних стандартів лікування та профілактики </w:t>
      </w:r>
      <w:r>
        <w:rPr>
          <w:szCs w:val="28"/>
        </w:rPr>
        <w:t>є поштовхом для збільшення рівня виживаності</w:t>
      </w:r>
      <w:r w:rsidRPr="009326EC">
        <w:rPr>
          <w:szCs w:val="28"/>
        </w:rPr>
        <w:t xml:space="preserve"> хворих</w:t>
      </w:r>
      <w:r>
        <w:rPr>
          <w:szCs w:val="28"/>
        </w:rPr>
        <w:t xml:space="preserve"> на ГІМ</w:t>
      </w:r>
      <w:r w:rsidRPr="009326EC">
        <w:rPr>
          <w:szCs w:val="28"/>
        </w:rPr>
        <w:t xml:space="preserve">. </w:t>
      </w:r>
      <w:r>
        <w:rPr>
          <w:szCs w:val="28"/>
        </w:rPr>
        <w:t>В останні роки разом з постійною</w:t>
      </w:r>
      <w:r w:rsidRPr="009326EC">
        <w:rPr>
          <w:szCs w:val="28"/>
        </w:rPr>
        <w:t xml:space="preserve"> медикаментозною терапією </w:t>
      </w:r>
      <w:r>
        <w:rPr>
          <w:szCs w:val="28"/>
        </w:rPr>
        <w:t xml:space="preserve">значно </w:t>
      </w:r>
      <w:r w:rsidRPr="009326EC">
        <w:rPr>
          <w:szCs w:val="28"/>
        </w:rPr>
        <w:t>збільшилася значимість і реваскуляризаці</w:t>
      </w:r>
      <w:r>
        <w:rPr>
          <w:szCs w:val="28"/>
        </w:rPr>
        <w:t>ї</w:t>
      </w:r>
      <w:r w:rsidRPr="009326EC">
        <w:rPr>
          <w:szCs w:val="28"/>
        </w:rPr>
        <w:t xml:space="preserve"> міокарда, однак, як показали результати, хоча в багатьох </w:t>
      </w:r>
      <w:r>
        <w:rPr>
          <w:szCs w:val="28"/>
        </w:rPr>
        <w:t>випадках і дискутабельні, дослідження</w:t>
      </w:r>
      <w:r w:rsidRPr="009326EC">
        <w:rPr>
          <w:szCs w:val="28"/>
        </w:rPr>
        <w:t xml:space="preserve"> COURAGE, правильно підібрана та постійно</w:t>
      </w:r>
      <w:r>
        <w:rPr>
          <w:szCs w:val="28"/>
        </w:rPr>
        <w:t xml:space="preserve"> застосовувана терапія порівняна</w:t>
      </w:r>
      <w:r w:rsidRPr="009326EC">
        <w:rPr>
          <w:szCs w:val="28"/>
        </w:rPr>
        <w:t xml:space="preserve"> </w:t>
      </w:r>
      <w:r>
        <w:rPr>
          <w:szCs w:val="28"/>
        </w:rPr>
        <w:t>за</w:t>
      </w:r>
      <w:r w:rsidRPr="009326EC">
        <w:rPr>
          <w:szCs w:val="28"/>
        </w:rPr>
        <w:t xml:space="preserve"> результативн</w:t>
      </w:r>
      <w:r>
        <w:rPr>
          <w:szCs w:val="28"/>
        </w:rPr>
        <w:t xml:space="preserve">істю з інвазивними методами </w:t>
      </w:r>
      <w:r w:rsidRPr="00D96755">
        <w:rPr>
          <w:szCs w:val="28"/>
        </w:rPr>
        <w:t>[</w:t>
      </w:r>
      <w:r>
        <w:rPr>
          <w:szCs w:val="28"/>
        </w:rPr>
        <w:t>112</w:t>
      </w:r>
      <w:r w:rsidRPr="00D96755">
        <w:rPr>
          <w:szCs w:val="28"/>
        </w:rPr>
        <w:t>]</w:t>
      </w:r>
      <w:r w:rsidRPr="009326EC">
        <w:rPr>
          <w:szCs w:val="28"/>
        </w:rPr>
        <w:t xml:space="preserve">. </w:t>
      </w:r>
      <w:r>
        <w:rPr>
          <w:szCs w:val="28"/>
        </w:rPr>
        <w:t>Н</w:t>
      </w:r>
      <w:r w:rsidRPr="009326EC">
        <w:rPr>
          <w:szCs w:val="28"/>
        </w:rPr>
        <w:t>езалежно від додаткового застосуван</w:t>
      </w:r>
      <w:r>
        <w:rPr>
          <w:szCs w:val="28"/>
        </w:rPr>
        <w:t>ня інвазивних методів лікування, антитромбоцитарна терапія залишається о</w:t>
      </w:r>
      <w:r w:rsidRPr="009326EC">
        <w:rPr>
          <w:szCs w:val="28"/>
        </w:rPr>
        <w:t>снов</w:t>
      </w:r>
      <w:r>
        <w:rPr>
          <w:szCs w:val="28"/>
        </w:rPr>
        <w:t>н</w:t>
      </w:r>
      <w:r w:rsidRPr="009326EC">
        <w:rPr>
          <w:szCs w:val="28"/>
        </w:rPr>
        <w:t xml:space="preserve">ою </w:t>
      </w:r>
      <w:r>
        <w:rPr>
          <w:szCs w:val="28"/>
        </w:rPr>
        <w:t>терапевтичною стратегією</w:t>
      </w:r>
      <w:r w:rsidRPr="009326EC">
        <w:rPr>
          <w:szCs w:val="28"/>
        </w:rPr>
        <w:t xml:space="preserve"> як в ситуації гострого коронарного синдрому (</w:t>
      </w:r>
      <w:r>
        <w:rPr>
          <w:szCs w:val="28"/>
        </w:rPr>
        <w:t>Г</w:t>
      </w:r>
      <w:r w:rsidRPr="009326EC">
        <w:rPr>
          <w:szCs w:val="28"/>
        </w:rPr>
        <w:t xml:space="preserve">КС), так і після для вторинної профілактики наступних </w:t>
      </w:r>
      <w:r>
        <w:rPr>
          <w:szCs w:val="28"/>
        </w:rPr>
        <w:t>небажаних</w:t>
      </w:r>
      <w:r w:rsidRPr="009326EC">
        <w:rPr>
          <w:szCs w:val="28"/>
        </w:rPr>
        <w:t xml:space="preserve"> </w:t>
      </w:r>
      <w:r>
        <w:rPr>
          <w:szCs w:val="28"/>
        </w:rPr>
        <w:t>кардіоваскулярних подій</w:t>
      </w:r>
      <w:r w:rsidRPr="009326EC">
        <w:rPr>
          <w:szCs w:val="28"/>
        </w:rPr>
        <w:t xml:space="preserve"> </w:t>
      </w:r>
      <w:r>
        <w:rPr>
          <w:szCs w:val="28"/>
        </w:rPr>
        <w:t>та представляє</w:t>
      </w:r>
      <w:r w:rsidRPr="009326EC">
        <w:rPr>
          <w:szCs w:val="28"/>
        </w:rPr>
        <w:t xml:space="preserve"> </w:t>
      </w:r>
      <w:r>
        <w:rPr>
          <w:szCs w:val="28"/>
        </w:rPr>
        <w:t xml:space="preserve">собою </w:t>
      </w:r>
      <w:r w:rsidRPr="009326EC">
        <w:rPr>
          <w:szCs w:val="28"/>
        </w:rPr>
        <w:t>комбінаці</w:t>
      </w:r>
      <w:r>
        <w:rPr>
          <w:szCs w:val="28"/>
        </w:rPr>
        <w:t>ю</w:t>
      </w:r>
      <w:r w:rsidRPr="009326EC">
        <w:rPr>
          <w:szCs w:val="28"/>
        </w:rPr>
        <w:t xml:space="preserve"> ацетилсаліцилов</w:t>
      </w:r>
      <w:r>
        <w:rPr>
          <w:szCs w:val="28"/>
        </w:rPr>
        <w:t xml:space="preserve">ої кислоти (АСК) та інгібітора </w:t>
      </w:r>
      <w:r w:rsidRPr="006916B0">
        <w:rPr>
          <w:rFonts w:eastAsia="Calibri"/>
          <w:iCs/>
          <w:szCs w:val="28"/>
          <w:lang w:val="en-US"/>
        </w:rPr>
        <w:t>P</w:t>
      </w:r>
      <w:r w:rsidRPr="006916B0">
        <w:rPr>
          <w:rFonts w:eastAsia="Calibri"/>
          <w:iCs/>
          <w:szCs w:val="28"/>
          <w:vertAlign w:val="subscript"/>
        </w:rPr>
        <w:t>2</w:t>
      </w:r>
      <w:r w:rsidRPr="006916B0">
        <w:rPr>
          <w:rFonts w:eastAsia="Calibri"/>
          <w:iCs/>
          <w:szCs w:val="28"/>
          <w:lang w:val="en-US"/>
        </w:rPr>
        <w:t>Y</w:t>
      </w:r>
      <w:r w:rsidRPr="006916B0">
        <w:rPr>
          <w:rFonts w:eastAsia="Calibri"/>
          <w:iCs/>
          <w:szCs w:val="28"/>
          <w:vertAlign w:val="subscript"/>
        </w:rPr>
        <w:t>12</w:t>
      </w:r>
      <w:r w:rsidRPr="006916B0">
        <w:rPr>
          <w:rFonts w:eastAsia="Calibri"/>
          <w:iCs/>
          <w:szCs w:val="28"/>
        </w:rPr>
        <w:t>-рецепторів</w:t>
      </w:r>
      <w:r>
        <w:rPr>
          <w:szCs w:val="28"/>
        </w:rPr>
        <w:t>. П</w:t>
      </w:r>
      <w:r w:rsidRPr="0015652C">
        <w:rPr>
          <w:szCs w:val="28"/>
        </w:rPr>
        <w:t>ригнічення агрегації</w:t>
      </w:r>
      <w:r>
        <w:rPr>
          <w:szCs w:val="28"/>
        </w:rPr>
        <w:t xml:space="preserve"> </w:t>
      </w:r>
      <w:r w:rsidRPr="0015652C">
        <w:rPr>
          <w:szCs w:val="28"/>
        </w:rPr>
        <w:t>тромбоцитів шляхом впливу на рецептори P</w:t>
      </w:r>
      <w:r w:rsidRPr="0015652C">
        <w:rPr>
          <w:szCs w:val="28"/>
          <w:vertAlign w:val="subscript"/>
        </w:rPr>
        <w:t>2</w:t>
      </w:r>
      <w:r w:rsidRPr="0015652C">
        <w:rPr>
          <w:szCs w:val="28"/>
        </w:rPr>
        <w:t>Y</w:t>
      </w:r>
      <w:r w:rsidRPr="0015652C">
        <w:rPr>
          <w:szCs w:val="28"/>
          <w:vertAlign w:val="subscript"/>
        </w:rPr>
        <w:t>12</w:t>
      </w:r>
      <w:r w:rsidRPr="0015652C">
        <w:rPr>
          <w:szCs w:val="28"/>
        </w:rPr>
        <w:t xml:space="preserve"> застосовується в клінічній практи</w:t>
      </w:r>
      <w:r>
        <w:rPr>
          <w:szCs w:val="28"/>
        </w:rPr>
        <w:t>ці</w:t>
      </w:r>
      <w:r w:rsidRPr="0015652C">
        <w:rPr>
          <w:szCs w:val="28"/>
        </w:rPr>
        <w:t xml:space="preserve"> вже більше 15 років, коли в клінічному</w:t>
      </w:r>
      <w:r>
        <w:rPr>
          <w:szCs w:val="28"/>
        </w:rPr>
        <w:t xml:space="preserve"> </w:t>
      </w:r>
      <w:r w:rsidRPr="0015652C">
        <w:rPr>
          <w:szCs w:val="28"/>
        </w:rPr>
        <w:t>дослідженні CURE блокатор рецепторів</w:t>
      </w:r>
      <w:r>
        <w:rPr>
          <w:szCs w:val="28"/>
        </w:rPr>
        <w:t xml:space="preserve"> </w:t>
      </w:r>
      <w:r w:rsidRPr="0015652C">
        <w:rPr>
          <w:szCs w:val="28"/>
        </w:rPr>
        <w:t>P</w:t>
      </w:r>
      <w:r w:rsidRPr="0015652C">
        <w:rPr>
          <w:szCs w:val="28"/>
          <w:vertAlign w:val="subscript"/>
        </w:rPr>
        <w:t>2</w:t>
      </w:r>
      <w:r w:rsidRPr="0015652C">
        <w:rPr>
          <w:szCs w:val="28"/>
        </w:rPr>
        <w:t>Y</w:t>
      </w:r>
      <w:r w:rsidRPr="0015652C">
        <w:rPr>
          <w:szCs w:val="28"/>
          <w:vertAlign w:val="subscript"/>
        </w:rPr>
        <w:t>12</w:t>
      </w:r>
      <w:r w:rsidRPr="0015652C">
        <w:rPr>
          <w:szCs w:val="28"/>
        </w:rPr>
        <w:t xml:space="preserve"> клоп</w:t>
      </w:r>
      <w:r>
        <w:rPr>
          <w:szCs w:val="28"/>
        </w:rPr>
        <w:t>і</w:t>
      </w:r>
      <w:r w:rsidRPr="0015652C">
        <w:rPr>
          <w:szCs w:val="28"/>
        </w:rPr>
        <w:t>догрел</w:t>
      </w:r>
      <w:r>
        <w:rPr>
          <w:szCs w:val="28"/>
        </w:rPr>
        <w:t>ь, доданий до АСК у па</w:t>
      </w:r>
      <w:r w:rsidRPr="0015652C">
        <w:rPr>
          <w:szCs w:val="28"/>
        </w:rPr>
        <w:t xml:space="preserve">ціент з </w:t>
      </w:r>
      <w:r>
        <w:rPr>
          <w:szCs w:val="28"/>
        </w:rPr>
        <w:t>Г</w:t>
      </w:r>
      <w:r w:rsidRPr="0015652C">
        <w:rPr>
          <w:szCs w:val="28"/>
        </w:rPr>
        <w:t>КС</w:t>
      </w:r>
      <w:r>
        <w:rPr>
          <w:szCs w:val="28"/>
        </w:rPr>
        <w:t xml:space="preserve"> без елевації сегменту ST</w:t>
      </w:r>
      <w:r w:rsidRPr="0015652C">
        <w:rPr>
          <w:szCs w:val="28"/>
        </w:rPr>
        <w:t>, показав перевагу перед</w:t>
      </w:r>
      <w:r>
        <w:rPr>
          <w:szCs w:val="28"/>
        </w:rPr>
        <w:t xml:space="preserve"> використанням </w:t>
      </w:r>
      <w:r>
        <w:rPr>
          <w:szCs w:val="28"/>
        </w:rPr>
        <w:lastRenderedPageBreak/>
        <w:t xml:space="preserve">монотерапії АСК </w:t>
      </w:r>
      <w:r w:rsidRPr="0015652C">
        <w:rPr>
          <w:szCs w:val="28"/>
        </w:rPr>
        <w:t xml:space="preserve">щодо запобігання </w:t>
      </w:r>
      <w:r>
        <w:rPr>
          <w:szCs w:val="28"/>
        </w:rPr>
        <w:t xml:space="preserve">несприятливих кардіоваскулярних </w:t>
      </w:r>
      <w:r w:rsidRPr="0015652C">
        <w:rPr>
          <w:szCs w:val="28"/>
        </w:rPr>
        <w:t>подій (серцево-судинна смерть</w:t>
      </w:r>
      <w:r>
        <w:rPr>
          <w:szCs w:val="28"/>
        </w:rPr>
        <w:t>, інфаркт міокарда,</w:t>
      </w:r>
      <w:r w:rsidRPr="0015652C">
        <w:rPr>
          <w:szCs w:val="28"/>
        </w:rPr>
        <w:t xml:space="preserve"> інсульт)</w:t>
      </w:r>
      <w:r>
        <w:rPr>
          <w:szCs w:val="28"/>
        </w:rPr>
        <w:t xml:space="preserve"> [113]. Більш того, до різних аспек</w:t>
      </w:r>
      <w:r w:rsidRPr="005E2669">
        <w:rPr>
          <w:szCs w:val="28"/>
        </w:rPr>
        <w:t>т</w:t>
      </w:r>
      <w:r>
        <w:rPr>
          <w:szCs w:val="28"/>
        </w:rPr>
        <w:t>ів</w:t>
      </w:r>
      <w:r w:rsidRPr="005E2669">
        <w:rPr>
          <w:szCs w:val="28"/>
        </w:rPr>
        <w:t xml:space="preserve">, що стосуються особливостей </w:t>
      </w:r>
      <w:r>
        <w:rPr>
          <w:szCs w:val="28"/>
        </w:rPr>
        <w:t>застосування подвійної антитромбоцитарної терапії (ПАТ)</w:t>
      </w:r>
      <w:r w:rsidRPr="005E2669">
        <w:rPr>
          <w:szCs w:val="28"/>
        </w:rPr>
        <w:t>, в останні роки була прикута</w:t>
      </w:r>
      <w:r>
        <w:rPr>
          <w:szCs w:val="28"/>
        </w:rPr>
        <w:t xml:space="preserve"> </w:t>
      </w:r>
      <w:r w:rsidRPr="005E2669">
        <w:rPr>
          <w:szCs w:val="28"/>
        </w:rPr>
        <w:t>особлив</w:t>
      </w:r>
      <w:r>
        <w:rPr>
          <w:szCs w:val="28"/>
        </w:rPr>
        <w:t>а</w:t>
      </w:r>
      <w:r w:rsidRPr="005E2669">
        <w:rPr>
          <w:szCs w:val="28"/>
        </w:rPr>
        <w:t xml:space="preserve"> уваг</w:t>
      </w:r>
      <w:r>
        <w:rPr>
          <w:szCs w:val="28"/>
        </w:rPr>
        <w:t>а</w:t>
      </w:r>
      <w:r w:rsidRPr="005E2669">
        <w:rPr>
          <w:szCs w:val="28"/>
        </w:rPr>
        <w:t xml:space="preserve"> дослідників, і саме</w:t>
      </w:r>
      <w:r>
        <w:rPr>
          <w:szCs w:val="28"/>
        </w:rPr>
        <w:t xml:space="preserve"> </w:t>
      </w:r>
      <w:r w:rsidRPr="005E2669">
        <w:rPr>
          <w:szCs w:val="28"/>
        </w:rPr>
        <w:t xml:space="preserve">ця </w:t>
      </w:r>
      <w:r>
        <w:rPr>
          <w:szCs w:val="28"/>
        </w:rPr>
        <w:t>ланка</w:t>
      </w:r>
      <w:r w:rsidRPr="005E2669">
        <w:rPr>
          <w:szCs w:val="28"/>
        </w:rPr>
        <w:t xml:space="preserve"> лікування </w:t>
      </w:r>
      <w:r>
        <w:rPr>
          <w:szCs w:val="28"/>
        </w:rPr>
        <w:t>Г</w:t>
      </w:r>
      <w:r w:rsidRPr="005E2669">
        <w:rPr>
          <w:szCs w:val="28"/>
        </w:rPr>
        <w:t>КС зазнала найбільш</w:t>
      </w:r>
      <w:r>
        <w:rPr>
          <w:szCs w:val="28"/>
        </w:rPr>
        <w:t xml:space="preserve"> </w:t>
      </w:r>
      <w:r w:rsidRPr="005E2669">
        <w:rPr>
          <w:szCs w:val="28"/>
        </w:rPr>
        <w:t>серйозн</w:t>
      </w:r>
      <w:r>
        <w:rPr>
          <w:szCs w:val="28"/>
        </w:rPr>
        <w:t>их</w:t>
      </w:r>
      <w:r w:rsidRPr="005E2669">
        <w:rPr>
          <w:szCs w:val="28"/>
        </w:rPr>
        <w:t xml:space="preserve"> змін. В першу чергу </w:t>
      </w:r>
      <w:r>
        <w:rPr>
          <w:szCs w:val="28"/>
        </w:rPr>
        <w:t>це</w:t>
      </w:r>
      <w:r w:rsidRPr="005E2669">
        <w:rPr>
          <w:szCs w:val="28"/>
        </w:rPr>
        <w:t xml:space="preserve"> </w:t>
      </w:r>
      <w:r>
        <w:rPr>
          <w:szCs w:val="28"/>
        </w:rPr>
        <w:t>пов’</w:t>
      </w:r>
      <w:r w:rsidRPr="00882F04">
        <w:rPr>
          <w:szCs w:val="28"/>
          <w:lang w:val="ru-RU"/>
        </w:rPr>
        <w:t>язано з п</w:t>
      </w:r>
      <w:r>
        <w:rPr>
          <w:szCs w:val="28"/>
        </w:rPr>
        <w:t>оявою</w:t>
      </w:r>
      <w:r w:rsidRPr="005E2669">
        <w:rPr>
          <w:szCs w:val="28"/>
        </w:rPr>
        <w:t xml:space="preserve"> нових антитромбоцитарних препаратів - прасугрела і</w:t>
      </w:r>
      <w:r>
        <w:rPr>
          <w:szCs w:val="28"/>
        </w:rPr>
        <w:t xml:space="preserve"> </w:t>
      </w:r>
      <w:r w:rsidRPr="005E2669">
        <w:rPr>
          <w:szCs w:val="28"/>
        </w:rPr>
        <w:t>т</w:t>
      </w:r>
      <w:r>
        <w:rPr>
          <w:szCs w:val="28"/>
        </w:rPr>
        <w:t>и</w:t>
      </w:r>
      <w:r w:rsidRPr="005E2669">
        <w:rPr>
          <w:szCs w:val="28"/>
        </w:rPr>
        <w:t>кагрелора.</w:t>
      </w:r>
      <w:r>
        <w:rPr>
          <w:szCs w:val="28"/>
        </w:rPr>
        <w:t xml:space="preserve"> </w:t>
      </w:r>
    </w:p>
    <w:p w:rsidR="00F407BB" w:rsidRDefault="00F407BB" w:rsidP="00F407BB">
      <w:pPr>
        <w:spacing w:after="0" w:line="360" w:lineRule="auto"/>
        <w:ind w:firstLine="851"/>
        <w:jc w:val="both"/>
        <w:rPr>
          <w:szCs w:val="28"/>
        </w:rPr>
      </w:pPr>
      <w:r>
        <w:rPr>
          <w:szCs w:val="28"/>
        </w:rPr>
        <w:t>П</w:t>
      </w:r>
      <w:r w:rsidRPr="005E2669">
        <w:rPr>
          <w:szCs w:val="28"/>
        </w:rPr>
        <w:t xml:space="preserve">расугрел, як і клопідогрель, </w:t>
      </w:r>
      <w:r>
        <w:rPr>
          <w:szCs w:val="28"/>
        </w:rPr>
        <w:t xml:space="preserve">за своєю структурою </w:t>
      </w:r>
      <w:r w:rsidRPr="005E2669">
        <w:rPr>
          <w:szCs w:val="28"/>
        </w:rPr>
        <w:t>є тієнопіридин</w:t>
      </w:r>
      <w:r>
        <w:rPr>
          <w:szCs w:val="28"/>
        </w:rPr>
        <w:t>ами</w:t>
      </w:r>
      <w:r w:rsidRPr="005E2669">
        <w:rPr>
          <w:szCs w:val="28"/>
        </w:rPr>
        <w:t xml:space="preserve">, </w:t>
      </w:r>
      <w:r>
        <w:rPr>
          <w:szCs w:val="28"/>
        </w:rPr>
        <w:t xml:space="preserve">які </w:t>
      </w:r>
      <w:r w:rsidRPr="00F91F28">
        <w:rPr>
          <w:szCs w:val="28"/>
        </w:rPr>
        <w:t>селективно пригнічу</w:t>
      </w:r>
      <w:r>
        <w:rPr>
          <w:szCs w:val="28"/>
        </w:rPr>
        <w:t>ють</w:t>
      </w:r>
      <w:r w:rsidRPr="00F91F28">
        <w:rPr>
          <w:szCs w:val="28"/>
        </w:rPr>
        <w:t xml:space="preserve"> зв’язування аденозиндифосфату (АДФ) з рецептором на поверхні тромбоцита та подальшу активацію комп</w:t>
      </w:r>
      <w:r>
        <w:rPr>
          <w:szCs w:val="28"/>
        </w:rPr>
        <w:t xml:space="preserve">лексу GPIIb/IIIa під дією АДФ , </w:t>
      </w:r>
      <w:r w:rsidRPr="00F91F28">
        <w:rPr>
          <w:szCs w:val="28"/>
        </w:rPr>
        <w:t>таким чином пригнічу</w:t>
      </w:r>
      <w:r>
        <w:rPr>
          <w:szCs w:val="28"/>
        </w:rPr>
        <w:t>ючи</w:t>
      </w:r>
      <w:r w:rsidRPr="00F91F28">
        <w:rPr>
          <w:szCs w:val="28"/>
        </w:rPr>
        <w:t xml:space="preserve"> агрегацію тромбоцитів</w:t>
      </w:r>
      <w:r>
        <w:rPr>
          <w:szCs w:val="28"/>
        </w:rPr>
        <w:t>. Ти</w:t>
      </w:r>
      <w:r w:rsidRPr="005E2669">
        <w:rPr>
          <w:szCs w:val="28"/>
        </w:rPr>
        <w:t xml:space="preserve">кагрелор </w:t>
      </w:r>
      <w:r>
        <w:rPr>
          <w:szCs w:val="28"/>
        </w:rPr>
        <w:t xml:space="preserve">в свою чергу </w:t>
      </w:r>
      <w:r w:rsidRPr="005E2669">
        <w:rPr>
          <w:szCs w:val="28"/>
        </w:rPr>
        <w:t>відноситься до іншої хімічної</w:t>
      </w:r>
      <w:r>
        <w:rPr>
          <w:szCs w:val="28"/>
        </w:rPr>
        <w:t xml:space="preserve"> </w:t>
      </w:r>
      <w:r w:rsidRPr="005E2669">
        <w:rPr>
          <w:szCs w:val="28"/>
        </w:rPr>
        <w:t>груп</w:t>
      </w:r>
      <w:r>
        <w:rPr>
          <w:szCs w:val="28"/>
        </w:rPr>
        <w:t>и</w:t>
      </w:r>
      <w:r w:rsidRPr="005E2669">
        <w:rPr>
          <w:szCs w:val="28"/>
        </w:rPr>
        <w:t xml:space="preserve"> - він </w:t>
      </w:r>
      <w:r>
        <w:rPr>
          <w:szCs w:val="28"/>
        </w:rPr>
        <w:t xml:space="preserve">є </w:t>
      </w:r>
      <w:r w:rsidRPr="005E2669">
        <w:rPr>
          <w:szCs w:val="28"/>
        </w:rPr>
        <w:t>похідн</w:t>
      </w:r>
      <w:r>
        <w:rPr>
          <w:szCs w:val="28"/>
        </w:rPr>
        <w:t>им</w:t>
      </w:r>
      <w:r w:rsidRPr="005E2669">
        <w:rPr>
          <w:szCs w:val="28"/>
        </w:rPr>
        <w:t xml:space="preserve"> ц</w:t>
      </w:r>
      <w:r>
        <w:rPr>
          <w:szCs w:val="28"/>
        </w:rPr>
        <w:t>иклопентілтріа</w:t>
      </w:r>
      <w:r w:rsidRPr="005E2669">
        <w:rPr>
          <w:szCs w:val="28"/>
        </w:rPr>
        <w:t>золопірімід</w:t>
      </w:r>
      <w:r>
        <w:rPr>
          <w:szCs w:val="28"/>
        </w:rPr>
        <w:t>ина. Від інших блокаторів ре</w:t>
      </w:r>
      <w:r w:rsidRPr="005E2669">
        <w:rPr>
          <w:szCs w:val="28"/>
        </w:rPr>
        <w:t xml:space="preserve">цепторов </w:t>
      </w:r>
      <w:r w:rsidRPr="0015652C">
        <w:rPr>
          <w:szCs w:val="28"/>
        </w:rPr>
        <w:t>P</w:t>
      </w:r>
      <w:r w:rsidRPr="0015652C">
        <w:rPr>
          <w:szCs w:val="28"/>
          <w:vertAlign w:val="subscript"/>
        </w:rPr>
        <w:t>2</w:t>
      </w:r>
      <w:r w:rsidRPr="0015652C">
        <w:rPr>
          <w:szCs w:val="28"/>
        </w:rPr>
        <w:t>Y</w:t>
      </w:r>
      <w:r w:rsidRPr="0015652C">
        <w:rPr>
          <w:szCs w:val="28"/>
          <w:vertAlign w:val="subscript"/>
        </w:rPr>
        <w:t>12</w:t>
      </w:r>
      <w:r>
        <w:rPr>
          <w:szCs w:val="28"/>
          <w:vertAlign w:val="subscript"/>
        </w:rPr>
        <w:t xml:space="preserve"> </w:t>
      </w:r>
      <w:r>
        <w:rPr>
          <w:szCs w:val="28"/>
        </w:rPr>
        <w:t>ти</w:t>
      </w:r>
      <w:r w:rsidRPr="005E2669">
        <w:rPr>
          <w:szCs w:val="28"/>
        </w:rPr>
        <w:t>кагрелор в першу чергу</w:t>
      </w:r>
      <w:r>
        <w:rPr>
          <w:szCs w:val="28"/>
        </w:rPr>
        <w:t xml:space="preserve"> </w:t>
      </w:r>
      <w:r w:rsidRPr="005E2669">
        <w:rPr>
          <w:szCs w:val="28"/>
        </w:rPr>
        <w:t>відрізняється тим, що його дія на тромбоци</w:t>
      </w:r>
      <w:r>
        <w:rPr>
          <w:szCs w:val="28"/>
        </w:rPr>
        <w:t>ти</w:t>
      </w:r>
      <w:r w:rsidRPr="005E2669">
        <w:rPr>
          <w:szCs w:val="28"/>
        </w:rPr>
        <w:t xml:space="preserve"> є оборотн</w:t>
      </w:r>
      <w:r>
        <w:rPr>
          <w:szCs w:val="28"/>
        </w:rPr>
        <w:t>ою</w:t>
      </w:r>
      <w:r w:rsidRPr="005E2669">
        <w:rPr>
          <w:szCs w:val="28"/>
        </w:rPr>
        <w:t>, тобто здатність</w:t>
      </w:r>
      <w:r>
        <w:rPr>
          <w:szCs w:val="28"/>
        </w:rPr>
        <w:t xml:space="preserve"> </w:t>
      </w:r>
      <w:r w:rsidRPr="005E2669">
        <w:rPr>
          <w:szCs w:val="28"/>
        </w:rPr>
        <w:t xml:space="preserve">тромбоцитів до агрегації повністю </w:t>
      </w:r>
      <w:r>
        <w:rPr>
          <w:szCs w:val="28"/>
        </w:rPr>
        <w:t xml:space="preserve">відновлюється </w:t>
      </w:r>
      <w:r w:rsidRPr="005E2669">
        <w:rPr>
          <w:szCs w:val="28"/>
        </w:rPr>
        <w:t>після того, як зв'язок препарату з</w:t>
      </w:r>
      <w:r>
        <w:rPr>
          <w:szCs w:val="28"/>
        </w:rPr>
        <w:t xml:space="preserve"> рецепторами розірветься [114-116]</w:t>
      </w:r>
      <w:r w:rsidRPr="00882F04">
        <w:rPr>
          <w:szCs w:val="28"/>
        </w:rPr>
        <w:t xml:space="preserve">. </w:t>
      </w:r>
    </w:p>
    <w:p w:rsidR="00F407BB" w:rsidRPr="00882F04" w:rsidRDefault="00F407BB" w:rsidP="00F407BB">
      <w:pPr>
        <w:spacing w:after="0" w:line="360" w:lineRule="auto"/>
        <w:ind w:firstLine="851"/>
        <w:jc w:val="both"/>
        <w:rPr>
          <w:rFonts w:eastAsia="Calibri"/>
          <w:iCs/>
          <w:szCs w:val="28"/>
        </w:rPr>
      </w:pPr>
      <w:r w:rsidRPr="000E191F">
        <w:rPr>
          <w:szCs w:val="28"/>
        </w:rPr>
        <w:t>Кр</w:t>
      </w:r>
      <w:r>
        <w:rPr>
          <w:szCs w:val="28"/>
        </w:rPr>
        <w:t xml:space="preserve">ім оборотності дії важливою особливістю тикагрелору є те, що, на відміну від </w:t>
      </w:r>
      <w:r w:rsidRPr="000E191F">
        <w:rPr>
          <w:szCs w:val="28"/>
        </w:rPr>
        <w:t>ті</w:t>
      </w:r>
      <w:r>
        <w:rPr>
          <w:szCs w:val="28"/>
        </w:rPr>
        <w:t>є</w:t>
      </w:r>
      <w:r w:rsidRPr="000E191F">
        <w:rPr>
          <w:szCs w:val="28"/>
        </w:rPr>
        <w:t>нопірід</w:t>
      </w:r>
      <w:r>
        <w:rPr>
          <w:szCs w:val="28"/>
        </w:rPr>
        <w:t>и</w:t>
      </w:r>
      <w:r w:rsidRPr="000E191F">
        <w:rPr>
          <w:szCs w:val="28"/>
        </w:rPr>
        <w:t>н</w:t>
      </w:r>
      <w:r>
        <w:rPr>
          <w:szCs w:val="28"/>
        </w:rPr>
        <w:t>і</w:t>
      </w:r>
      <w:r w:rsidRPr="000E191F">
        <w:rPr>
          <w:szCs w:val="28"/>
        </w:rPr>
        <w:t>в</w:t>
      </w:r>
      <w:r>
        <w:rPr>
          <w:szCs w:val="28"/>
        </w:rPr>
        <w:t>,</w:t>
      </w:r>
      <w:r w:rsidRPr="000E191F">
        <w:rPr>
          <w:szCs w:val="28"/>
        </w:rPr>
        <w:t xml:space="preserve"> він є не</w:t>
      </w:r>
      <w:r>
        <w:rPr>
          <w:szCs w:val="28"/>
        </w:rPr>
        <w:t xml:space="preserve"> модифікованими проліками, </w:t>
      </w:r>
      <w:r w:rsidRPr="000E191F">
        <w:rPr>
          <w:szCs w:val="28"/>
        </w:rPr>
        <w:t>а акти</w:t>
      </w:r>
      <w:r>
        <w:rPr>
          <w:szCs w:val="28"/>
        </w:rPr>
        <w:t>вно діючою сполукою</w:t>
      </w:r>
      <w:r w:rsidRPr="000E191F">
        <w:rPr>
          <w:szCs w:val="28"/>
        </w:rPr>
        <w:t xml:space="preserve">. Тобто після всмоктування з </w:t>
      </w:r>
      <w:r>
        <w:rPr>
          <w:szCs w:val="28"/>
        </w:rPr>
        <w:t>гастроінтестінального</w:t>
      </w:r>
      <w:r w:rsidRPr="000E191F">
        <w:rPr>
          <w:szCs w:val="28"/>
        </w:rPr>
        <w:t xml:space="preserve"> тракту клоп</w:t>
      </w:r>
      <w:r>
        <w:rPr>
          <w:szCs w:val="28"/>
        </w:rPr>
        <w:t>і</w:t>
      </w:r>
      <w:r w:rsidRPr="000E191F">
        <w:rPr>
          <w:szCs w:val="28"/>
        </w:rPr>
        <w:t>догрел</w:t>
      </w:r>
      <w:r>
        <w:rPr>
          <w:szCs w:val="28"/>
        </w:rPr>
        <w:t>ь і прасуг</w:t>
      </w:r>
      <w:r w:rsidRPr="000E191F">
        <w:rPr>
          <w:szCs w:val="28"/>
        </w:rPr>
        <w:t xml:space="preserve">рел проходять етап метаболізму до </w:t>
      </w:r>
      <w:r>
        <w:rPr>
          <w:szCs w:val="28"/>
        </w:rPr>
        <w:t>трансформації</w:t>
      </w:r>
      <w:r w:rsidRPr="000E191F">
        <w:rPr>
          <w:szCs w:val="28"/>
        </w:rPr>
        <w:t xml:space="preserve"> в активний препарат, а </w:t>
      </w:r>
      <w:r>
        <w:rPr>
          <w:szCs w:val="28"/>
        </w:rPr>
        <w:t>ти</w:t>
      </w:r>
      <w:r w:rsidRPr="000E191F">
        <w:rPr>
          <w:szCs w:val="28"/>
        </w:rPr>
        <w:t xml:space="preserve">кагрелор, </w:t>
      </w:r>
      <w:r>
        <w:rPr>
          <w:szCs w:val="28"/>
        </w:rPr>
        <w:t>потрапляючи</w:t>
      </w:r>
      <w:r w:rsidRPr="000E191F">
        <w:rPr>
          <w:szCs w:val="28"/>
        </w:rPr>
        <w:t xml:space="preserve"> в кровотік, безпосередньо, без подальших перетворень, з'єднується з </w:t>
      </w:r>
      <w:r w:rsidRPr="0015652C">
        <w:rPr>
          <w:szCs w:val="28"/>
        </w:rPr>
        <w:t>P</w:t>
      </w:r>
      <w:r w:rsidRPr="0015652C">
        <w:rPr>
          <w:szCs w:val="28"/>
          <w:vertAlign w:val="subscript"/>
        </w:rPr>
        <w:t>2</w:t>
      </w:r>
      <w:r w:rsidRPr="0015652C">
        <w:rPr>
          <w:szCs w:val="28"/>
        </w:rPr>
        <w:t>Y</w:t>
      </w:r>
      <w:r w:rsidRPr="0015652C">
        <w:rPr>
          <w:szCs w:val="28"/>
          <w:vertAlign w:val="subscript"/>
        </w:rPr>
        <w:t>12</w:t>
      </w:r>
      <w:r>
        <w:rPr>
          <w:szCs w:val="28"/>
          <w:vertAlign w:val="subscript"/>
        </w:rPr>
        <w:t xml:space="preserve"> </w:t>
      </w:r>
      <w:r w:rsidRPr="000E191F">
        <w:rPr>
          <w:szCs w:val="28"/>
        </w:rPr>
        <w:t xml:space="preserve">рецепторами тромбоцитів. Саме </w:t>
      </w:r>
      <w:r>
        <w:rPr>
          <w:szCs w:val="28"/>
        </w:rPr>
        <w:t>завдяки цій особливості</w:t>
      </w:r>
      <w:r w:rsidRPr="000E191F">
        <w:rPr>
          <w:szCs w:val="28"/>
        </w:rPr>
        <w:t xml:space="preserve"> антиагрегантн</w:t>
      </w:r>
      <w:r>
        <w:rPr>
          <w:szCs w:val="28"/>
        </w:rPr>
        <w:t xml:space="preserve">а </w:t>
      </w:r>
      <w:r w:rsidRPr="000E191F">
        <w:rPr>
          <w:szCs w:val="28"/>
        </w:rPr>
        <w:t>ді</w:t>
      </w:r>
      <w:r>
        <w:rPr>
          <w:szCs w:val="28"/>
        </w:rPr>
        <w:t>я</w:t>
      </w:r>
      <w:r w:rsidRPr="000E191F">
        <w:rPr>
          <w:szCs w:val="28"/>
        </w:rPr>
        <w:t xml:space="preserve"> </w:t>
      </w:r>
      <w:r>
        <w:rPr>
          <w:szCs w:val="28"/>
        </w:rPr>
        <w:t>тик</w:t>
      </w:r>
      <w:r w:rsidRPr="000E191F">
        <w:rPr>
          <w:szCs w:val="28"/>
        </w:rPr>
        <w:t>агрелор</w:t>
      </w:r>
      <w:r>
        <w:rPr>
          <w:szCs w:val="28"/>
        </w:rPr>
        <w:t>у</w:t>
      </w:r>
      <w:r w:rsidRPr="000E191F">
        <w:rPr>
          <w:szCs w:val="28"/>
        </w:rPr>
        <w:t xml:space="preserve"> починається вже через</w:t>
      </w:r>
      <w:r>
        <w:rPr>
          <w:szCs w:val="28"/>
        </w:rPr>
        <w:t xml:space="preserve"> 30 хвилин </w:t>
      </w:r>
      <w:r w:rsidRPr="000E191F">
        <w:rPr>
          <w:szCs w:val="28"/>
        </w:rPr>
        <w:t>післ</w:t>
      </w:r>
      <w:r>
        <w:rPr>
          <w:szCs w:val="28"/>
        </w:rPr>
        <w:t>я його прийому, а пік концентра</w:t>
      </w:r>
      <w:r w:rsidRPr="000E191F">
        <w:rPr>
          <w:szCs w:val="28"/>
        </w:rPr>
        <w:t>ці</w:t>
      </w:r>
      <w:r>
        <w:rPr>
          <w:szCs w:val="28"/>
        </w:rPr>
        <w:t>ї і пік дії фіксуються через 2 години</w:t>
      </w:r>
      <w:r w:rsidRPr="000E191F">
        <w:rPr>
          <w:szCs w:val="28"/>
        </w:rPr>
        <w:t xml:space="preserve"> [</w:t>
      </w:r>
      <w:r>
        <w:rPr>
          <w:szCs w:val="28"/>
        </w:rPr>
        <w:t>11</w:t>
      </w:r>
      <w:r w:rsidRPr="000E191F">
        <w:rPr>
          <w:szCs w:val="28"/>
        </w:rPr>
        <w:t xml:space="preserve">4]. </w:t>
      </w:r>
      <w:r>
        <w:rPr>
          <w:szCs w:val="28"/>
        </w:rPr>
        <w:t xml:space="preserve">Незважаючи на досить чіткі рекомендації міжнародних експертів, проблема вибору оптимального інгібітора </w:t>
      </w:r>
      <w:r w:rsidRPr="006916B0">
        <w:rPr>
          <w:rFonts w:eastAsia="Calibri"/>
          <w:iCs/>
          <w:szCs w:val="28"/>
          <w:lang w:val="en-US"/>
        </w:rPr>
        <w:t>P</w:t>
      </w:r>
      <w:r w:rsidRPr="006916B0">
        <w:rPr>
          <w:rFonts w:eastAsia="Calibri"/>
          <w:iCs/>
          <w:szCs w:val="28"/>
          <w:vertAlign w:val="subscript"/>
        </w:rPr>
        <w:t>2</w:t>
      </w:r>
      <w:r w:rsidRPr="006916B0">
        <w:rPr>
          <w:rFonts w:eastAsia="Calibri"/>
          <w:iCs/>
          <w:szCs w:val="28"/>
          <w:lang w:val="en-US"/>
        </w:rPr>
        <w:t>Y</w:t>
      </w:r>
      <w:r w:rsidRPr="006916B0">
        <w:rPr>
          <w:rFonts w:eastAsia="Calibri"/>
          <w:iCs/>
          <w:szCs w:val="28"/>
          <w:vertAlign w:val="subscript"/>
        </w:rPr>
        <w:t>12</w:t>
      </w:r>
      <w:r w:rsidRPr="006916B0">
        <w:rPr>
          <w:rFonts w:eastAsia="Calibri"/>
          <w:iCs/>
          <w:szCs w:val="28"/>
        </w:rPr>
        <w:t>-рецепторів</w:t>
      </w:r>
      <w:r>
        <w:rPr>
          <w:rFonts w:eastAsia="Calibri"/>
          <w:iCs/>
          <w:szCs w:val="28"/>
        </w:rPr>
        <w:t xml:space="preserve"> хвилює світову медичну спільноту. </w:t>
      </w:r>
    </w:p>
    <w:p w:rsidR="00F407BB" w:rsidRDefault="00F407BB" w:rsidP="00F407BB">
      <w:pPr>
        <w:spacing w:after="0" w:line="360" w:lineRule="auto"/>
        <w:ind w:firstLine="851"/>
        <w:jc w:val="both"/>
        <w:rPr>
          <w:szCs w:val="28"/>
        </w:rPr>
      </w:pPr>
      <w:r w:rsidRPr="00882F04">
        <w:rPr>
          <w:szCs w:val="28"/>
          <w:lang w:val="ru-RU"/>
        </w:rPr>
        <w:t>До моменту появи т</w:t>
      </w:r>
      <w:r>
        <w:rPr>
          <w:szCs w:val="28"/>
        </w:rPr>
        <w:t>и</w:t>
      </w:r>
      <w:r w:rsidRPr="00882F04">
        <w:rPr>
          <w:szCs w:val="28"/>
          <w:lang w:val="ru-RU"/>
        </w:rPr>
        <w:t>кагрелора</w:t>
      </w:r>
      <w:r>
        <w:rPr>
          <w:szCs w:val="28"/>
        </w:rPr>
        <w:t xml:space="preserve"> </w:t>
      </w:r>
      <w:r w:rsidRPr="00882F04">
        <w:rPr>
          <w:szCs w:val="28"/>
          <w:lang w:val="ru-RU"/>
        </w:rPr>
        <w:t>золотим стандартом</w:t>
      </w:r>
      <w:r>
        <w:rPr>
          <w:szCs w:val="28"/>
        </w:rPr>
        <w:t xml:space="preserve"> лікування хворих</w:t>
      </w:r>
      <w:r w:rsidRPr="00882F04">
        <w:rPr>
          <w:szCs w:val="28"/>
          <w:lang w:val="ru-RU"/>
        </w:rPr>
        <w:t xml:space="preserve"> </w:t>
      </w:r>
      <w:r>
        <w:rPr>
          <w:szCs w:val="28"/>
        </w:rPr>
        <w:t xml:space="preserve">на ГКС та осіб, яким було проведене </w:t>
      </w:r>
      <w:r w:rsidR="00C40143">
        <w:rPr>
          <w:szCs w:val="28"/>
        </w:rPr>
        <w:t>ПКВ</w:t>
      </w:r>
      <w:r>
        <w:rPr>
          <w:szCs w:val="28"/>
        </w:rPr>
        <w:t xml:space="preserve"> був </w:t>
      </w:r>
      <w:r w:rsidRPr="00882F04">
        <w:rPr>
          <w:szCs w:val="28"/>
          <w:lang w:val="ru-RU"/>
        </w:rPr>
        <w:t>кло</w:t>
      </w:r>
      <w:r>
        <w:rPr>
          <w:szCs w:val="28"/>
        </w:rPr>
        <w:t>пі</w:t>
      </w:r>
      <w:r w:rsidRPr="00882F04">
        <w:rPr>
          <w:szCs w:val="28"/>
          <w:lang w:val="ru-RU"/>
        </w:rPr>
        <w:t>догрель</w:t>
      </w:r>
      <w:r>
        <w:rPr>
          <w:szCs w:val="28"/>
        </w:rPr>
        <w:t>.</w:t>
      </w:r>
      <w:r w:rsidRPr="00882F04">
        <w:rPr>
          <w:szCs w:val="28"/>
          <w:lang w:val="ru-RU"/>
        </w:rPr>
        <w:t xml:space="preserve"> </w:t>
      </w:r>
      <w:r w:rsidRPr="00A31A27">
        <w:rPr>
          <w:szCs w:val="28"/>
        </w:rPr>
        <w:t xml:space="preserve">У невеликому дослідженні </w:t>
      </w:r>
      <w:r w:rsidR="00C40143">
        <w:rPr>
          <w:szCs w:val="28"/>
        </w:rPr>
        <w:lastRenderedPageBreak/>
        <w:t>ONSET/</w:t>
      </w:r>
      <w:r w:rsidRPr="00A31A27">
        <w:rPr>
          <w:szCs w:val="28"/>
        </w:rPr>
        <w:t>OFFSET було показано, що антиагрегантна активність тикагрелора виявлялася достовірно раніше, а сила його дії була достовірно вище в порівнянні з клопідогрелем [117].</w:t>
      </w:r>
    </w:p>
    <w:p w:rsidR="00F407BB" w:rsidRDefault="00F407BB" w:rsidP="00F407BB">
      <w:pPr>
        <w:spacing w:after="0" w:line="360" w:lineRule="auto"/>
        <w:ind w:firstLine="851"/>
        <w:jc w:val="both"/>
        <w:rPr>
          <w:szCs w:val="28"/>
        </w:rPr>
      </w:pPr>
      <w:r>
        <w:rPr>
          <w:szCs w:val="28"/>
        </w:rPr>
        <w:t>Клінічна ефективність і безпека</w:t>
      </w:r>
      <w:r w:rsidRPr="00B559A4">
        <w:rPr>
          <w:szCs w:val="28"/>
        </w:rPr>
        <w:t xml:space="preserve"> використання т</w:t>
      </w:r>
      <w:r>
        <w:rPr>
          <w:szCs w:val="28"/>
        </w:rPr>
        <w:t>и</w:t>
      </w:r>
      <w:r w:rsidRPr="00B559A4">
        <w:rPr>
          <w:szCs w:val="28"/>
        </w:rPr>
        <w:t>кагрелор</w:t>
      </w:r>
      <w:r>
        <w:rPr>
          <w:szCs w:val="28"/>
        </w:rPr>
        <w:t>у</w:t>
      </w:r>
      <w:r w:rsidRPr="00B559A4">
        <w:rPr>
          <w:szCs w:val="28"/>
        </w:rPr>
        <w:t xml:space="preserve"> у паціен</w:t>
      </w:r>
      <w:r>
        <w:rPr>
          <w:szCs w:val="28"/>
        </w:rPr>
        <w:t>ті</w:t>
      </w:r>
      <w:r w:rsidRPr="00B559A4">
        <w:rPr>
          <w:szCs w:val="28"/>
        </w:rPr>
        <w:t xml:space="preserve">в з </w:t>
      </w:r>
      <w:r>
        <w:rPr>
          <w:szCs w:val="28"/>
        </w:rPr>
        <w:t>Г</w:t>
      </w:r>
      <w:r w:rsidRPr="00B559A4">
        <w:rPr>
          <w:szCs w:val="28"/>
        </w:rPr>
        <w:t xml:space="preserve">КС була вивчена в клінічному </w:t>
      </w:r>
      <w:r>
        <w:rPr>
          <w:szCs w:val="28"/>
        </w:rPr>
        <w:t>дослідженні</w:t>
      </w:r>
      <w:r w:rsidRPr="00B559A4">
        <w:rPr>
          <w:szCs w:val="28"/>
        </w:rPr>
        <w:t xml:space="preserve"> PLATO (Study of Platelet Inhibition And</w:t>
      </w:r>
      <w:r>
        <w:rPr>
          <w:szCs w:val="28"/>
        </w:rPr>
        <w:t xml:space="preserve"> </w:t>
      </w:r>
      <w:r w:rsidRPr="00B559A4">
        <w:rPr>
          <w:szCs w:val="28"/>
        </w:rPr>
        <w:t>Patient Outcomes) [</w:t>
      </w:r>
      <w:r>
        <w:rPr>
          <w:szCs w:val="28"/>
        </w:rPr>
        <w:t>118</w:t>
      </w:r>
      <w:r w:rsidRPr="00B559A4">
        <w:rPr>
          <w:szCs w:val="28"/>
        </w:rPr>
        <w:t>].</w:t>
      </w:r>
      <w:r>
        <w:rPr>
          <w:szCs w:val="28"/>
        </w:rPr>
        <w:t xml:space="preserve"> </w:t>
      </w:r>
      <w:r w:rsidRPr="00B559A4">
        <w:rPr>
          <w:szCs w:val="28"/>
        </w:rPr>
        <w:t>PLATO було організовано як рандоміз</w:t>
      </w:r>
      <w:r>
        <w:rPr>
          <w:szCs w:val="28"/>
        </w:rPr>
        <w:t>оване</w:t>
      </w:r>
      <w:r w:rsidRPr="00B559A4">
        <w:rPr>
          <w:szCs w:val="28"/>
        </w:rPr>
        <w:t xml:space="preserve"> подвійне сліпе дослідження, </w:t>
      </w:r>
      <w:r>
        <w:rPr>
          <w:szCs w:val="28"/>
        </w:rPr>
        <w:t>до якого було залучено когорту пацієнтів з ГКС з елевацією сегменту ST, яким бу</w:t>
      </w:r>
      <w:r w:rsidRPr="00B559A4">
        <w:rPr>
          <w:szCs w:val="28"/>
        </w:rPr>
        <w:t xml:space="preserve">ло заплановано </w:t>
      </w:r>
      <w:r>
        <w:rPr>
          <w:szCs w:val="28"/>
        </w:rPr>
        <w:t>П</w:t>
      </w:r>
      <w:r w:rsidR="00C40143">
        <w:rPr>
          <w:szCs w:val="28"/>
        </w:rPr>
        <w:t>КВ</w:t>
      </w:r>
      <w:r w:rsidRPr="00B559A4">
        <w:rPr>
          <w:szCs w:val="28"/>
        </w:rPr>
        <w:t xml:space="preserve">, і </w:t>
      </w:r>
      <w:r>
        <w:rPr>
          <w:szCs w:val="28"/>
        </w:rPr>
        <w:t>хворі на ГКС без</w:t>
      </w:r>
      <w:r w:rsidRPr="00B559A4">
        <w:rPr>
          <w:szCs w:val="28"/>
        </w:rPr>
        <w:t xml:space="preserve"> </w:t>
      </w:r>
      <w:r>
        <w:rPr>
          <w:szCs w:val="28"/>
        </w:rPr>
        <w:t xml:space="preserve">елевації сегменту </w:t>
      </w:r>
      <w:r w:rsidRPr="00B559A4">
        <w:rPr>
          <w:szCs w:val="28"/>
        </w:rPr>
        <w:t>ST, незалежно від стратегії лікування</w:t>
      </w:r>
      <w:r>
        <w:rPr>
          <w:szCs w:val="28"/>
        </w:rPr>
        <w:t xml:space="preserve"> </w:t>
      </w:r>
      <w:r w:rsidRPr="00B559A4">
        <w:rPr>
          <w:szCs w:val="28"/>
        </w:rPr>
        <w:t>госпіталізовані в перші 24 год</w:t>
      </w:r>
      <w:r>
        <w:rPr>
          <w:szCs w:val="28"/>
        </w:rPr>
        <w:t>ини</w:t>
      </w:r>
      <w:r w:rsidRPr="00B559A4">
        <w:rPr>
          <w:szCs w:val="28"/>
        </w:rPr>
        <w:t xml:space="preserve"> від </w:t>
      </w:r>
      <w:r>
        <w:rPr>
          <w:szCs w:val="28"/>
        </w:rPr>
        <w:t>початку</w:t>
      </w:r>
      <w:r w:rsidRPr="00B559A4">
        <w:rPr>
          <w:szCs w:val="28"/>
        </w:rPr>
        <w:t xml:space="preserve"> симптомів </w:t>
      </w:r>
      <w:r>
        <w:rPr>
          <w:szCs w:val="28"/>
        </w:rPr>
        <w:t>Г</w:t>
      </w:r>
      <w:r w:rsidRPr="00B559A4">
        <w:rPr>
          <w:szCs w:val="28"/>
        </w:rPr>
        <w:t>КС.</w:t>
      </w:r>
      <w:r>
        <w:rPr>
          <w:szCs w:val="28"/>
        </w:rPr>
        <w:t xml:space="preserve"> В</w:t>
      </w:r>
      <w:r w:rsidRPr="00882F04">
        <w:rPr>
          <w:szCs w:val="28"/>
          <w:lang w:val="ru-RU"/>
        </w:rPr>
        <w:t xml:space="preserve"> дослідженні </w:t>
      </w:r>
      <w:r w:rsidRPr="009617A7">
        <w:rPr>
          <w:szCs w:val="28"/>
          <w:lang w:val="en-US"/>
        </w:rPr>
        <w:t>PLATO</w:t>
      </w:r>
      <w:r w:rsidRPr="00882F04">
        <w:rPr>
          <w:szCs w:val="28"/>
          <w:lang w:val="ru-RU"/>
        </w:rPr>
        <w:t xml:space="preserve"> т</w:t>
      </w:r>
      <w:r>
        <w:rPr>
          <w:szCs w:val="28"/>
        </w:rPr>
        <w:t>и</w:t>
      </w:r>
      <w:r w:rsidRPr="00882F04">
        <w:rPr>
          <w:szCs w:val="28"/>
          <w:lang w:val="ru-RU"/>
        </w:rPr>
        <w:t xml:space="preserve">кагрелор порівнювався з клопідогрелем в складі </w:t>
      </w:r>
      <w:r>
        <w:rPr>
          <w:szCs w:val="28"/>
        </w:rPr>
        <w:t>ПА</w:t>
      </w:r>
      <w:r w:rsidRPr="00882F04">
        <w:rPr>
          <w:szCs w:val="28"/>
          <w:lang w:val="ru-RU"/>
        </w:rPr>
        <w:t xml:space="preserve">Т у хворих </w:t>
      </w:r>
      <w:r>
        <w:rPr>
          <w:szCs w:val="28"/>
        </w:rPr>
        <w:t>на ГКС</w:t>
      </w:r>
      <w:r w:rsidRPr="00882F04">
        <w:rPr>
          <w:szCs w:val="28"/>
          <w:lang w:val="ru-RU"/>
        </w:rPr>
        <w:t xml:space="preserve">. </w:t>
      </w:r>
    </w:p>
    <w:p w:rsidR="00F407BB" w:rsidRDefault="00F407BB" w:rsidP="00F407BB">
      <w:pPr>
        <w:spacing w:after="0" w:line="360" w:lineRule="auto"/>
        <w:ind w:firstLine="851"/>
        <w:jc w:val="both"/>
        <w:rPr>
          <w:szCs w:val="28"/>
        </w:rPr>
      </w:pPr>
      <w:r w:rsidRPr="00B559A4">
        <w:rPr>
          <w:szCs w:val="28"/>
        </w:rPr>
        <w:t>При а</w:t>
      </w:r>
      <w:r>
        <w:rPr>
          <w:szCs w:val="28"/>
        </w:rPr>
        <w:t>налізі ефективності двох препаратів</w:t>
      </w:r>
      <w:r w:rsidRPr="00B559A4">
        <w:rPr>
          <w:szCs w:val="28"/>
        </w:rPr>
        <w:t xml:space="preserve"> було п</w:t>
      </w:r>
      <w:r>
        <w:rPr>
          <w:szCs w:val="28"/>
        </w:rPr>
        <w:t xml:space="preserve">родемонстровано, що частота подій </w:t>
      </w:r>
      <w:r w:rsidRPr="00B559A4">
        <w:rPr>
          <w:szCs w:val="28"/>
        </w:rPr>
        <w:t>первинної кінцевої</w:t>
      </w:r>
      <w:r>
        <w:rPr>
          <w:szCs w:val="28"/>
        </w:rPr>
        <w:t xml:space="preserve"> </w:t>
      </w:r>
      <w:r w:rsidRPr="00B559A4">
        <w:rPr>
          <w:szCs w:val="28"/>
        </w:rPr>
        <w:t>точки в групі пацієнтів, які отримували</w:t>
      </w:r>
      <w:r>
        <w:rPr>
          <w:szCs w:val="28"/>
        </w:rPr>
        <w:t xml:space="preserve"> </w:t>
      </w:r>
      <w:r w:rsidRPr="00B559A4">
        <w:rPr>
          <w:szCs w:val="28"/>
        </w:rPr>
        <w:t>т</w:t>
      </w:r>
      <w:r>
        <w:rPr>
          <w:szCs w:val="28"/>
        </w:rPr>
        <w:t>и</w:t>
      </w:r>
      <w:r w:rsidRPr="00B559A4">
        <w:rPr>
          <w:szCs w:val="28"/>
        </w:rPr>
        <w:t xml:space="preserve">кагрелор, в порівнянні з тими, хто </w:t>
      </w:r>
      <w:r>
        <w:rPr>
          <w:szCs w:val="28"/>
        </w:rPr>
        <w:t>отримував клопі</w:t>
      </w:r>
      <w:r w:rsidRPr="00B559A4">
        <w:rPr>
          <w:szCs w:val="28"/>
        </w:rPr>
        <w:t>догрел</w:t>
      </w:r>
      <w:r>
        <w:rPr>
          <w:szCs w:val="28"/>
        </w:rPr>
        <w:t>ь</w:t>
      </w:r>
      <w:r w:rsidRPr="00B559A4">
        <w:rPr>
          <w:szCs w:val="28"/>
        </w:rPr>
        <w:t xml:space="preserve">, була </w:t>
      </w:r>
      <w:r>
        <w:rPr>
          <w:szCs w:val="28"/>
        </w:rPr>
        <w:t xml:space="preserve">достовірно менше – 9,8% проти 11,7%. </w:t>
      </w:r>
      <w:r w:rsidRPr="00882F04">
        <w:rPr>
          <w:szCs w:val="28"/>
        </w:rPr>
        <w:t>Б</w:t>
      </w:r>
      <w:r w:rsidRPr="00B559A4">
        <w:rPr>
          <w:szCs w:val="28"/>
        </w:rPr>
        <w:t>уло</w:t>
      </w:r>
      <w:r>
        <w:rPr>
          <w:szCs w:val="28"/>
        </w:rPr>
        <w:t xml:space="preserve"> </w:t>
      </w:r>
      <w:r w:rsidRPr="00B559A4">
        <w:rPr>
          <w:szCs w:val="28"/>
        </w:rPr>
        <w:t>продемонстровано, що прийом т</w:t>
      </w:r>
      <w:r>
        <w:rPr>
          <w:szCs w:val="28"/>
        </w:rPr>
        <w:t>и</w:t>
      </w:r>
      <w:r w:rsidRPr="00B559A4">
        <w:rPr>
          <w:szCs w:val="28"/>
        </w:rPr>
        <w:t>кагрелора</w:t>
      </w:r>
      <w:r>
        <w:rPr>
          <w:szCs w:val="28"/>
        </w:rPr>
        <w:t xml:space="preserve"> </w:t>
      </w:r>
      <w:r w:rsidRPr="00B559A4">
        <w:rPr>
          <w:szCs w:val="28"/>
        </w:rPr>
        <w:t>в поєднанні з АСК був пов'язаний з абсолютним</w:t>
      </w:r>
      <w:r>
        <w:rPr>
          <w:szCs w:val="28"/>
        </w:rPr>
        <w:t xml:space="preserve"> </w:t>
      </w:r>
      <w:r w:rsidRPr="00B559A4">
        <w:rPr>
          <w:szCs w:val="28"/>
        </w:rPr>
        <w:t>зниженням ризику настання випадків сер</w:t>
      </w:r>
      <w:r>
        <w:rPr>
          <w:szCs w:val="28"/>
        </w:rPr>
        <w:t>цево</w:t>
      </w:r>
      <w:r w:rsidRPr="00B559A4">
        <w:rPr>
          <w:szCs w:val="28"/>
        </w:rPr>
        <w:t>-судинної смерті</w:t>
      </w:r>
      <w:r>
        <w:rPr>
          <w:szCs w:val="28"/>
        </w:rPr>
        <w:t xml:space="preserve"> (ССС)</w:t>
      </w:r>
      <w:r w:rsidRPr="00B559A4">
        <w:rPr>
          <w:szCs w:val="28"/>
        </w:rPr>
        <w:t xml:space="preserve"> або нового ІМ,</w:t>
      </w:r>
      <w:r>
        <w:rPr>
          <w:szCs w:val="28"/>
        </w:rPr>
        <w:t xml:space="preserve"> </w:t>
      </w:r>
      <w:r w:rsidRPr="00B559A4">
        <w:rPr>
          <w:szCs w:val="28"/>
        </w:rPr>
        <w:t>або інсульту на 1,9% і з відносним сни</w:t>
      </w:r>
      <w:r>
        <w:rPr>
          <w:szCs w:val="28"/>
        </w:rPr>
        <w:t>жен</w:t>
      </w:r>
      <w:r w:rsidRPr="00B559A4">
        <w:rPr>
          <w:szCs w:val="28"/>
        </w:rPr>
        <w:t>ням ризику настання цих подій на</w:t>
      </w:r>
      <w:r>
        <w:rPr>
          <w:szCs w:val="28"/>
        </w:rPr>
        <w:t xml:space="preserve"> </w:t>
      </w:r>
      <w:r w:rsidRPr="00B559A4">
        <w:rPr>
          <w:szCs w:val="28"/>
        </w:rPr>
        <w:t>16% в порівнянні з використанням клопідогр</w:t>
      </w:r>
      <w:r>
        <w:rPr>
          <w:szCs w:val="28"/>
        </w:rPr>
        <w:t>елю [119]</w:t>
      </w:r>
      <w:r w:rsidRPr="00B559A4">
        <w:rPr>
          <w:szCs w:val="28"/>
        </w:rPr>
        <w:t>.</w:t>
      </w:r>
    </w:p>
    <w:p w:rsidR="00F407BB" w:rsidRDefault="00F407BB" w:rsidP="00F407BB">
      <w:pPr>
        <w:spacing w:after="0" w:line="360" w:lineRule="auto"/>
        <w:ind w:firstLine="851"/>
        <w:jc w:val="both"/>
        <w:rPr>
          <w:szCs w:val="28"/>
        </w:rPr>
      </w:pPr>
      <w:r>
        <w:rPr>
          <w:szCs w:val="28"/>
        </w:rPr>
        <w:t>Також, зважаючи на швидкість дії ти</w:t>
      </w:r>
      <w:r w:rsidRPr="00AF4807">
        <w:rPr>
          <w:szCs w:val="28"/>
        </w:rPr>
        <w:t>кагрелор</w:t>
      </w:r>
      <w:r>
        <w:rPr>
          <w:szCs w:val="28"/>
        </w:rPr>
        <w:t>у</w:t>
      </w:r>
      <w:r w:rsidRPr="00AF4807">
        <w:rPr>
          <w:szCs w:val="28"/>
        </w:rPr>
        <w:t>,</w:t>
      </w:r>
      <w:r>
        <w:rPr>
          <w:szCs w:val="28"/>
        </w:rPr>
        <w:t xml:space="preserve"> </w:t>
      </w:r>
      <w:r w:rsidRPr="00AF4807">
        <w:rPr>
          <w:szCs w:val="28"/>
        </w:rPr>
        <w:t>резонно було б припустити, що максимально рано призначений препарат зможе</w:t>
      </w:r>
      <w:r>
        <w:rPr>
          <w:szCs w:val="28"/>
        </w:rPr>
        <w:t xml:space="preserve"> надавати максимальний ефект.</w:t>
      </w:r>
      <w:r w:rsidRPr="00AF4807">
        <w:rPr>
          <w:szCs w:val="28"/>
        </w:rPr>
        <w:t xml:space="preserve"> </w:t>
      </w:r>
      <w:r>
        <w:rPr>
          <w:szCs w:val="28"/>
        </w:rPr>
        <w:t>З</w:t>
      </w:r>
      <w:r w:rsidRPr="00AF4807">
        <w:rPr>
          <w:szCs w:val="28"/>
        </w:rPr>
        <w:t xml:space="preserve"> цією метою -</w:t>
      </w:r>
      <w:r>
        <w:rPr>
          <w:szCs w:val="28"/>
        </w:rPr>
        <w:t xml:space="preserve"> </w:t>
      </w:r>
      <w:r w:rsidRPr="00AF4807">
        <w:rPr>
          <w:szCs w:val="28"/>
        </w:rPr>
        <w:t>оцінити кори</w:t>
      </w:r>
      <w:r>
        <w:rPr>
          <w:szCs w:val="28"/>
        </w:rPr>
        <w:t xml:space="preserve">сть від максимально раннього залучення до терапевтичної стратегії </w:t>
      </w:r>
      <w:r w:rsidRPr="00AF4807">
        <w:rPr>
          <w:szCs w:val="28"/>
        </w:rPr>
        <w:t>т</w:t>
      </w:r>
      <w:r>
        <w:rPr>
          <w:szCs w:val="28"/>
        </w:rPr>
        <w:t>икагрелора</w:t>
      </w:r>
      <w:r w:rsidRPr="00AF4807">
        <w:rPr>
          <w:szCs w:val="28"/>
        </w:rPr>
        <w:t xml:space="preserve"> на </w:t>
      </w:r>
      <w:r>
        <w:rPr>
          <w:szCs w:val="28"/>
        </w:rPr>
        <w:t xml:space="preserve">догоспітальному </w:t>
      </w:r>
      <w:r w:rsidRPr="00AF4807">
        <w:rPr>
          <w:szCs w:val="28"/>
        </w:rPr>
        <w:t xml:space="preserve">етапі, у пацієнтів з </w:t>
      </w:r>
      <w:r>
        <w:rPr>
          <w:szCs w:val="28"/>
        </w:rPr>
        <w:t>Г</w:t>
      </w:r>
      <w:r w:rsidRPr="00AF4807">
        <w:rPr>
          <w:szCs w:val="28"/>
        </w:rPr>
        <w:t>КС</w:t>
      </w:r>
      <w:r>
        <w:rPr>
          <w:szCs w:val="28"/>
        </w:rPr>
        <w:t xml:space="preserve"> з елевацією сегмента </w:t>
      </w:r>
      <w:r w:rsidRPr="00AF4807">
        <w:rPr>
          <w:szCs w:val="28"/>
        </w:rPr>
        <w:t>ST було проведено</w:t>
      </w:r>
      <w:r>
        <w:rPr>
          <w:szCs w:val="28"/>
        </w:rPr>
        <w:t xml:space="preserve"> </w:t>
      </w:r>
      <w:r w:rsidRPr="00AF4807">
        <w:rPr>
          <w:szCs w:val="28"/>
        </w:rPr>
        <w:t>клінічне дослідження ATLANTIC</w:t>
      </w:r>
      <w:r>
        <w:rPr>
          <w:szCs w:val="28"/>
        </w:rPr>
        <w:t xml:space="preserve"> </w:t>
      </w:r>
      <w:r w:rsidRPr="00AF4807">
        <w:rPr>
          <w:szCs w:val="28"/>
        </w:rPr>
        <w:t>(Administration of Ticagrelor in the cath Lab or</w:t>
      </w:r>
      <w:r>
        <w:rPr>
          <w:szCs w:val="28"/>
        </w:rPr>
        <w:t xml:space="preserve"> </w:t>
      </w:r>
      <w:r w:rsidRPr="00AF4807">
        <w:rPr>
          <w:szCs w:val="28"/>
        </w:rPr>
        <w:t>in the Ambulance for New ST elevation myocardial</w:t>
      </w:r>
      <w:r>
        <w:rPr>
          <w:szCs w:val="28"/>
        </w:rPr>
        <w:t xml:space="preserve"> </w:t>
      </w:r>
      <w:r w:rsidRPr="00AF4807">
        <w:rPr>
          <w:szCs w:val="28"/>
        </w:rPr>
        <w:t>Infarction to open the Coronary artery) [</w:t>
      </w:r>
      <w:r>
        <w:rPr>
          <w:szCs w:val="28"/>
        </w:rPr>
        <w:t>120</w:t>
      </w:r>
      <w:r w:rsidRPr="00AF4807">
        <w:rPr>
          <w:szCs w:val="28"/>
        </w:rPr>
        <w:t>].</w:t>
      </w:r>
      <w:r>
        <w:rPr>
          <w:szCs w:val="28"/>
        </w:rPr>
        <w:t xml:space="preserve"> В якості критерію користі </w:t>
      </w:r>
      <w:r w:rsidRPr="00AF4807">
        <w:rPr>
          <w:szCs w:val="28"/>
        </w:rPr>
        <w:t xml:space="preserve">від раннього </w:t>
      </w:r>
      <w:r>
        <w:rPr>
          <w:szCs w:val="28"/>
        </w:rPr>
        <w:t>призначення ти</w:t>
      </w:r>
      <w:r w:rsidRPr="00AF4807">
        <w:rPr>
          <w:szCs w:val="28"/>
        </w:rPr>
        <w:t>кагрелор</w:t>
      </w:r>
      <w:r>
        <w:rPr>
          <w:szCs w:val="28"/>
        </w:rPr>
        <w:t>у було оцінено ступі</w:t>
      </w:r>
      <w:r w:rsidRPr="00AF4807">
        <w:rPr>
          <w:szCs w:val="28"/>
        </w:rPr>
        <w:t>нь поліпшення коронарної перфузії.</w:t>
      </w:r>
      <w:r>
        <w:rPr>
          <w:szCs w:val="28"/>
        </w:rPr>
        <w:t xml:space="preserve"> </w:t>
      </w:r>
      <w:r w:rsidRPr="00F46889">
        <w:rPr>
          <w:szCs w:val="28"/>
        </w:rPr>
        <w:t xml:space="preserve">За </w:t>
      </w:r>
      <w:r w:rsidRPr="00F46889">
        <w:rPr>
          <w:szCs w:val="28"/>
        </w:rPr>
        <w:lastRenderedPageBreak/>
        <w:t>результатами аналізу дослідження</w:t>
      </w:r>
      <w:r>
        <w:rPr>
          <w:szCs w:val="28"/>
        </w:rPr>
        <w:t xml:space="preserve"> </w:t>
      </w:r>
      <w:r w:rsidRPr="00F46889">
        <w:rPr>
          <w:szCs w:val="28"/>
        </w:rPr>
        <w:t>ATLANTI</w:t>
      </w:r>
      <w:r>
        <w:rPr>
          <w:szCs w:val="28"/>
        </w:rPr>
        <w:t>C було встановлено, що між груп</w:t>
      </w:r>
      <w:r w:rsidRPr="00F46889">
        <w:rPr>
          <w:szCs w:val="28"/>
        </w:rPr>
        <w:t>ами, де навантажувальна доза т</w:t>
      </w:r>
      <w:r>
        <w:rPr>
          <w:szCs w:val="28"/>
        </w:rPr>
        <w:t>и</w:t>
      </w:r>
      <w:r w:rsidRPr="00F46889">
        <w:rPr>
          <w:szCs w:val="28"/>
        </w:rPr>
        <w:t xml:space="preserve">кагрелора </w:t>
      </w:r>
      <w:r>
        <w:rPr>
          <w:szCs w:val="28"/>
        </w:rPr>
        <w:t xml:space="preserve">вперше була отримана на </w:t>
      </w:r>
      <w:r w:rsidRPr="00F46889">
        <w:rPr>
          <w:szCs w:val="28"/>
        </w:rPr>
        <w:t xml:space="preserve"> догоспітальному</w:t>
      </w:r>
      <w:r>
        <w:rPr>
          <w:szCs w:val="28"/>
        </w:rPr>
        <w:t xml:space="preserve"> етапі та</w:t>
      </w:r>
      <w:r w:rsidRPr="00F46889">
        <w:rPr>
          <w:szCs w:val="28"/>
        </w:rPr>
        <w:t xml:space="preserve"> в стаціонарі</w:t>
      </w:r>
      <w:r>
        <w:rPr>
          <w:szCs w:val="28"/>
        </w:rPr>
        <w:t>,</w:t>
      </w:r>
      <w:r w:rsidRPr="00F46889">
        <w:rPr>
          <w:szCs w:val="28"/>
        </w:rPr>
        <w:t xml:space="preserve"> не було</w:t>
      </w:r>
      <w:r>
        <w:rPr>
          <w:szCs w:val="28"/>
        </w:rPr>
        <w:t xml:space="preserve"> </w:t>
      </w:r>
      <w:r w:rsidRPr="00F46889">
        <w:rPr>
          <w:szCs w:val="28"/>
        </w:rPr>
        <w:t xml:space="preserve">достовірних відмінностей </w:t>
      </w:r>
      <w:r>
        <w:rPr>
          <w:szCs w:val="28"/>
        </w:rPr>
        <w:t xml:space="preserve">щодо </w:t>
      </w:r>
      <w:r w:rsidRPr="00F46889">
        <w:rPr>
          <w:szCs w:val="28"/>
        </w:rPr>
        <w:t>первинної к</w:t>
      </w:r>
      <w:r>
        <w:rPr>
          <w:szCs w:val="28"/>
        </w:rPr>
        <w:t>інцевої</w:t>
      </w:r>
      <w:r w:rsidRPr="00F46889">
        <w:rPr>
          <w:szCs w:val="28"/>
        </w:rPr>
        <w:t xml:space="preserve"> точ</w:t>
      </w:r>
      <w:r>
        <w:rPr>
          <w:szCs w:val="28"/>
        </w:rPr>
        <w:t>ки</w:t>
      </w:r>
      <w:r w:rsidRPr="00F46889">
        <w:rPr>
          <w:szCs w:val="28"/>
        </w:rPr>
        <w:t>.</w:t>
      </w:r>
      <w:r>
        <w:rPr>
          <w:szCs w:val="28"/>
        </w:rPr>
        <w:t xml:space="preserve"> Також тикагрелора виявив подібний ефект в обох групах за частотою виникнення небажаних серцево-судинних подій у вигляді ССС, інсульту або екстреної реваскуляризації, а також за виникненням кровотеч протягом 30 днів спостереження. Однак</w:t>
      </w:r>
      <w:r w:rsidRPr="00DF001D">
        <w:rPr>
          <w:szCs w:val="28"/>
        </w:rPr>
        <w:t xml:space="preserve"> було отрим</w:t>
      </w:r>
      <w:r>
        <w:rPr>
          <w:szCs w:val="28"/>
        </w:rPr>
        <w:t>ано достовірні</w:t>
      </w:r>
      <w:r w:rsidRPr="00DF001D">
        <w:rPr>
          <w:szCs w:val="28"/>
        </w:rPr>
        <w:t xml:space="preserve"> відмінн</w:t>
      </w:r>
      <w:r>
        <w:rPr>
          <w:szCs w:val="28"/>
        </w:rPr>
        <w:t>ості</w:t>
      </w:r>
      <w:r w:rsidRPr="00DF001D">
        <w:rPr>
          <w:szCs w:val="28"/>
        </w:rPr>
        <w:t xml:space="preserve"> </w:t>
      </w:r>
      <w:r>
        <w:rPr>
          <w:szCs w:val="28"/>
        </w:rPr>
        <w:t>за</w:t>
      </w:r>
      <w:r w:rsidRPr="00DF001D">
        <w:rPr>
          <w:szCs w:val="28"/>
        </w:rPr>
        <w:t xml:space="preserve"> частот</w:t>
      </w:r>
      <w:r>
        <w:rPr>
          <w:szCs w:val="28"/>
        </w:rPr>
        <w:t>ою</w:t>
      </w:r>
      <w:r w:rsidRPr="00DF001D">
        <w:rPr>
          <w:szCs w:val="28"/>
        </w:rPr>
        <w:t xml:space="preserve"> розвитку тромбозу</w:t>
      </w:r>
      <w:r>
        <w:rPr>
          <w:szCs w:val="28"/>
        </w:rPr>
        <w:t xml:space="preserve"> </w:t>
      </w:r>
      <w:r w:rsidRPr="00DF001D">
        <w:rPr>
          <w:szCs w:val="28"/>
        </w:rPr>
        <w:t>стента</w:t>
      </w:r>
      <w:r>
        <w:rPr>
          <w:szCs w:val="28"/>
        </w:rPr>
        <w:t xml:space="preserve">, який </w:t>
      </w:r>
      <w:r w:rsidRPr="00DF001D">
        <w:rPr>
          <w:szCs w:val="28"/>
        </w:rPr>
        <w:t>знач</w:t>
      </w:r>
      <w:r>
        <w:rPr>
          <w:szCs w:val="28"/>
        </w:rPr>
        <w:t>но</w:t>
      </w:r>
      <w:r w:rsidRPr="00DF001D">
        <w:rPr>
          <w:szCs w:val="28"/>
        </w:rPr>
        <w:t xml:space="preserve"> рідше відзначався в групі</w:t>
      </w:r>
      <w:r>
        <w:rPr>
          <w:szCs w:val="28"/>
        </w:rPr>
        <w:t xml:space="preserve"> </w:t>
      </w:r>
      <w:r w:rsidRPr="00DF001D">
        <w:rPr>
          <w:szCs w:val="28"/>
        </w:rPr>
        <w:t>догоспитального початку прийому т</w:t>
      </w:r>
      <w:r>
        <w:rPr>
          <w:szCs w:val="28"/>
        </w:rPr>
        <w:t>и</w:t>
      </w:r>
      <w:r w:rsidRPr="00DF001D">
        <w:rPr>
          <w:szCs w:val="28"/>
        </w:rPr>
        <w:t>кагрелора</w:t>
      </w:r>
      <w:r>
        <w:rPr>
          <w:szCs w:val="28"/>
        </w:rPr>
        <w:t xml:space="preserve"> </w:t>
      </w:r>
      <w:r w:rsidRPr="00DF001D">
        <w:rPr>
          <w:szCs w:val="28"/>
        </w:rPr>
        <w:t>в порівнянні з внутрішньогоспітальни</w:t>
      </w:r>
      <w:r>
        <w:rPr>
          <w:szCs w:val="28"/>
        </w:rPr>
        <w:t>м</w:t>
      </w:r>
      <w:r w:rsidRPr="00DF001D">
        <w:rPr>
          <w:szCs w:val="28"/>
        </w:rPr>
        <w:t xml:space="preserve"> через</w:t>
      </w:r>
      <w:r>
        <w:rPr>
          <w:szCs w:val="28"/>
        </w:rPr>
        <w:t xml:space="preserve"> </w:t>
      </w:r>
      <w:r w:rsidRPr="00DF001D">
        <w:rPr>
          <w:szCs w:val="28"/>
        </w:rPr>
        <w:t xml:space="preserve">30 днів після </w:t>
      </w:r>
      <w:r>
        <w:rPr>
          <w:szCs w:val="28"/>
        </w:rPr>
        <w:t>П</w:t>
      </w:r>
      <w:r w:rsidRPr="00DF001D">
        <w:rPr>
          <w:szCs w:val="28"/>
        </w:rPr>
        <w:t>КВ</w:t>
      </w:r>
      <w:r>
        <w:rPr>
          <w:szCs w:val="28"/>
        </w:rPr>
        <w:t> [121]</w:t>
      </w:r>
      <w:r w:rsidRPr="00882F04">
        <w:rPr>
          <w:szCs w:val="28"/>
        </w:rPr>
        <w:t>.</w:t>
      </w:r>
    </w:p>
    <w:p w:rsidR="00F407BB" w:rsidRPr="001A683D" w:rsidRDefault="00F407BB" w:rsidP="00F407BB">
      <w:pPr>
        <w:spacing w:after="0" w:line="360" w:lineRule="auto"/>
        <w:ind w:firstLine="709"/>
        <w:contextualSpacing/>
        <w:jc w:val="both"/>
        <w:rPr>
          <w:szCs w:val="28"/>
        </w:rPr>
      </w:pPr>
      <w:r w:rsidRPr="001A683D">
        <w:rPr>
          <w:szCs w:val="28"/>
        </w:rPr>
        <w:t xml:space="preserve">Обстежено 105 хворих на ГІМ, що знаходилися на стаціонарному лікуванні в інфарктному відділенні </w:t>
      </w:r>
      <w:r w:rsidRPr="001A683D">
        <w:rPr>
          <w:rFonts w:eastAsia="Times New Roman"/>
          <w:bCs/>
          <w:szCs w:val="28"/>
          <w:lang w:eastAsia="ru-RU"/>
        </w:rPr>
        <w:t>КЗОЗ «Харківська міська клінічна лікарня №27», яка є базовим лікувальним закладом ка</w:t>
      </w:r>
      <w:r>
        <w:rPr>
          <w:rFonts w:eastAsia="Times New Roman"/>
          <w:bCs/>
          <w:szCs w:val="28"/>
          <w:lang w:eastAsia="ru-RU"/>
        </w:rPr>
        <w:t xml:space="preserve">федри внутрішньої медицини №2, </w:t>
      </w:r>
      <w:r w:rsidRPr="001A683D">
        <w:rPr>
          <w:rFonts w:eastAsia="Times New Roman"/>
          <w:bCs/>
          <w:szCs w:val="28"/>
          <w:lang w:eastAsia="ru-RU"/>
        </w:rPr>
        <w:t>клінічної імунології і алергології</w:t>
      </w:r>
      <w:r>
        <w:rPr>
          <w:rFonts w:eastAsia="Times New Roman"/>
          <w:bCs/>
          <w:szCs w:val="28"/>
          <w:lang w:eastAsia="ru-RU"/>
        </w:rPr>
        <w:t xml:space="preserve"> імені академіка Л.Т. Малої</w:t>
      </w:r>
      <w:r w:rsidRPr="001A683D">
        <w:rPr>
          <w:rFonts w:eastAsia="Times New Roman"/>
          <w:bCs/>
          <w:szCs w:val="28"/>
          <w:lang w:eastAsia="ru-RU"/>
        </w:rPr>
        <w:t xml:space="preserve"> Харківського національного медичного університету МОЗ України</w:t>
      </w:r>
      <w:r w:rsidRPr="001A683D">
        <w:rPr>
          <w:szCs w:val="28"/>
        </w:rPr>
        <w:t xml:space="preserve">. Було залучено хворих з гострим коронарним синдромом з елевацією сегмента </w:t>
      </w:r>
      <w:r w:rsidRPr="001A683D">
        <w:rPr>
          <w:szCs w:val="28"/>
          <w:lang w:val="en-US"/>
        </w:rPr>
        <w:t>ST</w:t>
      </w:r>
      <w:r w:rsidRPr="001A683D">
        <w:rPr>
          <w:szCs w:val="28"/>
        </w:rPr>
        <w:t>. Усіх хворих було розподілено на 2 групи: 1 групу склали хворі на ГІМ із супутнім ожирінням (</w:t>
      </w:r>
      <w:r w:rsidRPr="001A683D">
        <w:rPr>
          <w:szCs w:val="28"/>
          <w:lang w:val="en-US"/>
        </w:rPr>
        <w:t>n</w:t>
      </w:r>
      <w:r w:rsidRPr="001A683D">
        <w:rPr>
          <w:szCs w:val="28"/>
        </w:rPr>
        <w:t>=75), 2 групу‒ хворі на ГІМ без ожиріння (</w:t>
      </w:r>
      <w:r w:rsidRPr="001A683D">
        <w:rPr>
          <w:szCs w:val="28"/>
          <w:lang w:val="en-US"/>
        </w:rPr>
        <w:t>n</w:t>
      </w:r>
      <w:r w:rsidRPr="001A683D">
        <w:rPr>
          <w:szCs w:val="28"/>
        </w:rPr>
        <w:t xml:space="preserve">=30). Контрольну групу склали </w:t>
      </w:r>
      <w:r>
        <w:rPr>
          <w:szCs w:val="28"/>
        </w:rPr>
        <w:t>2</w:t>
      </w:r>
      <w:r w:rsidRPr="001A683D">
        <w:rPr>
          <w:szCs w:val="28"/>
        </w:rPr>
        <w:t xml:space="preserve">0 практично здорових осіб. Середній вік хворих 1 групи склав </w:t>
      </w:r>
      <w:r>
        <w:rPr>
          <w:szCs w:val="28"/>
        </w:rPr>
        <w:t>62,28</w:t>
      </w:r>
      <w:r w:rsidRPr="00E04C6E">
        <w:rPr>
          <w:szCs w:val="28"/>
        </w:rPr>
        <w:t>±1,2</w:t>
      </w:r>
      <w:r>
        <w:rPr>
          <w:szCs w:val="28"/>
        </w:rPr>
        <w:t>3</w:t>
      </w:r>
      <w:r w:rsidRPr="00E04C6E">
        <w:rPr>
          <w:szCs w:val="28"/>
        </w:rPr>
        <w:t xml:space="preserve"> </w:t>
      </w:r>
      <w:r w:rsidRPr="001A683D">
        <w:rPr>
          <w:szCs w:val="28"/>
        </w:rPr>
        <w:t>років</w:t>
      </w:r>
      <w:r>
        <w:rPr>
          <w:szCs w:val="28"/>
        </w:rPr>
        <w:t>, а</w:t>
      </w:r>
      <w:r w:rsidRPr="001A683D">
        <w:rPr>
          <w:szCs w:val="28"/>
        </w:rPr>
        <w:t xml:space="preserve"> 2 групи ‒ </w:t>
      </w:r>
      <w:r>
        <w:rPr>
          <w:szCs w:val="28"/>
        </w:rPr>
        <w:t>66,16±1,61</w:t>
      </w:r>
      <w:r w:rsidRPr="001A683D">
        <w:rPr>
          <w:szCs w:val="28"/>
        </w:rPr>
        <w:t>років.</w:t>
      </w:r>
    </w:p>
    <w:p w:rsidR="00F407BB" w:rsidRPr="001A683D" w:rsidRDefault="00F407BB" w:rsidP="00F407BB">
      <w:pPr>
        <w:spacing w:after="0" w:line="360" w:lineRule="auto"/>
        <w:ind w:firstLine="709"/>
        <w:contextualSpacing/>
        <w:jc w:val="both"/>
        <w:rPr>
          <w:szCs w:val="28"/>
        </w:rPr>
      </w:pPr>
      <w:r w:rsidRPr="001A683D">
        <w:rPr>
          <w:szCs w:val="28"/>
        </w:rPr>
        <w:t>Діагноз ГІМ було встановлено на основі клініко-анамнестичних та лабораторно-інструментальних досліджень з використанням критеріїв, рекомендованих Європейським товариством кардіологів у 2012 році та відповідно до Наказу Міністерства охорони здоро</w:t>
      </w:r>
      <w:r>
        <w:rPr>
          <w:szCs w:val="28"/>
        </w:rPr>
        <w:t>в’я №455 від 02.07.2014 року «</w:t>
      </w:r>
      <w:r w:rsidRPr="001A683D">
        <w:rPr>
          <w:szCs w:val="28"/>
        </w:rPr>
        <w:t>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w:t>
      </w:r>
      <w:r>
        <w:rPr>
          <w:szCs w:val="28"/>
        </w:rPr>
        <w:t>»</w:t>
      </w:r>
      <w:r w:rsidRPr="001A683D">
        <w:rPr>
          <w:szCs w:val="28"/>
        </w:rPr>
        <w:t xml:space="preserve">. </w:t>
      </w:r>
    </w:p>
    <w:p w:rsidR="00F407BB" w:rsidRPr="001B35C3" w:rsidRDefault="00F407BB" w:rsidP="00F407BB">
      <w:pPr>
        <w:spacing w:after="0" w:line="360" w:lineRule="auto"/>
        <w:ind w:firstLine="709"/>
        <w:contextualSpacing/>
        <w:jc w:val="both"/>
        <w:rPr>
          <w:szCs w:val="28"/>
        </w:rPr>
      </w:pPr>
      <w:r w:rsidRPr="001A683D">
        <w:rPr>
          <w:szCs w:val="28"/>
        </w:rPr>
        <w:lastRenderedPageBreak/>
        <w:t xml:space="preserve">Критеріями виключення хворих із дослідження були: гострі та хронічні запальні процеси, цукровий діабет, дифузні захворювання сполучної тканини, </w:t>
      </w:r>
      <w:r w:rsidRPr="009D5EE8">
        <w:rPr>
          <w:szCs w:val="28"/>
        </w:rPr>
        <w:t>супутн</w:t>
      </w:r>
      <w:r w:rsidRPr="00E04C6E">
        <w:rPr>
          <w:szCs w:val="28"/>
        </w:rPr>
        <w:t>i</w:t>
      </w:r>
      <w:r w:rsidRPr="009D5EE8">
        <w:rPr>
          <w:szCs w:val="28"/>
        </w:rPr>
        <w:t xml:space="preserve"> захворювання щитопод</w:t>
      </w:r>
      <w:r w:rsidRPr="00E04C6E">
        <w:rPr>
          <w:szCs w:val="28"/>
        </w:rPr>
        <w:t>i</w:t>
      </w:r>
      <w:r w:rsidRPr="009D5EE8">
        <w:rPr>
          <w:szCs w:val="28"/>
        </w:rPr>
        <w:t xml:space="preserve">бної залози, </w:t>
      </w:r>
      <w:r w:rsidRPr="001A683D">
        <w:rPr>
          <w:szCs w:val="28"/>
        </w:rPr>
        <w:t>онкологічні захворювання, психічні захворювання, алкоголізм, наркоманія</w:t>
      </w:r>
      <w:r>
        <w:rPr>
          <w:szCs w:val="28"/>
        </w:rPr>
        <w:t>.</w:t>
      </w:r>
    </w:p>
    <w:p w:rsidR="00F407BB" w:rsidRPr="002F7FA1" w:rsidRDefault="00F407BB" w:rsidP="00F407BB">
      <w:pPr>
        <w:spacing w:after="0" w:line="360" w:lineRule="auto"/>
        <w:ind w:firstLine="709"/>
        <w:contextualSpacing/>
        <w:jc w:val="both"/>
        <w:rPr>
          <w:szCs w:val="28"/>
        </w:rPr>
      </w:pPr>
      <w:r w:rsidRPr="001B35C3">
        <w:rPr>
          <w:szCs w:val="28"/>
        </w:rPr>
        <w:t xml:space="preserve">Середній час від </w:t>
      </w:r>
      <w:r>
        <w:rPr>
          <w:szCs w:val="28"/>
        </w:rPr>
        <w:t>мом</w:t>
      </w:r>
      <w:r w:rsidRPr="001B35C3">
        <w:rPr>
          <w:szCs w:val="28"/>
        </w:rPr>
        <w:t>енту</w:t>
      </w:r>
      <w:r>
        <w:rPr>
          <w:szCs w:val="28"/>
        </w:rPr>
        <w:t xml:space="preserve"> початку больового синдрому до госпіталізації до спеціалізованого стаціонару складав 14,27 </w:t>
      </w:r>
      <m:oMath>
        <m:r>
          <w:rPr>
            <w:rFonts w:ascii="Cambria Math" w:hAnsi="Cambria Math"/>
            <w:szCs w:val="28"/>
          </w:rPr>
          <m:t>±</m:t>
        </m:r>
      </m:oMath>
      <w:r>
        <w:rPr>
          <w:szCs w:val="28"/>
        </w:rPr>
        <w:t xml:space="preserve"> 2,06 годин. </w:t>
      </w:r>
    </w:p>
    <w:p w:rsidR="00F407BB" w:rsidRPr="001A683D" w:rsidRDefault="00F407BB" w:rsidP="00F407BB">
      <w:pPr>
        <w:spacing w:after="0" w:line="360" w:lineRule="auto"/>
        <w:ind w:firstLine="709"/>
        <w:contextualSpacing/>
        <w:jc w:val="both"/>
        <w:rPr>
          <w:szCs w:val="28"/>
        </w:rPr>
      </w:pPr>
      <w:r w:rsidRPr="001A683D">
        <w:rPr>
          <w:szCs w:val="28"/>
        </w:rPr>
        <w:t>Діагноз ГІМ може бути встановлено за наявності як мінімуму двох з наступних критеріїв:</w:t>
      </w:r>
    </w:p>
    <w:p w:rsidR="00F407BB" w:rsidRPr="001A683D" w:rsidRDefault="00F407BB" w:rsidP="00F407BB">
      <w:pPr>
        <w:numPr>
          <w:ilvl w:val="0"/>
          <w:numId w:val="6"/>
        </w:numPr>
        <w:spacing w:after="0" w:line="360" w:lineRule="auto"/>
        <w:ind w:left="0"/>
        <w:contextualSpacing/>
        <w:jc w:val="both"/>
        <w:rPr>
          <w:szCs w:val="28"/>
        </w:rPr>
      </w:pPr>
      <w:r w:rsidRPr="001A683D">
        <w:rPr>
          <w:szCs w:val="28"/>
        </w:rPr>
        <w:t>затяжний (більше 20 хвилин) ангінозний напад в стані спокою;</w:t>
      </w:r>
    </w:p>
    <w:p w:rsidR="00F407BB" w:rsidRPr="001A683D" w:rsidRDefault="00F407BB" w:rsidP="00F407BB">
      <w:pPr>
        <w:numPr>
          <w:ilvl w:val="0"/>
          <w:numId w:val="6"/>
        </w:numPr>
        <w:spacing w:after="0" w:line="360" w:lineRule="auto"/>
        <w:ind w:left="0"/>
        <w:contextualSpacing/>
        <w:jc w:val="both"/>
        <w:rPr>
          <w:szCs w:val="28"/>
        </w:rPr>
      </w:pPr>
      <w:r w:rsidRPr="001A683D">
        <w:rPr>
          <w:szCs w:val="28"/>
        </w:rPr>
        <w:t xml:space="preserve"> наявність типових змін ЕКГ;</w:t>
      </w:r>
    </w:p>
    <w:p w:rsidR="00F407BB" w:rsidRPr="001A683D" w:rsidRDefault="00F407BB" w:rsidP="00F407BB">
      <w:pPr>
        <w:numPr>
          <w:ilvl w:val="0"/>
          <w:numId w:val="6"/>
        </w:numPr>
        <w:spacing w:after="0" w:line="360" w:lineRule="auto"/>
        <w:ind w:left="0"/>
        <w:contextualSpacing/>
        <w:jc w:val="both"/>
        <w:rPr>
          <w:szCs w:val="28"/>
        </w:rPr>
      </w:pPr>
      <w:r w:rsidRPr="001A683D">
        <w:rPr>
          <w:szCs w:val="28"/>
        </w:rPr>
        <w:t>наявність біохімічних маркерів некрозу міокарда.</w:t>
      </w:r>
    </w:p>
    <w:p w:rsidR="00F407BB" w:rsidRPr="001A683D"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 xml:space="preserve">Для характеристики ожиріння використовували індекс маси тіла (ІМТ). </w:t>
      </w:r>
    </w:p>
    <w:p w:rsidR="00F407BB" w:rsidRPr="001A683D" w:rsidRDefault="00F407BB" w:rsidP="00F407BB">
      <w:pPr>
        <w:spacing w:after="0" w:line="360" w:lineRule="auto"/>
        <w:ind w:firstLine="360"/>
        <w:jc w:val="both"/>
        <w:rPr>
          <w:rFonts w:eastAsia="Times New Roman"/>
          <w:szCs w:val="28"/>
          <w:lang w:eastAsia="ru-RU"/>
        </w:rPr>
      </w:pPr>
      <w:r w:rsidRPr="001A683D">
        <w:rPr>
          <w:rFonts w:eastAsia="Times New Roman"/>
          <w:szCs w:val="28"/>
          <w:lang w:eastAsia="ru-RU"/>
        </w:rPr>
        <w:t>У даний час використовується класифікація, заснована на визначенні індексу маси тіла (ІМТ). Дана класифікація, розроблена Національним інститутом здоров'я</w:t>
      </w:r>
      <w:r>
        <w:rPr>
          <w:rFonts w:eastAsia="Times New Roman"/>
          <w:szCs w:val="28"/>
          <w:lang w:eastAsia="ru-RU"/>
        </w:rPr>
        <w:t xml:space="preserve"> (National Health Institute ˗ N</w:t>
      </w:r>
      <w:r w:rsidRPr="001A683D">
        <w:rPr>
          <w:rFonts w:eastAsia="Times New Roman"/>
          <w:szCs w:val="28"/>
          <w:lang w:eastAsia="ru-RU"/>
        </w:rPr>
        <w:t>H</w:t>
      </w:r>
      <w:r>
        <w:rPr>
          <w:rFonts w:eastAsia="Times New Roman"/>
          <w:szCs w:val="28"/>
          <w:lang w:val="en-US" w:eastAsia="ru-RU"/>
        </w:rPr>
        <w:t>I</w:t>
      </w:r>
      <w:r w:rsidRPr="001A683D">
        <w:rPr>
          <w:rFonts w:eastAsia="Times New Roman"/>
          <w:szCs w:val="28"/>
          <w:lang w:eastAsia="ru-RU"/>
        </w:rPr>
        <w:t>) США, і схвалена Всесвітньою організацією охорони здоров'я.</w:t>
      </w:r>
    </w:p>
    <w:p w:rsidR="00F407BB" w:rsidRPr="001A683D"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Для встановлення типу розподілу жирової тканини було розраховано показник співвідношення ОТ/ОС. Окружність талії (ОТ) вимірювали як найменший об’єм нижче грудної клітини над пупком; окружність стегон (ОС) – як найбільш</w:t>
      </w:r>
      <w:r>
        <w:rPr>
          <w:rFonts w:eastAsia="Times New Roman"/>
          <w:szCs w:val="28"/>
          <w:lang w:eastAsia="ru-RU"/>
        </w:rPr>
        <w:t>у</w:t>
      </w:r>
      <w:r w:rsidRPr="001A683D">
        <w:rPr>
          <w:rFonts w:eastAsia="Times New Roman"/>
          <w:szCs w:val="28"/>
          <w:lang w:eastAsia="ru-RU"/>
        </w:rPr>
        <w:t xml:space="preserve"> окружність на рівні стегна</w:t>
      </w:r>
      <w:r>
        <w:rPr>
          <w:rFonts w:eastAsia="Times New Roman"/>
          <w:szCs w:val="28"/>
          <w:lang w:eastAsia="ru-RU"/>
        </w:rPr>
        <w:t>.</w:t>
      </w:r>
    </w:p>
    <w:p w:rsidR="00F407BB" w:rsidRPr="001A683D" w:rsidRDefault="00F407BB" w:rsidP="00F407BB">
      <w:pPr>
        <w:tabs>
          <w:tab w:val="left" w:pos="-124"/>
        </w:tabs>
        <w:spacing w:after="0" w:line="360" w:lineRule="auto"/>
        <w:jc w:val="both"/>
        <w:rPr>
          <w:rFonts w:eastAsia="Times New Roman"/>
          <w:szCs w:val="28"/>
          <w:lang w:eastAsia="ru-RU"/>
        </w:rPr>
      </w:pPr>
      <w:r w:rsidRPr="001A683D">
        <w:rPr>
          <w:rFonts w:eastAsia="Times New Roman"/>
          <w:szCs w:val="28"/>
          <w:lang w:eastAsia="ru-RU"/>
        </w:rPr>
        <w:tab/>
        <w:t>Значення ОТ &gt;102 см для чоловіків, &gt;89 см для жінок (за АТР III – 2001) й значення індексу ОТ/ОС &gt; 0,90 для чоловіків, &gt; 0,85 для жінок є ознакою абдомінального ожиріння.</w:t>
      </w:r>
    </w:p>
    <w:p w:rsidR="00F407BB" w:rsidRPr="001A683D" w:rsidRDefault="00F407BB" w:rsidP="00F407BB">
      <w:pPr>
        <w:spacing w:after="0" w:line="360" w:lineRule="auto"/>
        <w:ind w:firstLine="540"/>
        <w:jc w:val="both"/>
        <w:rPr>
          <w:rFonts w:eastAsia="Times New Roman"/>
          <w:szCs w:val="28"/>
          <w:lang w:eastAsia="ru-RU"/>
        </w:rPr>
      </w:pPr>
      <w:r w:rsidRPr="001A683D">
        <w:rPr>
          <w:rFonts w:eastAsia="Times New Roman"/>
          <w:szCs w:val="28"/>
          <w:lang w:eastAsia="ru-RU"/>
        </w:rPr>
        <w:t xml:space="preserve">При встановленні діагнозу ГСН ми користувалися класифікацією за Killip, раніше розробленою для СН при ГІМ. Вона заснована на клінічній симптоматиці й результатах рентгенографії органів грудної порожнини: стадія I − немає ознак серцевої недостатності; стадія II − (вологі хрипи в нижній половині легеневих полів, </w:t>
      </w:r>
      <w:r w:rsidRPr="001A683D">
        <w:rPr>
          <w:rFonts w:eastAsia="Times New Roman"/>
          <w:szCs w:val="28"/>
          <w:lang w:eastAsia="ru-RU"/>
        </w:rPr>
        <w:lastRenderedPageBreak/>
        <w:t>III тон, ознаки венозної гіпертензії в легенях); стадія III − важка серцева недостатність (явний набряк легенів; вологі хрипи поширюються більш, ніж на нижню половину легеневих полів); стадія IV − кардіогенний шок (систолічний АТ менш 90 мм рт. ст. з ознаками периферичної вазоконстрикції: олігурія, ціаноз, пітливість).</w:t>
      </w:r>
    </w:p>
    <w:p w:rsidR="00F407BB"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 xml:space="preserve">Для характеристики ожиріння використовувались ІМТ, середні значення якого дорівнювали у 1-й групі </w:t>
      </w:r>
      <w:r w:rsidRPr="0040480E">
        <w:rPr>
          <w:szCs w:val="28"/>
        </w:rPr>
        <w:t>35,43 ±0,52</w:t>
      </w:r>
      <w:r>
        <w:rPr>
          <w:szCs w:val="28"/>
        </w:rPr>
        <w:t xml:space="preserve"> </w:t>
      </w:r>
      <w:r w:rsidRPr="001A683D">
        <w:rPr>
          <w:rFonts w:eastAsia="Times New Roman"/>
          <w:szCs w:val="28"/>
          <w:lang w:eastAsia="ru-RU"/>
        </w:rPr>
        <w:t>кг/м</w:t>
      </w:r>
      <w:r w:rsidRPr="001A683D">
        <w:rPr>
          <w:rFonts w:eastAsia="Times New Roman"/>
          <w:szCs w:val="28"/>
          <w:vertAlign w:val="superscript"/>
          <w:lang w:eastAsia="ru-RU"/>
        </w:rPr>
        <w:t>2</w:t>
      </w:r>
      <w:r w:rsidRPr="001A683D">
        <w:rPr>
          <w:rFonts w:eastAsia="Times New Roman"/>
          <w:szCs w:val="28"/>
          <w:lang w:eastAsia="ru-RU"/>
        </w:rPr>
        <w:t xml:space="preserve">, а у 2-й групі – </w:t>
      </w:r>
      <w:r w:rsidRPr="0040480E">
        <w:rPr>
          <w:szCs w:val="28"/>
        </w:rPr>
        <w:t>24,04±0,56</w:t>
      </w:r>
      <w:r>
        <w:rPr>
          <w:szCs w:val="28"/>
        </w:rPr>
        <w:t xml:space="preserve"> </w:t>
      </w:r>
      <w:r w:rsidRPr="001A683D">
        <w:rPr>
          <w:rFonts w:eastAsia="Times New Roman"/>
          <w:szCs w:val="28"/>
          <w:lang w:eastAsia="ru-RU"/>
        </w:rPr>
        <w:t>кг/м</w:t>
      </w:r>
      <w:r w:rsidRPr="001A683D">
        <w:rPr>
          <w:rFonts w:eastAsia="Times New Roman"/>
          <w:szCs w:val="28"/>
          <w:vertAlign w:val="superscript"/>
          <w:lang w:eastAsia="ru-RU"/>
        </w:rPr>
        <w:t>2</w:t>
      </w:r>
      <w:r w:rsidRPr="001A683D">
        <w:rPr>
          <w:rFonts w:eastAsia="Times New Roman"/>
          <w:szCs w:val="28"/>
          <w:lang w:eastAsia="ru-RU"/>
        </w:rPr>
        <w:t xml:space="preserve">; було визначено наявність ожиріння за класифікацією IDF. Для встановлення типу розподілу жирової тканини було розраховано показник співвідношення ОТ/ОС, який у 1-й групі склав </w:t>
      </w:r>
      <w:r>
        <w:rPr>
          <w:rFonts w:eastAsia="Times New Roman"/>
          <w:szCs w:val="28"/>
        </w:rPr>
        <w:t>0,983</w:t>
      </w:r>
      <w:r w:rsidRPr="001A683D">
        <w:rPr>
          <w:rFonts w:eastAsia="Times New Roman"/>
          <w:szCs w:val="28"/>
        </w:rPr>
        <w:sym w:font="Symbol" w:char="F0B1"/>
      </w:r>
      <w:r w:rsidRPr="001A683D">
        <w:rPr>
          <w:rFonts w:eastAsia="Times New Roman"/>
          <w:szCs w:val="28"/>
        </w:rPr>
        <w:t>0,09</w:t>
      </w:r>
      <w:r w:rsidRPr="001A683D">
        <w:rPr>
          <w:rFonts w:eastAsia="Times New Roman"/>
          <w:szCs w:val="28"/>
          <w:lang w:eastAsia="ru-RU"/>
        </w:rPr>
        <w:t xml:space="preserve">, а у 2-й групі - </w:t>
      </w:r>
      <w:r w:rsidRPr="001A683D">
        <w:rPr>
          <w:rFonts w:eastAsia="Times New Roman"/>
          <w:szCs w:val="28"/>
        </w:rPr>
        <w:t>0,76</w:t>
      </w:r>
      <w:r>
        <w:rPr>
          <w:rFonts w:eastAsia="Times New Roman"/>
          <w:szCs w:val="28"/>
        </w:rPr>
        <w:t>1</w:t>
      </w:r>
      <w:r w:rsidRPr="001A683D">
        <w:rPr>
          <w:rFonts w:eastAsia="Times New Roman"/>
          <w:szCs w:val="28"/>
        </w:rPr>
        <w:sym w:font="Symbol" w:char="F0B1"/>
      </w:r>
      <w:r w:rsidRPr="001A683D">
        <w:rPr>
          <w:rFonts w:eastAsia="Times New Roman"/>
          <w:szCs w:val="28"/>
        </w:rPr>
        <w:t>0,012</w:t>
      </w:r>
      <w:r>
        <w:rPr>
          <w:rFonts w:eastAsia="Times New Roman"/>
          <w:szCs w:val="28"/>
          <w:lang w:eastAsia="ru-RU"/>
        </w:rPr>
        <w:t>. В 1-й групі було в</w:t>
      </w:r>
      <w:r w:rsidRPr="001A683D">
        <w:rPr>
          <w:rFonts w:eastAsia="Times New Roman"/>
          <w:szCs w:val="28"/>
          <w:lang w:eastAsia="ru-RU"/>
        </w:rPr>
        <w:t xml:space="preserve">становлено, що ожиріння І ступеня мали </w:t>
      </w:r>
      <w:r w:rsidRPr="001A683D">
        <w:rPr>
          <w:rFonts w:eastAsia="Times New Roman"/>
          <w:szCs w:val="28"/>
        </w:rPr>
        <w:t>3</w:t>
      </w:r>
      <w:r>
        <w:rPr>
          <w:rFonts w:eastAsia="Times New Roman"/>
          <w:szCs w:val="28"/>
        </w:rPr>
        <w:t>9</w:t>
      </w:r>
      <w:r w:rsidRPr="001A683D">
        <w:rPr>
          <w:rFonts w:eastAsia="Times New Roman"/>
          <w:szCs w:val="28"/>
        </w:rPr>
        <w:t xml:space="preserve"> хворих (</w:t>
      </w:r>
      <w:r>
        <w:rPr>
          <w:rFonts w:eastAsia="Times New Roman"/>
          <w:szCs w:val="28"/>
        </w:rPr>
        <w:t>52</w:t>
      </w:r>
      <w:r w:rsidRPr="001A683D">
        <w:rPr>
          <w:rFonts w:eastAsia="Times New Roman"/>
          <w:szCs w:val="28"/>
        </w:rPr>
        <w:t xml:space="preserve"> %)</w:t>
      </w:r>
      <w:r w:rsidRPr="001A683D">
        <w:rPr>
          <w:rFonts w:eastAsia="Times New Roman"/>
          <w:szCs w:val="28"/>
          <w:lang w:eastAsia="ru-RU"/>
        </w:rPr>
        <w:t xml:space="preserve">, ІІ </w:t>
      </w:r>
      <w:r>
        <w:rPr>
          <w:rFonts w:eastAsia="Times New Roman"/>
          <w:szCs w:val="28"/>
          <w:lang w:eastAsia="ru-RU"/>
        </w:rPr>
        <w:t xml:space="preserve">ступеня </w:t>
      </w:r>
      <w:r w:rsidRPr="001A683D">
        <w:rPr>
          <w:rFonts w:eastAsia="Times New Roman"/>
          <w:szCs w:val="28"/>
          <w:lang w:eastAsia="ru-RU"/>
        </w:rPr>
        <w:t xml:space="preserve">– </w:t>
      </w:r>
      <w:r>
        <w:rPr>
          <w:rFonts w:eastAsia="Times New Roman"/>
          <w:szCs w:val="28"/>
        </w:rPr>
        <w:t>31</w:t>
      </w:r>
      <w:r w:rsidRPr="001A683D">
        <w:rPr>
          <w:rFonts w:eastAsia="Times New Roman"/>
          <w:szCs w:val="28"/>
        </w:rPr>
        <w:t xml:space="preserve"> (</w:t>
      </w:r>
      <w:r>
        <w:rPr>
          <w:rFonts w:eastAsia="Times New Roman"/>
          <w:szCs w:val="28"/>
        </w:rPr>
        <w:t xml:space="preserve">41,3 %) і III ступеня – 5 (6,66 %) осіб </w:t>
      </w:r>
      <w:r w:rsidRPr="001A683D">
        <w:rPr>
          <w:rFonts w:eastAsia="Times New Roman"/>
          <w:szCs w:val="28"/>
          <w:lang w:eastAsia="ru-RU"/>
        </w:rPr>
        <w:t xml:space="preserve">згідно ІМТ. В 1-й групі </w:t>
      </w:r>
      <w:r>
        <w:rPr>
          <w:rFonts w:eastAsia="Times New Roman"/>
          <w:szCs w:val="28"/>
          <w:lang w:eastAsia="ru-RU"/>
        </w:rPr>
        <w:t>32</w:t>
      </w:r>
      <w:r w:rsidRPr="001A683D">
        <w:rPr>
          <w:rFonts w:eastAsia="Times New Roman"/>
          <w:szCs w:val="28"/>
          <w:lang w:eastAsia="ru-RU"/>
        </w:rPr>
        <w:t xml:space="preserve"> хворих (</w:t>
      </w:r>
      <w:r>
        <w:rPr>
          <w:rFonts w:eastAsia="Times New Roman"/>
          <w:szCs w:val="28"/>
          <w:lang w:eastAsia="ru-RU"/>
        </w:rPr>
        <w:t>42,7</w:t>
      </w:r>
      <w:r w:rsidRPr="001A683D">
        <w:rPr>
          <w:rFonts w:eastAsia="Times New Roman"/>
          <w:szCs w:val="28"/>
          <w:lang w:eastAsia="ru-RU"/>
        </w:rPr>
        <w:t xml:space="preserve"> %) мали ГСН, з яких 2 клас за </w:t>
      </w:r>
      <w:r w:rsidRPr="001A683D">
        <w:rPr>
          <w:rFonts w:eastAsia="Times New Roman"/>
          <w:szCs w:val="28"/>
          <w:lang w:val="en-US" w:eastAsia="ru-RU"/>
        </w:rPr>
        <w:t>Killip</w:t>
      </w:r>
      <w:r w:rsidRPr="001A683D">
        <w:rPr>
          <w:rFonts w:eastAsia="Times New Roman"/>
          <w:szCs w:val="28"/>
          <w:lang w:eastAsia="ru-RU"/>
        </w:rPr>
        <w:t xml:space="preserve"> – у </w:t>
      </w:r>
      <w:r>
        <w:rPr>
          <w:rFonts w:eastAsia="Times New Roman"/>
          <w:szCs w:val="28"/>
          <w:lang w:eastAsia="ru-RU"/>
        </w:rPr>
        <w:t>17</w:t>
      </w:r>
      <w:r w:rsidRPr="001A683D">
        <w:rPr>
          <w:rFonts w:eastAsia="Times New Roman"/>
          <w:szCs w:val="28"/>
          <w:lang w:eastAsia="ru-RU"/>
        </w:rPr>
        <w:t xml:space="preserve"> хворих (</w:t>
      </w:r>
      <w:r>
        <w:rPr>
          <w:rFonts w:eastAsia="Times New Roman"/>
          <w:szCs w:val="28"/>
        </w:rPr>
        <w:t>44,8</w:t>
      </w:r>
      <w:r w:rsidRPr="001A683D">
        <w:rPr>
          <w:rFonts w:eastAsia="Times New Roman"/>
          <w:szCs w:val="28"/>
          <w:lang w:eastAsia="ru-RU"/>
        </w:rPr>
        <w:t xml:space="preserve"> %), 3 клас – у </w:t>
      </w:r>
      <w:r>
        <w:rPr>
          <w:rFonts w:eastAsia="Times New Roman"/>
          <w:szCs w:val="28"/>
          <w:lang w:eastAsia="ru-RU"/>
        </w:rPr>
        <w:t>15</w:t>
      </w:r>
      <w:r w:rsidRPr="001A683D">
        <w:rPr>
          <w:rFonts w:eastAsia="Times New Roman"/>
          <w:szCs w:val="28"/>
          <w:lang w:eastAsia="ru-RU"/>
        </w:rPr>
        <w:t xml:space="preserve"> хворих (5</w:t>
      </w:r>
      <w:r>
        <w:rPr>
          <w:rFonts w:eastAsia="Times New Roman"/>
          <w:szCs w:val="28"/>
          <w:lang w:eastAsia="ru-RU"/>
        </w:rPr>
        <w:t xml:space="preserve">5,2 %), в 2-й групі було 6 (20 %) осіб з ГСН, серед яких 2 та 3 клас за </w:t>
      </w:r>
      <w:r w:rsidRPr="001A683D">
        <w:rPr>
          <w:rFonts w:eastAsia="Times New Roman"/>
          <w:szCs w:val="28"/>
          <w:lang w:val="en-US" w:eastAsia="ru-RU"/>
        </w:rPr>
        <w:t>Killip</w:t>
      </w:r>
      <w:r>
        <w:rPr>
          <w:rFonts w:eastAsia="Times New Roman"/>
          <w:szCs w:val="28"/>
          <w:lang w:eastAsia="ru-RU"/>
        </w:rPr>
        <w:t xml:space="preserve"> визначалися у 4 (66,7 %) та 2 (33,3 %) осіб відповідно.</w:t>
      </w:r>
      <w:r w:rsidRPr="001A683D">
        <w:rPr>
          <w:rFonts w:eastAsia="Times New Roman"/>
          <w:szCs w:val="28"/>
          <w:lang w:eastAsia="ru-RU"/>
        </w:rPr>
        <w:t xml:space="preserve"> У </w:t>
      </w:r>
      <w:r>
        <w:rPr>
          <w:rFonts w:eastAsia="Times New Roman"/>
          <w:szCs w:val="28"/>
          <w:lang w:eastAsia="ru-RU"/>
        </w:rPr>
        <w:t>5</w:t>
      </w:r>
      <w:r w:rsidRPr="001A683D">
        <w:rPr>
          <w:rFonts w:eastAsia="Times New Roman"/>
          <w:szCs w:val="28"/>
          <w:lang w:eastAsia="ru-RU"/>
        </w:rPr>
        <w:t xml:space="preserve"> обстежених хворих 1-ї групи мав місце рецидив ІМ (</w:t>
      </w:r>
      <w:r>
        <w:rPr>
          <w:rFonts w:eastAsia="Times New Roman"/>
          <w:szCs w:val="28"/>
          <w:lang w:eastAsia="ru-RU"/>
        </w:rPr>
        <w:t xml:space="preserve">6,66 %), в той час як в групі порівняння рецидиву зафіксовано не було. </w:t>
      </w:r>
    </w:p>
    <w:p w:rsidR="00F407BB"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При аналізі даних АТ було визначено у всіх пацієнтів (100 %). Середній АТ у хворих 1-ї групи склав: систолічний артеріальний тиск (САТ) – 14</w:t>
      </w:r>
      <w:r>
        <w:rPr>
          <w:rFonts w:eastAsia="Times New Roman"/>
          <w:szCs w:val="28"/>
          <w:lang w:eastAsia="ru-RU"/>
        </w:rPr>
        <w:t>8</w:t>
      </w:r>
      <w:r w:rsidRPr="001A683D">
        <w:rPr>
          <w:rFonts w:eastAsia="Times New Roman"/>
          <w:szCs w:val="28"/>
          <w:lang w:eastAsia="ru-RU"/>
        </w:rPr>
        <w:t>,</w:t>
      </w:r>
      <w:r>
        <w:rPr>
          <w:rFonts w:eastAsia="Times New Roman"/>
          <w:szCs w:val="28"/>
          <w:lang w:eastAsia="ru-RU"/>
        </w:rPr>
        <w:t>6</w:t>
      </w:r>
      <w:r w:rsidRPr="001A683D">
        <w:rPr>
          <w:rFonts w:eastAsia="Times New Roman"/>
          <w:szCs w:val="28"/>
          <w:lang w:eastAsia="ru-RU"/>
        </w:rPr>
        <w:t>±3,2</w:t>
      </w:r>
      <w:r>
        <w:rPr>
          <w:rFonts w:eastAsia="Times New Roman"/>
          <w:szCs w:val="28"/>
          <w:lang w:eastAsia="ru-RU"/>
        </w:rPr>
        <w:t>1</w:t>
      </w:r>
      <w:r w:rsidRPr="001A683D">
        <w:rPr>
          <w:rFonts w:eastAsia="Times New Roman"/>
          <w:szCs w:val="28"/>
          <w:lang w:eastAsia="ru-RU"/>
        </w:rPr>
        <w:t xml:space="preserve"> мм.рт.ст., діастолічний артеріальний тиск (ДАТ) – </w:t>
      </w:r>
      <w:r>
        <w:rPr>
          <w:rFonts w:eastAsia="Times New Roman"/>
          <w:szCs w:val="28"/>
          <w:lang w:eastAsia="ru-RU"/>
        </w:rPr>
        <w:t>91</w:t>
      </w:r>
      <w:r w:rsidRPr="001A683D">
        <w:rPr>
          <w:rFonts w:eastAsia="Times New Roman"/>
          <w:szCs w:val="28"/>
          <w:lang w:eastAsia="ru-RU"/>
        </w:rPr>
        <w:t>,</w:t>
      </w:r>
      <w:r>
        <w:rPr>
          <w:rFonts w:eastAsia="Times New Roman"/>
          <w:szCs w:val="28"/>
          <w:lang w:eastAsia="ru-RU"/>
        </w:rPr>
        <w:t>6</w:t>
      </w:r>
      <w:r w:rsidRPr="001A683D">
        <w:rPr>
          <w:rFonts w:eastAsia="Times New Roman"/>
          <w:szCs w:val="28"/>
          <w:lang w:eastAsia="ru-RU"/>
        </w:rPr>
        <w:t>3±1,</w:t>
      </w:r>
      <w:r>
        <w:rPr>
          <w:rFonts w:eastAsia="Times New Roman"/>
          <w:szCs w:val="28"/>
          <w:lang w:eastAsia="ru-RU"/>
        </w:rPr>
        <w:t>74</w:t>
      </w:r>
      <w:r w:rsidRPr="001A683D">
        <w:rPr>
          <w:rFonts w:eastAsia="Times New Roman"/>
          <w:szCs w:val="28"/>
          <w:lang w:eastAsia="ru-RU"/>
        </w:rPr>
        <w:t xml:space="preserve"> мм.рт.ст, а у 2-й групі – САТ – 13</w:t>
      </w:r>
      <w:r>
        <w:rPr>
          <w:rFonts w:eastAsia="Times New Roman"/>
          <w:szCs w:val="28"/>
          <w:lang w:eastAsia="ru-RU"/>
        </w:rPr>
        <w:t>6</w:t>
      </w:r>
      <w:r w:rsidRPr="001A683D">
        <w:rPr>
          <w:rFonts w:eastAsia="Times New Roman"/>
          <w:szCs w:val="28"/>
          <w:lang w:eastAsia="ru-RU"/>
        </w:rPr>
        <w:t>,3±</w:t>
      </w:r>
      <w:r>
        <w:rPr>
          <w:rFonts w:eastAsia="Times New Roman"/>
          <w:szCs w:val="28"/>
          <w:lang w:eastAsia="ru-RU"/>
        </w:rPr>
        <w:t>5</w:t>
      </w:r>
      <w:r w:rsidRPr="001A683D">
        <w:rPr>
          <w:rFonts w:eastAsia="Times New Roman"/>
          <w:szCs w:val="28"/>
          <w:lang w:eastAsia="ru-RU"/>
        </w:rPr>
        <w:t>,</w:t>
      </w:r>
      <w:r>
        <w:rPr>
          <w:rFonts w:eastAsia="Times New Roman"/>
          <w:szCs w:val="28"/>
          <w:lang w:eastAsia="ru-RU"/>
        </w:rPr>
        <w:t>2</w:t>
      </w:r>
      <w:r w:rsidRPr="001A683D">
        <w:rPr>
          <w:rFonts w:eastAsia="Times New Roman"/>
          <w:szCs w:val="28"/>
          <w:lang w:eastAsia="ru-RU"/>
        </w:rPr>
        <w:t>6 мм.рт.ст., ДАТ – 82,</w:t>
      </w:r>
      <w:r>
        <w:rPr>
          <w:rFonts w:eastAsia="Times New Roman"/>
          <w:szCs w:val="28"/>
          <w:lang w:eastAsia="ru-RU"/>
        </w:rPr>
        <w:t>11</w:t>
      </w:r>
      <w:r w:rsidRPr="001A683D">
        <w:rPr>
          <w:rFonts w:eastAsia="Times New Roman"/>
          <w:szCs w:val="28"/>
          <w:lang w:eastAsia="ru-RU"/>
        </w:rPr>
        <w:t>±</w:t>
      </w:r>
      <w:r>
        <w:rPr>
          <w:rFonts w:eastAsia="Times New Roman"/>
          <w:szCs w:val="28"/>
          <w:lang w:eastAsia="ru-RU"/>
        </w:rPr>
        <w:t>3</w:t>
      </w:r>
      <w:r w:rsidRPr="001A683D">
        <w:rPr>
          <w:rFonts w:eastAsia="Times New Roman"/>
          <w:szCs w:val="28"/>
          <w:lang w:eastAsia="ru-RU"/>
        </w:rPr>
        <w:t>,</w:t>
      </w:r>
      <w:r>
        <w:rPr>
          <w:rFonts w:eastAsia="Times New Roman"/>
          <w:szCs w:val="28"/>
          <w:lang w:eastAsia="ru-RU"/>
        </w:rPr>
        <w:t>7</w:t>
      </w:r>
      <w:r w:rsidRPr="001A683D">
        <w:rPr>
          <w:rFonts w:eastAsia="Times New Roman"/>
          <w:szCs w:val="28"/>
          <w:lang w:eastAsia="ru-RU"/>
        </w:rPr>
        <w:t xml:space="preserve">2 мм.рт.ст. </w:t>
      </w:r>
      <w:r>
        <w:rPr>
          <w:rFonts w:eastAsia="Times New Roman"/>
          <w:szCs w:val="28"/>
          <w:lang w:eastAsia="ru-RU"/>
        </w:rPr>
        <w:t xml:space="preserve"> Наявність АГ була присутня в обох групах в 100% випадків. </w:t>
      </w:r>
    </w:p>
    <w:p w:rsidR="00F407BB" w:rsidRPr="001A683D" w:rsidRDefault="00F407BB" w:rsidP="00F407BB">
      <w:pPr>
        <w:spacing w:after="0" w:line="360" w:lineRule="auto"/>
        <w:ind w:firstLine="708"/>
        <w:jc w:val="both"/>
        <w:rPr>
          <w:rFonts w:eastAsia="Times New Roman"/>
          <w:szCs w:val="28"/>
        </w:rPr>
      </w:pPr>
      <w:r>
        <w:rPr>
          <w:rFonts w:eastAsia="Times New Roman"/>
          <w:szCs w:val="28"/>
          <w:lang w:eastAsia="ru-RU"/>
        </w:rPr>
        <w:t xml:space="preserve">Серед усіх хворих було виявлено 16 осіб з повторним ІМ (15,2 %), серед яких 10 (62,5 %) страждали на супутнє ожиріння, а 6 (37,5 %) не мали метаболічних порушень. У 89 осіб (84,8 %) ГІМ виник вперше. При розподілі хворих за ураженою стінкою було визначено. що 36 хворих мали ураження задньої стінки (34,3 %), 47 (44,8 %) – передньої, у 12 хворих (11,4 %) визначено поєднане ураження передньої та бокової стінок, а у 10 (9,5 %) – задньої та бокової стінок. </w:t>
      </w:r>
    </w:p>
    <w:p w:rsidR="00F407BB" w:rsidRDefault="00F407BB" w:rsidP="00F407BB">
      <w:pPr>
        <w:spacing w:after="0" w:line="360" w:lineRule="auto"/>
        <w:ind w:firstLine="709"/>
        <w:jc w:val="both"/>
        <w:rPr>
          <w:rFonts w:eastAsia="Times New Roman"/>
          <w:szCs w:val="28"/>
        </w:rPr>
      </w:pPr>
      <w:r w:rsidRPr="001A683D">
        <w:rPr>
          <w:rFonts w:eastAsia="Times New Roman"/>
          <w:szCs w:val="28"/>
          <w:lang w:eastAsia="ru-RU"/>
        </w:rPr>
        <w:lastRenderedPageBreak/>
        <w:t xml:space="preserve">До загального клінічного дослідження входило визначення </w:t>
      </w:r>
      <w:r>
        <w:rPr>
          <w:rFonts w:eastAsia="Times New Roman"/>
          <w:szCs w:val="28"/>
          <w:lang w:eastAsia="ru-RU"/>
        </w:rPr>
        <w:t>електрокардіографії (</w:t>
      </w:r>
      <w:r w:rsidRPr="001A683D">
        <w:rPr>
          <w:rFonts w:eastAsia="Times New Roman"/>
          <w:szCs w:val="28"/>
          <w:lang w:eastAsia="ru-RU"/>
        </w:rPr>
        <w:t>ЕКГ</w:t>
      </w:r>
      <w:r>
        <w:rPr>
          <w:rFonts w:eastAsia="Times New Roman"/>
          <w:szCs w:val="28"/>
          <w:lang w:eastAsia="ru-RU"/>
        </w:rPr>
        <w:t>)</w:t>
      </w:r>
      <w:r w:rsidRPr="001A683D">
        <w:rPr>
          <w:rFonts w:eastAsia="Times New Roman"/>
          <w:szCs w:val="28"/>
        </w:rPr>
        <w:t>.</w:t>
      </w:r>
      <w:r>
        <w:rPr>
          <w:rFonts w:eastAsia="Times New Roman"/>
          <w:szCs w:val="28"/>
        </w:rPr>
        <w:t xml:space="preserve"> У пацієнтів з наявністю супутнього ожиріння було зареєстровано 48 випадків (64 %) Q-позитивного ГІМ та 27 випадків (36 %) Q-негативного ГІМ, тоді як в групі хворих без ожиріння зафіксовано 16 (53,3 %) та 14 (46,7 %) випадків Q-позитивного та Q-негативного ГІМ відповідно. У хворих на ГІМ за наявності або відсутності ожиріння за даними ЕКГ спостерігалося порушення ритму та провідності. Так у 16 хворих 1 групи (21,3 %) було зареєстровано порушення ритму у вигляді фібриляції передсердь (ФП), з них у 4 осіб (25 %) спостерігалася постійна форма ФП, а у 12 (75 %) – персистуюча форма з наявністю пароксизму на момент госпіталізації. В групі порівняння було зафіксовано 4 випадки ФП, з яких 100 % припадало на пароксизм персистуючої форми. </w:t>
      </w:r>
    </w:p>
    <w:p w:rsidR="00F407BB" w:rsidRPr="0025279E" w:rsidRDefault="00F407BB" w:rsidP="00F407BB">
      <w:pPr>
        <w:spacing w:after="0" w:line="360" w:lineRule="auto"/>
        <w:ind w:firstLine="709"/>
        <w:jc w:val="both"/>
        <w:rPr>
          <w:rFonts w:eastAsia="Times New Roman"/>
          <w:szCs w:val="28"/>
        </w:rPr>
      </w:pPr>
      <w:r>
        <w:rPr>
          <w:rFonts w:eastAsia="Times New Roman"/>
          <w:szCs w:val="28"/>
        </w:rPr>
        <w:t>Екстрасистолічна аритмія спостерігалась у 39 хворих на ГІМ з супутнім ожирінням (52 %) та 14 хворих на ізольований ГІМ (46,7 %). Так в першій групі шлуночкові екстрасистоли були зафіксовані у 12 осіб (30,8 %), суправентрикулярні – у 27 осіб (69,2 %), а в другій групі у 4 (28,6 %) та 10 (71,4 %) хворих відповідно. Фатальні порушення ритму у вигляді фібриляції шлуночків (ФШ) було визначено у 2 хворих основної групи (2,67 %). В обох випадках хворі отримали реанімаційні заходи в повному обсязі з позитивним ефектом. В групі порівняння ФШ не спостерігалось. Що стосується порушення провідності, 13 хворих (17,3 %) на ГІМ з супутнім ожиріння мали атріовентрикулярну (АВ) блокаду, з яких АВ-блокада I ступеня зафіксована у 9 осіб (69,2 %), II ступеня – у 4 осіб (30,8 %). В групі хворих на ГІМ без ожиріння виявлено 3 випадки АВ-блокади (10 %), серед яких 100% - АВ-блокада I ступеня. При проведенні ЕКГ-дослідження б</w:t>
      </w:r>
      <w:r w:rsidRPr="001B35C3">
        <w:rPr>
          <w:rFonts w:eastAsia="Times New Roman"/>
          <w:szCs w:val="28"/>
        </w:rPr>
        <w:t>локада</w:t>
      </w:r>
      <w:r>
        <w:rPr>
          <w:rFonts w:eastAsia="Times New Roman"/>
          <w:szCs w:val="28"/>
        </w:rPr>
        <w:t xml:space="preserve"> лівої ніжки пучка Гіса (БЛНПГ)</w:t>
      </w:r>
      <w:r w:rsidRPr="001B35C3">
        <w:rPr>
          <w:rFonts w:eastAsia="Times New Roman"/>
          <w:szCs w:val="28"/>
        </w:rPr>
        <w:t xml:space="preserve"> </w:t>
      </w:r>
      <w:r>
        <w:rPr>
          <w:rFonts w:eastAsia="Times New Roman"/>
          <w:szCs w:val="28"/>
        </w:rPr>
        <w:t xml:space="preserve">в 1-й групі була зареєстрована у 23 осіб (30,6 %), в 2-й – у 8 осіб (26,6 %). Також відзначалося 24 випадки блокади правої ніжки пучка Гіса серед хворих основної групи (32 %) та 13 – серед хворих групи порівняння (43,3 %). </w:t>
      </w:r>
    </w:p>
    <w:p w:rsidR="00F407BB" w:rsidRPr="004411C5" w:rsidRDefault="00F407BB" w:rsidP="00F407BB">
      <w:pPr>
        <w:spacing w:after="0" w:line="360" w:lineRule="auto"/>
        <w:ind w:firstLine="709"/>
        <w:jc w:val="both"/>
        <w:rPr>
          <w:rFonts w:eastAsia="Times New Roman"/>
          <w:szCs w:val="28"/>
          <w:lang w:eastAsia="ru-RU"/>
        </w:rPr>
      </w:pPr>
      <w:r>
        <w:rPr>
          <w:rFonts w:eastAsia="Times New Roman"/>
          <w:szCs w:val="28"/>
        </w:rPr>
        <w:lastRenderedPageBreak/>
        <w:t>Згідно даних ехокардіографічного (ЕхоКГ) дослідження</w:t>
      </w:r>
      <w:r w:rsidRPr="001A683D">
        <w:rPr>
          <w:rFonts w:eastAsia="Times New Roman"/>
          <w:szCs w:val="28"/>
          <w:lang w:eastAsia="ru-RU"/>
        </w:rPr>
        <w:t xml:space="preserve"> морфо-функціональних показників</w:t>
      </w:r>
      <w:r>
        <w:rPr>
          <w:rFonts w:eastAsia="Times New Roman"/>
          <w:szCs w:val="28"/>
          <w:lang w:eastAsia="ru-RU"/>
        </w:rPr>
        <w:t>, проведеного протягом першої доби захворювання</w:t>
      </w:r>
      <w:r w:rsidRPr="001A683D">
        <w:rPr>
          <w:rFonts w:eastAsia="Times New Roman"/>
          <w:szCs w:val="28"/>
          <w:lang w:eastAsia="ru-RU"/>
        </w:rPr>
        <w:t xml:space="preserve"> була визначена систолічна дисфункція</w:t>
      </w:r>
      <w:r>
        <w:rPr>
          <w:rFonts w:eastAsia="Times New Roman"/>
          <w:szCs w:val="28"/>
          <w:lang w:eastAsia="ru-RU"/>
        </w:rPr>
        <w:t xml:space="preserve"> лівого шлуночка</w:t>
      </w:r>
      <w:r w:rsidRPr="001A683D">
        <w:rPr>
          <w:rFonts w:eastAsia="Times New Roman"/>
          <w:szCs w:val="28"/>
          <w:lang w:eastAsia="ru-RU"/>
        </w:rPr>
        <w:t xml:space="preserve"> </w:t>
      </w:r>
      <w:r>
        <w:rPr>
          <w:rFonts w:eastAsia="Times New Roman"/>
          <w:szCs w:val="28"/>
          <w:lang w:eastAsia="ru-RU"/>
        </w:rPr>
        <w:t>у вигляді зниження фракції викиду &lt;40 %</w:t>
      </w:r>
      <w:r w:rsidRPr="001A683D">
        <w:rPr>
          <w:rFonts w:eastAsia="Times New Roman"/>
          <w:szCs w:val="28"/>
          <w:lang w:eastAsia="ru-RU"/>
        </w:rPr>
        <w:t xml:space="preserve">у 1-й групі – у </w:t>
      </w:r>
      <w:r>
        <w:rPr>
          <w:rFonts w:eastAsia="Times New Roman"/>
          <w:szCs w:val="28"/>
          <w:lang w:eastAsia="ru-RU"/>
        </w:rPr>
        <w:t>46</w:t>
      </w:r>
      <w:r w:rsidRPr="001A683D">
        <w:rPr>
          <w:rFonts w:eastAsia="Times New Roman"/>
          <w:szCs w:val="28"/>
          <w:lang w:eastAsia="ru-RU"/>
        </w:rPr>
        <w:t xml:space="preserve"> хворих (</w:t>
      </w:r>
      <w:r>
        <w:rPr>
          <w:rFonts w:eastAsia="Times New Roman"/>
          <w:szCs w:val="28"/>
          <w:lang w:eastAsia="ru-RU"/>
        </w:rPr>
        <w:t xml:space="preserve">61,3 %), у 2-й групі – у 14 </w:t>
      </w:r>
      <w:r w:rsidRPr="001A683D">
        <w:rPr>
          <w:rFonts w:eastAsia="Times New Roman"/>
          <w:szCs w:val="28"/>
          <w:lang w:eastAsia="ru-RU"/>
        </w:rPr>
        <w:t>хворих (</w:t>
      </w:r>
      <w:r>
        <w:rPr>
          <w:rFonts w:eastAsia="Times New Roman"/>
          <w:szCs w:val="28"/>
          <w:lang w:eastAsia="ru-RU"/>
        </w:rPr>
        <w:t>4</w:t>
      </w:r>
      <w:r w:rsidRPr="001B35C3">
        <w:rPr>
          <w:rFonts w:eastAsia="Times New Roman"/>
          <w:szCs w:val="28"/>
          <w:lang w:eastAsia="ru-RU"/>
        </w:rPr>
        <w:t>6,</w:t>
      </w:r>
      <w:r>
        <w:rPr>
          <w:rFonts w:eastAsia="Times New Roman"/>
          <w:szCs w:val="28"/>
          <w:lang w:eastAsia="ru-RU"/>
        </w:rPr>
        <w:t>7</w:t>
      </w:r>
      <w:r w:rsidRPr="001A683D">
        <w:rPr>
          <w:rFonts w:eastAsia="Times New Roman"/>
          <w:szCs w:val="28"/>
          <w:lang w:eastAsia="ru-RU"/>
        </w:rPr>
        <w:t xml:space="preserve"> %). </w:t>
      </w:r>
    </w:p>
    <w:p w:rsidR="00F407BB" w:rsidRDefault="00F407BB" w:rsidP="00F407BB">
      <w:pPr>
        <w:spacing w:after="0" w:line="360" w:lineRule="auto"/>
        <w:ind w:firstLine="709"/>
        <w:jc w:val="both"/>
        <w:rPr>
          <w:rFonts w:eastAsia="Times New Roman"/>
          <w:szCs w:val="28"/>
          <w:lang w:eastAsia="ru-RU"/>
        </w:rPr>
      </w:pPr>
      <w:r w:rsidRPr="00DB2FA2">
        <w:rPr>
          <w:rFonts w:eastAsia="Times New Roman"/>
          <w:szCs w:val="28"/>
          <w:lang w:eastAsia="ru-RU"/>
        </w:rPr>
        <w:t>З метою оцінки серцево-судинного сполучення (ССС) проводилось обчислення співвідношення ефективної еластичності (Еа) до кінцево-систолічної еластичності ЛШ (</w:t>
      </w:r>
      <w:r>
        <w:rPr>
          <w:rFonts w:eastAsia="Times New Roman"/>
          <w:szCs w:val="28"/>
          <w:lang w:val="en-US" w:eastAsia="ru-RU"/>
        </w:rPr>
        <w:t>Es</w:t>
      </w:r>
      <w:r w:rsidRPr="00DB2FA2">
        <w:rPr>
          <w:rFonts w:eastAsia="Times New Roman"/>
          <w:szCs w:val="28"/>
          <w:lang w:eastAsia="ru-RU"/>
        </w:rPr>
        <w:t>) на підставі аналізу кривої об’єм-тиск ЛШ: ССС=Еа/</w:t>
      </w:r>
      <w:r>
        <w:rPr>
          <w:rFonts w:eastAsia="Times New Roman"/>
          <w:szCs w:val="28"/>
          <w:lang w:val="en-US" w:eastAsia="ru-RU"/>
        </w:rPr>
        <w:t>Es</w:t>
      </w:r>
      <w:r w:rsidRPr="00DB2FA2">
        <w:rPr>
          <w:rFonts w:eastAsia="Times New Roman"/>
          <w:szCs w:val="28"/>
          <w:lang w:eastAsia="ru-RU"/>
        </w:rPr>
        <w:t xml:space="preserve">. </w:t>
      </w:r>
      <w:r w:rsidRPr="004411C5">
        <w:rPr>
          <w:rFonts w:eastAsia="Times New Roman"/>
          <w:szCs w:val="28"/>
          <w:lang w:eastAsia="ru-RU"/>
        </w:rPr>
        <w:t xml:space="preserve">Еа та </w:t>
      </w:r>
      <w:r>
        <w:rPr>
          <w:rFonts w:eastAsia="Times New Roman"/>
          <w:szCs w:val="28"/>
          <w:lang w:val="en-US" w:eastAsia="ru-RU"/>
        </w:rPr>
        <w:t>Es</w:t>
      </w:r>
      <w:r>
        <w:rPr>
          <w:rFonts w:eastAsia="Times New Roman"/>
          <w:szCs w:val="28"/>
          <w:lang w:eastAsia="ru-RU"/>
        </w:rPr>
        <w:t xml:space="preserve"> розраховувались неінвазивно за ехокардіографічними показниками.</w:t>
      </w:r>
    </w:p>
    <w:p w:rsidR="00F407BB" w:rsidRDefault="00F407BB" w:rsidP="00F407BB">
      <w:pPr>
        <w:spacing w:after="0" w:line="360" w:lineRule="auto"/>
        <w:ind w:firstLine="709"/>
        <w:jc w:val="center"/>
        <w:rPr>
          <w:rFonts w:eastAsia="Times New Roman"/>
          <w:i/>
          <w:szCs w:val="28"/>
          <w:lang w:eastAsia="ru-RU"/>
        </w:rPr>
      </w:pPr>
      <w:r w:rsidRPr="00180028">
        <w:rPr>
          <w:rFonts w:eastAsia="Times New Roman"/>
          <w:i/>
          <w:szCs w:val="28"/>
          <w:lang w:eastAsia="ru-RU"/>
        </w:rPr>
        <w:t>Еа = КСТ / УО</w:t>
      </w:r>
    </w:p>
    <w:p w:rsidR="00F407BB" w:rsidRPr="00180028" w:rsidRDefault="00F407BB" w:rsidP="00F407BB">
      <w:pPr>
        <w:spacing w:after="0" w:line="360" w:lineRule="auto"/>
        <w:ind w:firstLine="709"/>
        <w:jc w:val="both"/>
        <w:rPr>
          <w:rFonts w:eastAsia="Times New Roman"/>
          <w:szCs w:val="28"/>
          <w:lang w:eastAsia="ru-RU"/>
        </w:rPr>
      </w:pPr>
      <w:r w:rsidRPr="00180028">
        <w:rPr>
          <w:rFonts w:eastAsia="Times New Roman"/>
          <w:szCs w:val="28"/>
          <w:lang w:eastAsia="ru-RU"/>
        </w:rPr>
        <w:t>Кінцевий систолічний тиск (КСТ) розраховувався за формулою:</w:t>
      </w:r>
    </w:p>
    <w:p w:rsidR="00F407BB" w:rsidRDefault="00F407BB" w:rsidP="00F407BB">
      <w:pPr>
        <w:spacing w:after="0" w:line="360" w:lineRule="auto"/>
        <w:ind w:firstLine="709"/>
        <w:jc w:val="center"/>
        <w:rPr>
          <w:rFonts w:eastAsia="Times New Roman"/>
          <w:i/>
          <w:szCs w:val="28"/>
          <w:lang w:eastAsia="ru-RU"/>
        </w:rPr>
      </w:pPr>
      <w:r>
        <w:rPr>
          <w:rFonts w:eastAsia="Times New Roman"/>
          <w:i/>
          <w:szCs w:val="28"/>
          <w:lang w:eastAsia="ru-RU"/>
        </w:rPr>
        <w:t>КСТ = 0,9 × САТ,</w:t>
      </w:r>
    </w:p>
    <w:p w:rsidR="00F407BB" w:rsidRDefault="00F407BB" w:rsidP="00F407BB">
      <w:pPr>
        <w:spacing w:after="0" w:line="360" w:lineRule="auto"/>
        <w:ind w:firstLine="709"/>
        <w:jc w:val="both"/>
        <w:rPr>
          <w:rFonts w:eastAsia="Times New Roman"/>
          <w:szCs w:val="28"/>
          <w:lang w:eastAsia="ru-RU"/>
        </w:rPr>
      </w:pPr>
      <w:r>
        <w:rPr>
          <w:rFonts w:eastAsia="Times New Roman"/>
          <w:szCs w:val="28"/>
          <w:lang w:eastAsia="ru-RU"/>
        </w:rPr>
        <w:t>де САТ – систолічний артеріальний тиск.</w:t>
      </w:r>
    </w:p>
    <w:p w:rsidR="00F407BB" w:rsidRDefault="00F407BB" w:rsidP="00F407BB">
      <w:pPr>
        <w:spacing w:after="0" w:line="360" w:lineRule="auto"/>
        <w:ind w:firstLine="709"/>
        <w:jc w:val="center"/>
        <w:rPr>
          <w:rFonts w:eastAsia="Times New Roman"/>
          <w:i/>
          <w:szCs w:val="28"/>
          <w:lang w:eastAsia="ru-RU"/>
        </w:rPr>
      </w:pPr>
      <w:r w:rsidRPr="00180028">
        <w:rPr>
          <w:rFonts w:eastAsia="Times New Roman"/>
          <w:i/>
          <w:szCs w:val="28"/>
          <w:lang w:val="en-US" w:eastAsia="ru-RU"/>
        </w:rPr>
        <w:t>Es</w:t>
      </w:r>
      <w:r w:rsidRPr="00180028">
        <w:rPr>
          <w:rFonts w:eastAsia="Times New Roman"/>
          <w:i/>
          <w:szCs w:val="28"/>
          <w:lang w:eastAsia="ru-RU"/>
        </w:rPr>
        <w:t xml:space="preserve"> = КСТ / КСО</w:t>
      </w:r>
    </w:p>
    <w:p w:rsidR="00F407BB" w:rsidRPr="00180028" w:rsidRDefault="00F407BB" w:rsidP="00F407BB">
      <w:pPr>
        <w:spacing w:after="0" w:line="360" w:lineRule="auto"/>
        <w:ind w:firstLine="709"/>
        <w:jc w:val="both"/>
        <w:rPr>
          <w:rFonts w:eastAsia="Times New Roman"/>
          <w:szCs w:val="28"/>
          <w:lang w:eastAsia="ru-RU"/>
        </w:rPr>
      </w:pPr>
      <w:r>
        <w:rPr>
          <w:rFonts w:eastAsia="Times New Roman"/>
          <w:szCs w:val="28"/>
          <w:lang w:eastAsia="ru-RU"/>
        </w:rPr>
        <w:t xml:space="preserve">Величина співвідношення </w:t>
      </w:r>
      <w:r w:rsidRPr="004411C5">
        <w:rPr>
          <w:rFonts w:eastAsia="Times New Roman"/>
          <w:szCs w:val="28"/>
          <w:lang w:eastAsia="ru-RU"/>
        </w:rPr>
        <w:t>Еа/</w:t>
      </w:r>
      <w:r>
        <w:rPr>
          <w:rFonts w:eastAsia="Times New Roman"/>
          <w:szCs w:val="28"/>
          <w:lang w:val="en-US" w:eastAsia="ru-RU"/>
        </w:rPr>
        <w:t>Es</w:t>
      </w:r>
      <w:r>
        <w:rPr>
          <w:rFonts w:eastAsia="Times New Roman"/>
          <w:szCs w:val="28"/>
          <w:lang w:eastAsia="ru-RU"/>
        </w:rPr>
        <w:t xml:space="preserve"> в межах від 0,6 до 1,2 в фізіологічних умовах приймалася за показник, що відображує оптимальну взаємодію між артеріальною системою та ЛШ.</w:t>
      </w:r>
    </w:p>
    <w:p w:rsidR="00F407BB" w:rsidRDefault="00F407BB" w:rsidP="00F407BB">
      <w:pPr>
        <w:spacing w:after="0" w:line="360" w:lineRule="auto"/>
        <w:ind w:firstLine="709"/>
        <w:jc w:val="both"/>
        <w:rPr>
          <w:szCs w:val="28"/>
        </w:rPr>
      </w:pPr>
      <w:r>
        <w:rPr>
          <w:rFonts w:eastAsia="Times New Roman"/>
          <w:szCs w:val="28"/>
          <w:lang w:eastAsia="ru-RU"/>
        </w:rPr>
        <w:t xml:space="preserve">Коронаровентрикулографію (КВГ) з наступним стентуванням інфаркт-залежної артерії проведено 31 пацієнту (41,3 %) з ГІМ та ожирінням. Серед них 24 хворим (77,4 %) було встановлено елютінг-стенти та 7 (22,6 %) – стенти без покриття. КВГ було проведено згідно </w:t>
      </w:r>
      <w:r w:rsidRPr="001A683D">
        <w:rPr>
          <w:szCs w:val="28"/>
        </w:rPr>
        <w:t>Наказу Міністерства охорони здоро</w:t>
      </w:r>
      <w:r>
        <w:rPr>
          <w:szCs w:val="28"/>
        </w:rPr>
        <w:t>в’я №455 від 02.07.2014 року «</w:t>
      </w:r>
      <w:r w:rsidRPr="001A683D">
        <w:rPr>
          <w:szCs w:val="28"/>
        </w:rPr>
        <w:t>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w:t>
      </w:r>
      <w:r>
        <w:rPr>
          <w:szCs w:val="28"/>
        </w:rPr>
        <w:t>» протягом 1 доби від початку больового синдрому.</w:t>
      </w:r>
    </w:p>
    <w:p w:rsidR="00F407BB" w:rsidRPr="00882F04" w:rsidRDefault="00F407BB" w:rsidP="00F407BB">
      <w:pPr>
        <w:spacing w:after="0" w:line="360" w:lineRule="auto"/>
        <w:ind w:firstLine="709"/>
        <w:jc w:val="both"/>
        <w:rPr>
          <w:szCs w:val="28"/>
          <w:lang w:val="ru-RU"/>
        </w:rPr>
      </w:pPr>
      <w:r>
        <w:rPr>
          <w:szCs w:val="28"/>
        </w:rPr>
        <w:t xml:space="preserve">Всі інші хворі на ГІМ отримали в якості реперфузійної стратегії тромболітичну терапію, серед яких 44 хворих мали в анамнезі супутнє ожиріння (58,6 %), а 30 хворих не мали супутніх метаболічних порушень (100 %). </w:t>
      </w:r>
      <w:r>
        <w:rPr>
          <w:szCs w:val="28"/>
        </w:rPr>
        <w:lastRenderedPageBreak/>
        <w:t xml:space="preserve">Препаратами вибору для проведення тромболізису були тенектеплазе (металізе) або стрептокіназа. </w:t>
      </w:r>
    </w:p>
    <w:p w:rsidR="00F407BB" w:rsidRDefault="00F407BB" w:rsidP="00F407BB">
      <w:pPr>
        <w:spacing w:after="0" w:line="360" w:lineRule="auto"/>
        <w:ind w:firstLine="709"/>
        <w:jc w:val="both"/>
        <w:rPr>
          <w:szCs w:val="28"/>
        </w:rPr>
      </w:pPr>
      <w:r w:rsidRPr="00F407BB">
        <w:rPr>
          <w:szCs w:val="28"/>
          <w:lang w:val="ru-RU"/>
        </w:rPr>
        <w:t xml:space="preserve">Для стратифікації ризику госпітальної та 6-місячної летальності була використана шкала </w:t>
      </w:r>
      <w:r>
        <w:rPr>
          <w:szCs w:val="28"/>
          <w:lang w:val="en-US"/>
        </w:rPr>
        <w:t>GRACE</w:t>
      </w:r>
      <w:r w:rsidRPr="00F407BB">
        <w:rPr>
          <w:szCs w:val="28"/>
          <w:lang w:val="ru-RU"/>
        </w:rPr>
        <w:t xml:space="preserve"> (</w:t>
      </w:r>
      <w:r w:rsidRPr="00BE71A7">
        <w:rPr>
          <w:szCs w:val="28"/>
          <w:lang w:val="en-US"/>
        </w:rPr>
        <w:t>Global</w:t>
      </w:r>
      <w:r w:rsidRPr="00F407BB">
        <w:rPr>
          <w:szCs w:val="28"/>
          <w:lang w:val="ru-RU"/>
        </w:rPr>
        <w:t xml:space="preserve"> </w:t>
      </w:r>
      <w:r w:rsidRPr="00BE71A7">
        <w:rPr>
          <w:szCs w:val="28"/>
          <w:lang w:val="en-US"/>
        </w:rPr>
        <w:t>Registry</w:t>
      </w:r>
      <w:r w:rsidRPr="00F407BB">
        <w:rPr>
          <w:szCs w:val="28"/>
          <w:lang w:val="ru-RU"/>
        </w:rPr>
        <w:t xml:space="preserve"> </w:t>
      </w:r>
      <w:r w:rsidRPr="00BE71A7">
        <w:rPr>
          <w:szCs w:val="28"/>
          <w:lang w:val="en-US"/>
        </w:rPr>
        <w:t>of</w:t>
      </w:r>
      <w:r w:rsidRPr="00F407BB">
        <w:rPr>
          <w:szCs w:val="28"/>
          <w:lang w:val="ru-RU"/>
        </w:rPr>
        <w:t xml:space="preserve"> </w:t>
      </w:r>
      <w:r w:rsidRPr="00BE71A7">
        <w:rPr>
          <w:szCs w:val="28"/>
          <w:lang w:val="en-US"/>
        </w:rPr>
        <w:t>Acute</w:t>
      </w:r>
      <w:r w:rsidRPr="00F407BB">
        <w:rPr>
          <w:szCs w:val="28"/>
          <w:lang w:val="ru-RU"/>
        </w:rPr>
        <w:t xml:space="preserve"> </w:t>
      </w:r>
      <w:r w:rsidRPr="00BE71A7">
        <w:rPr>
          <w:szCs w:val="28"/>
          <w:lang w:val="en-US"/>
        </w:rPr>
        <w:t>Coronary</w:t>
      </w:r>
      <w:r w:rsidRPr="00F407BB">
        <w:rPr>
          <w:szCs w:val="28"/>
          <w:lang w:val="ru-RU"/>
        </w:rPr>
        <w:t xml:space="preserve"> </w:t>
      </w:r>
      <w:r w:rsidRPr="00BE71A7">
        <w:rPr>
          <w:szCs w:val="28"/>
          <w:lang w:val="en-US"/>
        </w:rPr>
        <w:t>Events</w:t>
      </w:r>
      <w:r w:rsidRPr="00F407BB">
        <w:rPr>
          <w:szCs w:val="28"/>
          <w:lang w:val="ru-RU"/>
        </w:rPr>
        <w:t xml:space="preserve">). </w:t>
      </w:r>
      <w:r>
        <w:rPr>
          <w:szCs w:val="28"/>
        </w:rPr>
        <w:t>В</w:t>
      </w:r>
      <w:r w:rsidRPr="00F407BB">
        <w:rPr>
          <w:szCs w:val="28"/>
          <w:lang w:val="ru-RU"/>
        </w:rPr>
        <w:t xml:space="preserve"> якості </w:t>
      </w:r>
      <w:r>
        <w:rPr>
          <w:szCs w:val="28"/>
        </w:rPr>
        <w:t xml:space="preserve">факторів ризику шкала </w:t>
      </w:r>
      <w:r>
        <w:rPr>
          <w:szCs w:val="28"/>
          <w:lang w:val="en-US"/>
        </w:rPr>
        <w:t>GRACE</w:t>
      </w:r>
      <w:r>
        <w:rPr>
          <w:szCs w:val="28"/>
        </w:rPr>
        <w:t xml:space="preserve"> вік, клас ГСН за Killip,показники гемодинаміки (ЧСС та САТ), рівень креатиніна крові, наявність порушень провідності, підвищення кардіоспецифічних ферментів та елеваці. сегмента ST на кардіограмі при надходженні пацієнта до стаціонару. Це – єдина модель, що дозволяє оцінити ризик не тільки летальності, але й не фатального рецидиву ІМ та може бути застосована до всіх хворих незалежно від метода реперфузії міокарда. </w:t>
      </w:r>
    </w:p>
    <w:p w:rsidR="00F407BB" w:rsidRPr="00BE71A7" w:rsidRDefault="00F407BB" w:rsidP="00F407BB">
      <w:pPr>
        <w:spacing w:after="0" w:line="360" w:lineRule="auto"/>
        <w:ind w:firstLine="709"/>
        <w:jc w:val="both"/>
        <w:rPr>
          <w:rFonts w:eastAsia="Times New Roman"/>
          <w:szCs w:val="28"/>
          <w:lang w:eastAsia="ru-RU"/>
        </w:rPr>
      </w:pPr>
      <w:r>
        <w:rPr>
          <w:rFonts w:eastAsia="Times New Roman"/>
          <w:szCs w:val="28"/>
          <w:lang w:eastAsia="ru-RU"/>
        </w:rPr>
        <w:t xml:space="preserve">Вивчення балів за шкалою </w:t>
      </w:r>
      <w:r w:rsidRPr="00144FB8">
        <w:rPr>
          <w:rFonts w:eastAsia="Times New Roman"/>
          <w:szCs w:val="28"/>
        </w:rPr>
        <w:t>GRACE</w:t>
      </w:r>
      <w:r>
        <w:rPr>
          <w:rFonts w:eastAsia="Times New Roman"/>
          <w:szCs w:val="28"/>
        </w:rPr>
        <w:t xml:space="preserve"> у хворих з ГІМ та ожирінням виявило наявність груп низького, середнього та високого ризику. Переважали хворі високого ризику (52 особи), середній ризик мали 20 осіб, до групи низького ризику увійшло 3 пацієнта. </w:t>
      </w:r>
    </w:p>
    <w:p w:rsidR="00F407BB" w:rsidRPr="001A683D" w:rsidRDefault="00F407BB" w:rsidP="00F407BB">
      <w:pPr>
        <w:spacing w:after="0" w:line="360" w:lineRule="auto"/>
        <w:ind w:firstLine="709"/>
        <w:jc w:val="both"/>
        <w:rPr>
          <w:szCs w:val="28"/>
        </w:rPr>
      </w:pPr>
      <w:r w:rsidRPr="001A683D">
        <w:rPr>
          <w:szCs w:val="28"/>
        </w:rPr>
        <w:t xml:space="preserve">Клініко-інструментальне обстеження хворих проводили тричі: при надходженні до стаціонару, </w:t>
      </w:r>
      <w:r>
        <w:rPr>
          <w:szCs w:val="28"/>
        </w:rPr>
        <w:t>через 1 місяць</w:t>
      </w:r>
      <w:r w:rsidRPr="001A683D">
        <w:rPr>
          <w:szCs w:val="28"/>
        </w:rPr>
        <w:t xml:space="preserve"> та через </w:t>
      </w:r>
      <w:r>
        <w:rPr>
          <w:szCs w:val="28"/>
        </w:rPr>
        <w:t>6</w:t>
      </w:r>
      <w:r w:rsidRPr="001A683D">
        <w:rPr>
          <w:szCs w:val="28"/>
        </w:rPr>
        <w:t xml:space="preserve"> місяці</w:t>
      </w:r>
      <w:r>
        <w:rPr>
          <w:szCs w:val="28"/>
        </w:rPr>
        <w:t>в</w:t>
      </w:r>
      <w:r w:rsidRPr="001A683D">
        <w:rPr>
          <w:szCs w:val="28"/>
        </w:rPr>
        <w:t>.</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Усім хворим, які включені до дослідження, та хворим контрольної групи було проведено обстеження, яке включало:</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збір скарг та анамнезу з подальшою їх деталізацією з метою визначення показань та можливих про</w:t>
      </w:r>
      <w:r>
        <w:rPr>
          <w:rFonts w:eastAsia="Times New Roman"/>
          <w:szCs w:val="28"/>
          <w:lang w:eastAsia="ru-RU"/>
        </w:rPr>
        <w:t xml:space="preserve">типоказань стосовно майбутньої </w:t>
      </w:r>
      <w:r w:rsidRPr="001A683D">
        <w:rPr>
          <w:rFonts w:eastAsia="Times New Roman"/>
          <w:szCs w:val="28"/>
          <w:lang w:eastAsia="ru-RU"/>
        </w:rPr>
        <w:t>тромболітичної або антикоагулянтної терапії;</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клінічний огляд та фізикальне обстеження (оцінка свідомості, дихання, кровообігу та огляд відповідно до вимог оформлення історії хвороби (форма 003/о), візуальна оцінка кольору шкірних покривів та слизових оболонок, </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наявність набухання шийних вен та набрякового синдрому, антропометричні дані;</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оцінка стану серцево-судинної та дихальної систем пацієнта (пульс, його характеристика, рівень АТ, частота дихальних рухів, його характеристика, </w:t>
      </w:r>
      <w:r w:rsidRPr="001A683D">
        <w:rPr>
          <w:rFonts w:eastAsia="Times New Roman"/>
          <w:szCs w:val="28"/>
          <w:lang w:eastAsia="ru-RU"/>
        </w:rPr>
        <w:lastRenderedPageBreak/>
        <w:t>пальпація, перкусія, аускультація серця та легень, обстеження черевної порожнини та оцінка неврологічного статусу);</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реєстрація ЕКГ у 12 відведеннях;</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моніторинг ЕКГ, артеріального тиску та пульсоксиметрії; </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лабораторне визначення тропоніну І - маркеру ушкодження міокарда;</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біохімічний аналіз задля визначення рівня АлТ, АсТ, білірубіну, натрію,  калію;</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загальний аналіз крові;</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загальний аналіз сечі;</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аналіз крові на вміст глюкози;</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ліпідний спектр крові (загальний холестерин</w:t>
      </w:r>
      <w:r>
        <w:rPr>
          <w:rFonts w:eastAsia="Times New Roman"/>
          <w:szCs w:val="28"/>
          <w:lang w:eastAsia="ru-RU"/>
        </w:rPr>
        <w:t xml:space="preserve"> (ЗХС)</w:t>
      </w:r>
      <w:r w:rsidRPr="001A683D">
        <w:rPr>
          <w:rFonts w:eastAsia="Times New Roman"/>
          <w:szCs w:val="28"/>
          <w:lang w:eastAsia="ru-RU"/>
        </w:rPr>
        <w:t>, ЛПВЩ, ЛПНЩ, ЛПДНЩ, - тригліцериди</w:t>
      </w:r>
      <w:r w:rsidR="00E0327D">
        <w:rPr>
          <w:rFonts w:eastAsia="Times New Roman"/>
          <w:szCs w:val="28"/>
          <w:lang w:eastAsia="ru-RU"/>
        </w:rPr>
        <w:t xml:space="preserve"> (ТГ)</w:t>
      </w:r>
      <w:r w:rsidRPr="001A683D">
        <w:rPr>
          <w:rFonts w:eastAsia="Times New Roman"/>
          <w:szCs w:val="28"/>
          <w:lang w:eastAsia="ru-RU"/>
        </w:rPr>
        <w:t xml:space="preserve">, </w:t>
      </w:r>
      <w:r w:rsidR="00301E40">
        <w:rPr>
          <w:rFonts w:eastAsia="Times New Roman"/>
          <w:szCs w:val="28"/>
          <w:lang w:eastAsia="ru-RU"/>
        </w:rPr>
        <w:t>коефіцієнт атерогенності</w:t>
      </w:r>
      <w:r w:rsidRPr="001A683D">
        <w:rPr>
          <w:rFonts w:eastAsia="Times New Roman"/>
          <w:szCs w:val="28"/>
          <w:lang w:eastAsia="ru-RU"/>
        </w:rPr>
        <w:t>);</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ехокардіографія;</w:t>
      </w:r>
    </w:p>
    <w:p w:rsidR="00F407BB"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рентгенографія органів грудної </w:t>
      </w:r>
      <w:r>
        <w:rPr>
          <w:rFonts w:eastAsia="Times New Roman"/>
          <w:szCs w:val="28"/>
          <w:lang w:eastAsia="ru-RU"/>
        </w:rPr>
        <w:t>порожнини за наявності показань;</w:t>
      </w:r>
    </w:p>
    <w:p w:rsidR="00F407BB" w:rsidRPr="00D064D9" w:rsidRDefault="00F407BB" w:rsidP="00F407BB">
      <w:pPr>
        <w:spacing w:after="0" w:line="360" w:lineRule="auto"/>
        <w:jc w:val="both"/>
        <w:rPr>
          <w:rFonts w:eastAsia="Times New Roman"/>
          <w:szCs w:val="28"/>
          <w:lang w:eastAsia="ru-RU"/>
        </w:rPr>
      </w:pPr>
      <w:r>
        <w:rPr>
          <w:rFonts w:eastAsia="Times New Roman"/>
          <w:szCs w:val="28"/>
          <w:lang w:eastAsia="ru-RU"/>
        </w:rPr>
        <w:t>- коронаровентрикулографія.</w:t>
      </w:r>
    </w:p>
    <w:p w:rsidR="00F407BB" w:rsidRPr="001A683D" w:rsidRDefault="00F407BB" w:rsidP="00F407BB">
      <w:pPr>
        <w:tabs>
          <w:tab w:val="left" w:pos="-124"/>
        </w:tabs>
        <w:spacing w:after="0" w:line="360" w:lineRule="auto"/>
        <w:ind w:firstLine="709"/>
        <w:jc w:val="both"/>
        <w:rPr>
          <w:rFonts w:eastAsia="Times New Roman"/>
          <w:szCs w:val="28"/>
          <w:lang w:eastAsia="ru-RU"/>
        </w:rPr>
      </w:pPr>
      <w:r w:rsidRPr="001A683D">
        <w:rPr>
          <w:rFonts w:eastAsia="Times New Roman"/>
          <w:szCs w:val="28"/>
          <w:lang w:eastAsia="ru-RU"/>
        </w:rPr>
        <w:t xml:space="preserve">Для дослідження даних параметрів забір крові проводився вранці натщесерце із ліктьової вени в поліетиленові пробірки (епендорфи). Зберігали зразки при температурі – 20 ºС не більш 3 місяців до проведення дослідження. </w:t>
      </w:r>
    </w:p>
    <w:p w:rsidR="00F407BB" w:rsidRPr="001A683D" w:rsidRDefault="00F407BB" w:rsidP="00F407BB">
      <w:pPr>
        <w:spacing w:after="0" w:line="360" w:lineRule="auto"/>
        <w:ind w:firstLine="540"/>
        <w:jc w:val="both"/>
        <w:rPr>
          <w:rFonts w:eastAsia="Times New Roman"/>
          <w:szCs w:val="28"/>
          <w:lang w:eastAsia="ru-RU"/>
        </w:rPr>
      </w:pPr>
      <w:r w:rsidRPr="001A683D">
        <w:rPr>
          <w:rFonts w:eastAsia="Times New Roman"/>
          <w:szCs w:val="28"/>
          <w:lang w:eastAsia="ru-RU"/>
        </w:rPr>
        <w:t xml:space="preserve">Вміст </w:t>
      </w:r>
      <w:r>
        <w:rPr>
          <w:rFonts w:eastAsia="Times New Roman"/>
          <w:szCs w:val="28"/>
          <w:lang w:eastAsia="ru-RU"/>
        </w:rPr>
        <w:t xml:space="preserve">вітронектину </w:t>
      </w:r>
      <w:r w:rsidRPr="001A683D">
        <w:rPr>
          <w:rFonts w:eastAsia="Times New Roman"/>
          <w:szCs w:val="28"/>
          <w:lang w:eastAsia="ru-RU"/>
        </w:rPr>
        <w:t xml:space="preserve">та </w:t>
      </w:r>
      <w:r>
        <w:rPr>
          <w:rFonts w:eastAsia="Times New Roman"/>
          <w:szCs w:val="28"/>
          <w:lang w:eastAsia="ru-RU"/>
        </w:rPr>
        <w:t>галектину-3</w:t>
      </w:r>
      <w:r w:rsidRPr="001A683D">
        <w:rPr>
          <w:rFonts w:eastAsia="Times New Roman"/>
          <w:szCs w:val="28"/>
          <w:lang w:eastAsia="ru-RU"/>
        </w:rPr>
        <w:t xml:space="preserve"> визначали імуноферментним методом на імуноферментному аналізаторі «Labline–90» (Австрія) з використанням комерційних тест–систем згідно прикладених до них інструкцій. Дослідження проводились у біохімічному відділі центральної науково-дослідної лабораторії Харківського національного медичного університету МОЗ України.</w:t>
      </w:r>
    </w:p>
    <w:p w:rsidR="00F407BB" w:rsidRPr="00562533" w:rsidRDefault="00F407BB" w:rsidP="00F407BB">
      <w:pPr>
        <w:spacing w:after="0" w:line="360" w:lineRule="auto"/>
        <w:ind w:firstLine="720"/>
        <w:jc w:val="both"/>
        <w:rPr>
          <w:rFonts w:eastAsia="Times New Roman"/>
          <w:szCs w:val="28"/>
          <w:lang w:eastAsia="ru-RU"/>
        </w:rPr>
      </w:pPr>
      <w:r w:rsidRPr="001B35C3">
        <w:rPr>
          <w:rFonts w:eastAsia="Times New Roman"/>
          <w:szCs w:val="28"/>
          <w:lang w:eastAsia="ru-RU"/>
        </w:rPr>
        <w:t>Для визначення</w:t>
      </w:r>
      <w:r w:rsidRPr="001A683D">
        <w:rPr>
          <w:rFonts w:eastAsia="Times New Roman"/>
          <w:szCs w:val="28"/>
          <w:lang w:eastAsia="ru-RU"/>
        </w:rPr>
        <w:t xml:space="preserve"> </w:t>
      </w:r>
      <w:r>
        <w:rPr>
          <w:rFonts w:eastAsia="Times New Roman"/>
          <w:szCs w:val="28"/>
          <w:lang w:eastAsia="ru-RU"/>
        </w:rPr>
        <w:t>вітронектину</w:t>
      </w:r>
      <w:r w:rsidRPr="001A683D">
        <w:rPr>
          <w:rFonts w:eastAsia="Times New Roman"/>
          <w:szCs w:val="28"/>
          <w:lang w:eastAsia="ru-RU"/>
        </w:rPr>
        <w:t xml:space="preserve"> використовували метод імуноферментного аналізу за допомогою набору Н</w:t>
      </w:r>
      <w:r w:rsidRPr="001A683D">
        <w:rPr>
          <w:rFonts w:eastAsia="Times New Roman"/>
          <w:szCs w:val="28"/>
          <w:lang w:val="en-US" w:eastAsia="ru-RU"/>
        </w:rPr>
        <w:t>uman</w:t>
      </w:r>
      <w:r w:rsidRPr="001A683D">
        <w:rPr>
          <w:rFonts w:eastAsia="Times New Roman"/>
          <w:szCs w:val="28"/>
          <w:lang w:eastAsia="ru-RU"/>
        </w:rPr>
        <w:t xml:space="preserve"> </w:t>
      </w:r>
      <w:r>
        <w:rPr>
          <w:rFonts w:eastAsia="Times New Roman"/>
          <w:szCs w:val="28"/>
          <w:lang w:eastAsia="ru-RU"/>
        </w:rPr>
        <w:t xml:space="preserve">Vitronectin </w:t>
      </w:r>
      <w:r w:rsidRPr="001A683D">
        <w:rPr>
          <w:rFonts w:eastAsia="Times New Roman"/>
          <w:szCs w:val="28"/>
          <w:lang w:val="en-US" w:eastAsia="ru-RU"/>
        </w:rPr>
        <w:t>ELISA</w:t>
      </w:r>
      <w:r w:rsidRPr="001A683D">
        <w:rPr>
          <w:rFonts w:eastAsia="Times New Roman"/>
          <w:szCs w:val="28"/>
          <w:lang w:eastAsia="ru-RU"/>
        </w:rPr>
        <w:t xml:space="preserve"> </w:t>
      </w:r>
      <w:r w:rsidRPr="001A683D">
        <w:rPr>
          <w:rFonts w:eastAsia="Times New Roman"/>
          <w:szCs w:val="28"/>
          <w:lang w:val="en-US" w:eastAsia="ru-RU"/>
        </w:rPr>
        <w:t>Kit</w:t>
      </w:r>
      <w:r w:rsidRPr="001A683D">
        <w:rPr>
          <w:rFonts w:eastAsia="Times New Roman"/>
          <w:szCs w:val="28"/>
          <w:lang w:eastAsia="ru-RU"/>
        </w:rPr>
        <w:t>,</w:t>
      </w:r>
      <w:r w:rsidRPr="001B35C3">
        <w:rPr>
          <w:rFonts w:eastAsia="Times New Roman"/>
          <w:szCs w:val="28"/>
          <w:lang w:eastAsia="ru-RU"/>
        </w:rPr>
        <w:t xml:space="preserve"> </w:t>
      </w:r>
      <w:r>
        <w:rPr>
          <w:rFonts w:eastAsia="Times New Roman"/>
          <w:szCs w:val="28"/>
          <w:lang w:val="en-US" w:eastAsia="ru-RU"/>
        </w:rPr>
        <w:t>USA</w:t>
      </w:r>
      <w:r w:rsidRPr="001A683D">
        <w:rPr>
          <w:rFonts w:eastAsia="Times New Roman"/>
          <w:szCs w:val="28"/>
          <w:lang w:eastAsia="ru-RU"/>
        </w:rPr>
        <w:t xml:space="preserve">. </w:t>
      </w:r>
      <w:r>
        <w:rPr>
          <w:rFonts w:eastAsia="Times New Roman"/>
          <w:szCs w:val="28"/>
          <w:lang w:eastAsia="ru-RU"/>
        </w:rPr>
        <w:t>В</w:t>
      </w:r>
      <w:r w:rsidRPr="001A683D">
        <w:rPr>
          <w:rFonts w:eastAsia="Times New Roman"/>
          <w:szCs w:val="28"/>
          <w:lang w:eastAsia="ru-RU"/>
        </w:rPr>
        <w:t xml:space="preserve"> цьому наборі використовується принцип ферментативно-пов'язаного аналізу на сорбент</w:t>
      </w:r>
      <w:r>
        <w:rPr>
          <w:rFonts w:eastAsia="Times New Roman"/>
          <w:szCs w:val="28"/>
          <w:lang w:eastAsia="ru-RU"/>
        </w:rPr>
        <w:t>и</w:t>
      </w:r>
      <w:r w:rsidRPr="001A683D">
        <w:rPr>
          <w:rFonts w:eastAsia="Times New Roman"/>
          <w:szCs w:val="28"/>
          <w:lang w:eastAsia="ru-RU"/>
        </w:rPr>
        <w:t xml:space="preserve"> (ELISA) на підставі подвійних («сендвіч») мічених антитіл для визначення </w:t>
      </w:r>
      <w:r>
        <w:rPr>
          <w:rFonts w:eastAsia="Times New Roman"/>
          <w:szCs w:val="28"/>
          <w:lang w:eastAsia="ru-RU"/>
        </w:rPr>
        <w:t>вітронектину людини.</w:t>
      </w:r>
    </w:p>
    <w:p w:rsidR="00F407BB" w:rsidRPr="00562533" w:rsidRDefault="00F407BB" w:rsidP="00F407BB">
      <w:pPr>
        <w:spacing w:after="0" w:line="360" w:lineRule="auto"/>
        <w:ind w:firstLine="720"/>
        <w:jc w:val="both"/>
        <w:rPr>
          <w:rFonts w:eastAsia="Times New Roman"/>
          <w:szCs w:val="28"/>
          <w:lang w:eastAsia="ru-RU"/>
        </w:rPr>
      </w:pPr>
      <w:r w:rsidRPr="008430C8">
        <w:rPr>
          <w:rFonts w:eastAsia="Times New Roman"/>
          <w:szCs w:val="28"/>
          <w:lang w:eastAsia="ru-RU"/>
        </w:rPr>
        <w:lastRenderedPageBreak/>
        <w:t xml:space="preserve">Перед використанням всі реагенти та зразки </w:t>
      </w:r>
      <w:r>
        <w:rPr>
          <w:rFonts w:eastAsia="Times New Roman"/>
          <w:szCs w:val="28"/>
          <w:lang w:eastAsia="ru-RU"/>
        </w:rPr>
        <w:t>доводяться до кімнатної температури (18-25</w:t>
      </w:r>
      <w:r w:rsidRPr="008430C8">
        <w:rPr>
          <w:rFonts w:eastAsia="Times New Roman"/>
          <w:szCs w:val="28"/>
          <w:vertAlign w:val="superscript"/>
          <w:lang w:eastAsia="ru-RU"/>
        </w:rPr>
        <w:t>о</w:t>
      </w:r>
      <w:r w:rsidRPr="008430C8">
        <w:rPr>
          <w:rFonts w:eastAsia="Times New Roman"/>
          <w:szCs w:val="28"/>
          <w:lang w:eastAsia="ru-RU"/>
        </w:rPr>
        <w:t>С).</w:t>
      </w:r>
      <w:r>
        <w:rPr>
          <w:rFonts w:eastAsia="Times New Roman"/>
          <w:szCs w:val="28"/>
          <w:lang w:eastAsia="ru-RU"/>
        </w:rPr>
        <w:t xml:space="preserve"> На першому етапі в</w:t>
      </w:r>
      <w:r w:rsidRPr="00395AEB">
        <w:rPr>
          <w:rFonts w:eastAsia="Times New Roman"/>
          <w:szCs w:val="28"/>
          <w:lang w:eastAsia="ru-RU"/>
        </w:rPr>
        <w:t xml:space="preserve"> відповідні лунки спеціального планшета, який входить до складу набору, дода</w:t>
      </w:r>
      <w:r>
        <w:rPr>
          <w:rFonts w:eastAsia="Times New Roman"/>
          <w:szCs w:val="28"/>
          <w:lang w:eastAsia="ru-RU"/>
        </w:rPr>
        <w:t>ють</w:t>
      </w:r>
      <w:r w:rsidRPr="00395AEB">
        <w:rPr>
          <w:rFonts w:eastAsia="Times New Roman"/>
          <w:szCs w:val="28"/>
          <w:lang w:eastAsia="ru-RU"/>
        </w:rPr>
        <w:t xml:space="preserve"> по 40 мкл стандартів і досліджених проб. В </w:t>
      </w:r>
      <w:r>
        <w:rPr>
          <w:rFonts w:eastAsia="Times New Roman"/>
          <w:szCs w:val="28"/>
          <w:lang w:eastAsia="ru-RU"/>
        </w:rPr>
        <w:t>кожну</w:t>
      </w:r>
      <w:r w:rsidRPr="00395AEB">
        <w:rPr>
          <w:rFonts w:eastAsia="Times New Roman"/>
          <w:szCs w:val="28"/>
          <w:lang w:eastAsia="ru-RU"/>
        </w:rPr>
        <w:t xml:space="preserve"> лунку дода</w:t>
      </w:r>
      <w:r>
        <w:rPr>
          <w:rFonts w:eastAsia="Times New Roman"/>
          <w:szCs w:val="28"/>
          <w:lang w:eastAsia="ru-RU"/>
        </w:rPr>
        <w:t>ють</w:t>
      </w:r>
      <w:r w:rsidRPr="00395AEB">
        <w:rPr>
          <w:rFonts w:eastAsia="Times New Roman"/>
          <w:szCs w:val="28"/>
          <w:lang w:eastAsia="ru-RU"/>
        </w:rPr>
        <w:t xml:space="preserve"> 10</w:t>
      </w:r>
      <w:r>
        <w:rPr>
          <w:rFonts w:eastAsia="Times New Roman"/>
          <w:szCs w:val="28"/>
          <w:lang w:eastAsia="ru-RU"/>
        </w:rPr>
        <w:t xml:space="preserve"> мкл розчину VTN-антитіл</w:t>
      </w:r>
      <w:r w:rsidRPr="00395AEB">
        <w:rPr>
          <w:rFonts w:eastAsia="Times New Roman"/>
          <w:szCs w:val="28"/>
          <w:lang w:eastAsia="ru-RU"/>
        </w:rPr>
        <w:t xml:space="preserve"> та по 50 мкл розчину HRP-стрепто</w:t>
      </w:r>
      <w:r>
        <w:rPr>
          <w:rFonts w:eastAsia="Times New Roman"/>
          <w:szCs w:val="28"/>
          <w:lang w:eastAsia="ru-RU"/>
        </w:rPr>
        <w:t>віди</w:t>
      </w:r>
      <w:r w:rsidRPr="00395AEB">
        <w:rPr>
          <w:rFonts w:eastAsia="Times New Roman"/>
          <w:szCs w:val="28"/>
          <w:lang w:eastAsia="ru-RU"/>
        </w:rPr>
        <w:t xml:space="preserve">ну. </w:t>
      </w:r>
      <w:r w:rsidRPr="001E6B8D">
        <w:rPr>
          <w:rFonts w:eastAsia="Times New Roman"/>
          <w:szCs w:val="28"/>
          <w:lang w:eastAsia="ru-RU"/>
        </w:rPr>
        <w:t>Далі проводиться інкубація протягом 1 хвилини при температурі 37</w:t>
      </w:r>
      <w:r w:rsidRPr="001E6B8D">
        <w:rPr>
          <w:rFonts w:eastAsia="Times New Roman"/>
          <w:szCs w:val="28"/>
          <w:vertAlign w:val="superscript"/>
          <w:lang w:eastAsia="ru-RU"/>
        </w:rPr>
        <w:t>о</w:t>
      </w:r>
      <w:r w:rsidRPr="001E6B8D">
        <w:rPr>
          <w:rFonts w:eastAsia="Times New Roman"/>
          <w:szCs w:val="28"/>
          <w:lang w:eastAsia="ru-RU"/>
        </w:rPr>
        <w:t xml:space="preserve">С на шейкері і видалення з розчину не прореагувавших ферментів шляхом багаторазового промивання планшета спеціальним промивним буфером. На наступному етапі </w:t>
      </w:r>
      <w:r w:rsidRPr="00395AEB">
        <w:rPr>
          <w:rFonts w:eastAsia="Times New Roman"/>
          <w:szCs w:val="28"/>
          <w:lang w:eastAsia="ru-RU"/>
        </w:rPr>
        <w:t xml:space="preserve">в кожну лунку додають по 50 мкл </w:t>
      </w:r>
      <w:r>
        <w:rPr>
          <w:rFonts w:eastAsia="Times New Roman"/>
          <w:szCs w:val="28"/>
          <w:lang w:eastAsia="ru-RU"/>
        </w:rPr>
        <w:t xml:space="preserve">хромогенного </w:t>
      </w:r>
      <w:r w:rsidRPr="00395AEB">
        <w:rPr>
          <w:rFonts w:eastAsia="Times New Roman"/>
          <w:szCs w:val="28"/>
          <w:lang w:eastAsia="ru-RU"/>
        </w:rPr>
        <w:t xml:space="preserve">субстратного розчину А та 50 мкл субстратного розчину В. </w:t>
      </w:r>
      <w:r>
        <w:rPr>
          <w:rFonts w:eastAsia="Times New Roman"/>
          <w:szCs w:val="28"/>
          <w:lang w:eastAsia="ru-RU"/>
        </w:rPr>
        <w:t>Проводиться інкубація</w:t>
      </w:r>
      <w:r w:rsidRPr="00395AEB">
        <w:rPr>
          <w:rFonts w:eastAsia="Times New Roman"/>
          <w:szCs w:val="28"/>
          <w:lang w:eastAsia="ru-RU"/>
        </w:rPr>
        <w:t xml:space="preserve"> </w:t>
      </w:r>
      <w:r>
        <w:rPr>
          <w:rFonts w:eastAsia="Times New Roman"/>
          <w:szCs w:val="28"/>
          <w:lang w:eastAsia="ru-RU"/>
        </w:rPr>
        <w:t xml:space="preserve">протягом </w:t>
      </w:r>
      <w:r w:rsidRPr="00395AEB">
        <w:rPr>
          <w:rFonts w:eastAsia="Times New Roman"/>
          <w:szCs w:val="28"/>
          <w:lang w:eastAsia="ru-RU"/>
        </w:rPr>
        <w:t xml:space="preserve">15 </w:t>
      </w:r>
      <w:r>
        <w:rPr>
          <w:rFonts w:eastAsia="Times New Roman"/>
          <w:szCs w:val="28"/>
          <w:lang w:eastAsia="ru-RU"/>
        </w:rPr>
        <w:t>хв</w:t>
      </w:r>
      <w:r w:rsidRPr="00395AEB">
        <w:rPr>
          <w:rFonts w:eastAsia="Times New Roman"/>
          <w:szCs w:val="28"/>
          <w:lang w:eastAsia="ru-RU"/>
        </w:rPr>
        <w:t xml:space="preserve">. у </w:t>
      </w:r>
      <w:r>
        <w:rPr>
          <w:rFonts w:eastAsia="Times New Roman"/>
          <w:szCs w:val="28"/>
          <w:lang w:eastAsia="ru-RU"/>
        </w:rPr>
        <w:t xml:space="preserve">темряві до досягнення температури </w:t>
      </w:r>
      <w:r w:rsidRPr="00395AEB">
        <w:rPr>
          <w:rFonts w:eastAsia="Times New Roman"/>
          <w:szCs w:val="28"/>
          <w:lang w:eastAsia="ru-RU"/>
        </w:rPr>
        <w:t>37</w:t>
      </w:r>
      <w:r w:rsidRPr="001E6B8D">
        <w:rPr>
          <w:rFonts w:eastAsia="Times New Roman"/>
          <w:szCs w:val="28"/>
          <w:vertAlign w:val="superscript"/>
          <w:lang w:eastAsia="ru-RU"/>
        </w:rPr>
        <w:t>о</w:t>
      </w:r>
      <w:r w:rsidRPr="00395AEB">
        <w:rPr>
          <w:rFonts w:eastAsia="Times New Roman"/>
          <w:szCs w:val="28"/>
          <w:lang w:eastAsia="ru-RU"/>
        </w:rPr>
        <w:t>С. Реакцію зупиняють додаванням у кожну лунку по 50 мкл стоп-реагенту і через 10 хв. визнача</w:t>
      </w:r>
      <w:r>
        <w:rPr>
          <w:rFonts w:eastAsia="Times New Roman"/>
          <w:szCs w:val="28"/>
          <w:lang w:eastAsia="ru-RU"/>
        </w:rPr>
        <w:t>ють</w:t>
      </w:r>
      <w:r w:rsidRPr="00395AEB">
        <w:rPr>
          <w:rFonts w:eastAsia="Times New Roman"/>
          <w:szCs w:val="28"/>
          <w:lang w:eastAsia="ru-RU"/>
        </w:rPr>
        <w:t xml:space="preserve"> оптичну щільність кожного випробування </w:t>
      </w:r>
      <w:r w:rsidRPr="001E6B8D">
        <w:rPr>
          <w:rFonts w:eastAsia="Times New Roman"/>
          <w:szCs w:val="28"/>
          <w:lang w:eastAsia="ru-RU"/>
        </w:rPr>
        <w:t>з використанням автоматичного фотометру для мікропланшетів</w:t>
      </w:r>
      <w:r>
        <w:rPr>
          <w:rFonts w:eastAsia="Times New Roman"/>
          <w:szCs w:val="28"/>
          <w:lang w:eastAsia="ru-RU"/>
        </w:rPr>
        <w:t xml:space="preserve"> на </w:t>
      </w:r>
      <w:r w:rsidRPr="00395AEB">
        <w:rPr>
          <w:rFonts w:eastAsia="Times New Roman"/>
          <w:szCs w:val="28"/>
          <w:lang w:eastAsia="ru-RU"/>
        </w:rPr>
        <w:t>при довжині хвилі 450 нм. Кількість витронектіна в проб</w:t>
      </w:r>
      <w:r>
        <w:rPr>
          <w:rFonts w:eastAsia="Times New Roman"/>
          <w:szCs w:val="28"/>
          <w:lang w:eastAsia="ru-RU"/>
        </w:rPr>
        <w:t>і</w:t>
      </w:r>
      <w:r w:rsidRPr="00395AEB">
        <w:rPr>
          <w:rFonts w:eastAsia="Times New Roman"/>
          <w:szCs w:val="28"/>
          <w:lang w:eastAsia="ru-RU"/>
        </w:rPr>
        <w:t xml:space="preserve"> визнач</w:t>
      </w:r>
      <w:r>
        <w:rPr>
          <w:rFonts w:eastAsia="Times New Roman"/>
          <w:szCs w:val="28"/>
          <w:lang w:eastAsia="ru-RU"/>
        </w:rPr>
        <w:t>ають</w:t>
      </w:r>
      <w:r w:rsidRPr="00395AEB">
        <w:rPr>
          <w:rFonts w:eastAsia="Times New Roman"/>
          <w:szCs w:val="28"/>
          <w:lang w:eastAsia="ru-RU"/>
        </w:rPr>
        <w:t xml:space="preserve"> </w:t>
      </w:r>
      <w:r>
        <w:rPr>
          <w:rFonts w:eastAsia="Times New Roman"/>
          <w:szCs w:val="28"/>
          <w:lang w:eastAsia="ru-RU"/>
        </w:rPr>
        <w:t>за</w:t>
      </w:r>
      <w:r w:rsidRPr="00395AEB">
        <w:rPr>
          <w:rFonts w:eastAsia="Times New Roman"/>
          <w:szCs w:val="28"/>
          <w:lang w:eastAsia="ru-RU"/>
        </w:rPr>
        <w:t xml:space="preserve"> калібр</w:t>
      </w:r>
      <w:r>
        <w:rPr>
          <w:rFonts w:eastAsia="Times New Roman"/>
          <w:szCs w:val="28"/>
          <w:lang w:eastAsia="ru-RU"/>
        </w:rPr>
        <w:t>увальним</w:t>
      </w:r>
      <w:r w:rsidRPr="00395AEB">
        <w:rPr>
          <w:rFonts w:eastAsia="Times New Roman"/>
          <w:szCs w:val="28"/>
          <w:lang w:eastAsia="ru-RU"/>
        </w:rPr>
        <w:t xml:space="preserve"> графік</w:t>
      </w:r>
      <w:r>
        <w:rPr>
          <w:rFonts w:eastAsia="Times New Roman"/>
          <w:szCs w:val="28"/>
          <w:lang w:eastAsia="ru-RU"/>
        </w:rPr>
        <w:t>ом</w:t>
      </w:r>
      <w:r w:rsidRPr="00395AEB">
        <w:rPr>
          <w:rFonts w:eastAsia="Times New Roman"/>
          <w:szCs w:val="28"/>
          <w:lang w:eastAsia="ru-RU"/>
        </w:rPr>
        <w:t xml:space="preserve">, який </w:t>
      </w:r>
      <w:r>
        <w:rPr>
          <w:rFonts w:eastAsia="Times New Roman"/>
          <w:szCs w:val="28"/>
          <w:lang w:eastAsia="ru-RU"/>
        </w:rPr>
        <w:t>будують</w:t>
      </w:r>
      <w:r w:rsidRPr="00395AEB">
        <w:rPr>
          <w:rFonts w:eastAsia="Times New Roman"/>
          <w:szCs w:val="28"/>
          <w:lang w:eastAsia="ru-RU"/>
        </w:rPr>
        <w:t xml:space="preserve"> паралельно з визначенням в пробах, використовуючи стандарти, що знаходяться в наборі. Уровень витронект</w:t>
      </w:r>
      <w:r>
        <w:rPr>
          <w:rFonts w:eastAsia="Times New Roman"/>
          <w:szCs w:val="28"/>
          <w:lang w:eastAsia="ru-RU"/>
        </w:rPr>
        <w:t>и</w:t>
      </w:r>
      <w:r w:rsidRPr="00395AEB">
        <w:rPr>
          <w:rFonts w:eastAsia="Times New Roman"/>
          <w:szCs w:val="28"/>
          <w:lang w:eastAsia="ru-RU"/>
        </w:rPr>
        <w:t>на виражений у нанограммах у мілі</w:t>
      </w:r>
      <w:r>
        <w:rPr>
          <w:rFonts w:eastAsia="Times New Roman"/>
          <w:szCs w:val="28"/>
          <w:lang w:eastAsia="ru-RU"/>
        </w:rPr>
        <w:t>лі</w:t>
      </w:r>
      <w:r w:rsidR="00E0327D">
        <w:rPr>
          <w:rFonts w:eastAsia="Times New Roman"/>
          <w:szCs w:val="28"/>
          <w:lang w:eastAsia="ru-RU"/>
        </w:rPr>
        <w:t>трі сироватки (нг/</w:t>
      </w:r>
      <w:r w:rsidRPr="00395AEB">
        <w:rPr>
          <w:rFonts w:eastAsia="Times New Roman"/>
          <w:szCs w:val="28"/>
          <w:lang w:eastAsia="ru-RU"/>
        </w:rPr>
        <w:t>мл).</w:t>
      </w:r>
      <w:r w:rsidRPr="00562533">
        <w:rPr>
          <w:rFonts w:eastAsia="Times New Roman"/>
          <w:szCs w:val="28"/>
          <w:lang w:eastAsia="ru-RU"/>
        </w:rPr>
        <w:t xml:space="preserve"> Комплект реагентів: 1.Стандарт (1600 нг</w:t>
      </w:r>
      <w:r w:rsidR="00E0327D">
        <w:rPr>
          <w:rFonts w:eastAsia="Times New Roman"/>
          <w:szCs w:val="28"/>
          <w:lang w:eastAsia="ru-RU"/>
        </w:rPr>
        <w:t>/</w:t>
      </w:r>
      <w:r w:rsidRPr="00562533">
        <w:rPr>
          <w:rFonts w:eastAsia="Times New Roman"/>
          <w:szCs w:val="28"/>
          <w:lang w:eastAsia="ru-RU"/>
        </w:rPr>
        <w:t xml:space="preserve">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Анти-VTN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 </w:t>
      </w:r>
    </w:p>
    <w:p w:rsidR="00F407BB" w:rsidRDefault="00F407BB" w:rsidP="00F407BB">
      <w:pPr>
        <w:spacing w:after="0" w:line="360" w:lineRule="auto"/>
        <w:ind w:firstLine="720"/>
        <w:jc w:val="both"/>
        <w:rPr>
          <w:rFonts w:eastAsia="Times New Roman"/>
          <w:szCs w:val="28"/>
          <w:lang w:eastAsia="ru-RU"/>
        </w:rPr>
      </w:pPr>
      <w:r w:rsidRPr="001A683D">
        <w:rPr>
          <w:rFonts w:eastAsia="Times New Roman"/>
          <w:szCs w:val="28"/>
          <w:lang w:val="en-US" w:eastAsia="ru-RU"/>
        </w:rPr>
        <w:t>P</w:t>
      </w:r>
      <w:r w:rsidRPr="001A683D">
        <w:rPr>
          <w:rFonts w:eastAsia="Times New Roman"/>
          <w:szCs w:val="28"/>
          <w:lang w:eastAsia="ru-RU"/>
        </w:rPr>
        <w:t xml:space="preserve">івень </w:t>
      </w:r>
      <w:r w:rsidRPr="001B35C3">
        <w:rPr>
          <w:rFonts w:eastAsia="Times New Roman"/>
          <w:szCs w:val="28"/>
          <w:lang w:eastAsia="ru-RU"/>
        </w:rPr>
        <w:t>галектину-3</w:t>
      </w:r>
      <w:r w:rsidRPr="001A683D">
        <w:rPr>
          <w:rFonts w:eastAsia="Times New Roman"/>
          <w:szCs w:val="28"/>
          <w:lang w:eastAsia="ru-RU"/>
        </w:rPr>
        <w:t xml:space="preserve"> </w:t>
      </w:r>
      <w:r>
        <w:rPr>
          <w:rFonts w:eastAsia="Times New Roman"/>
          <w:szCs w:val="28"/>
          <w:lang w:eastAsia="ru-RU"/>
        </w:rPr>
        <w:t xml:space="preserve">також </w:t>
      </w:r>
      <w:r w:rsidRPr="001A683D">
        <w:rPr>
          <w:rFonts w:eastAsia="Times New Roman"/>
          <w:szCs w:val="28"/>
          <w:lang w:eastAsia="ru-RU"/>
        </w:rPr>
        <w:t xml:space="preserve">визначали імуноферментним методом за допомогою набору </w:t>
      </w:r>
      <w:r w:rsidRPr="001A683D">
        <w:rPr>
          <w:rFonts w:eastAsia="Times New Roman"/>
          <w:szCs w:val="28"/>
          <w:lang w:val="en-US" w:eastAsia="ru-RU"/>
        </w:rPr>
        <w:t>Human</w:t>
      </w:r>
      <w:r w:rsidRPr="001A683D">
        <w:rPr>
          <w:rFonts w:eastAsia="Times New Roman"/>
          <w:szCs w:val="28"/>
          <w:lang w:eastAsia="ru-RU"/>
        </w:rPr>
        <w:t xml:space="preserve"> </w:t>
      </w:r>
      <w:r>
        <w:rPr>
          <w:rFonts w:eastAsia="Times New Roman"/>
          <w:szCs w:val="28"/>
          <w:lang w:val="en-US" w:eastAsia="ru-RU"/>
        </w:rPr>
        <w:t>Galectin</w:t>
      </w:r>
      <w:r w:rsidRPr="001B35C3">
        <w:rPr>
          <w:rFonts w:eastAsia="Times New Roman"/>
          <w:szCs w:val="28"/>
          <w:lang w:eastAsia="ru-RU"/>
        </w:rPr>
        <w:t>-3</w:t>
      </w:r>
      <w:r w:rsidRPr="001A683D">
        <w:rPr>
          <w:rFonts w:eastAsia="Times New Roman"/>
          <w:szCs w:val="28"/>
          <w:lang w:eastAsia="ru-RU"/>
        </w:rPr>
        <w:t xml:space="preserve"> </w:t>
      </w:r>
      <w:r w:rsidRPr="001A683D">
        <w:rPr>
          <w:rFonts w:eastAsia="Times New Roman"/>
          <w:szCs w:val="28"/>
          <w:lang w:val="en-US" w:eastAsia="ru-RU"/>
        </w:rPr>
        <w:t>Elisa</w:t>
      </w:r>
      <w:r w:rsidRPr="001A683D">
        <w:rPr>
          <w:rFonts w:eastAsia="Times New Roman"/>
          <w:szCs w:val="28"/>
          <w:lang w:eastAsia="ru-RU"/>
        </w:rPr>
        <w:t xml:space="preserve"> </w:t>
      </w:r>
      <w:r w:rsidRPr="001A683D">
        <w:rPr>
          <w:rFonts w:eastAsia="Times New Roman"/>
          <w:szCs w:val="28"/>
          <w:lang w:val="en-US" w:eastAsia="ru-RU"/>
        </w:rPr>
        <w:t>Kit</w:t>
      </w:r>
      <w:r w:rsidRPr="001A683D">
        <w:rPr>
          <w:rFonts w:eastAsia="Times New Roman"/>
          <w:szCs w:val="28"/>
          <w:lang w:eastAsia="ru-RU"/>
        </w:rPr>
        <w:t xml:space="preserve">, </w:t>
      </w:r>
      <w:r w:rsidRPr="001B35C3">
        <w:rPr>
          <w:rFonts w:eastAsia="Times New Roman"/>
          <w:szCs w:val="28"/>
          <w:lang w:eastAsia="ru-RU"/>
        </w:rPr>
        <w:t>(«</w:t>
      </w:r>
      <w:r>
        <w:rPr>
          <w:rFonts w:eastAsia="Times New Roman"/>
          <w:szCs w:val="28"/>
          <w:lang w:val="en-US" w:eastAsia="ru-RU"/>
        </w:rPr>
        <w:t>eBioscience</w:t>
      </w:r>
      <w:r w:rsidRPr="001B35C3">
        <w:rPr>
          <w:rFonts w:eastAsia="Times New Roman"/>
          <w:szCs w:val="28"/>
          <w:lang w:eastAsia="ru-RU"/>
        </w:rPr>
        <w:t>», Австрія)</w:t>
      </w:r>
      <w:r w:rsidRPr="001A683D">
        <w:rPr>
          <w:rFonts w:eastAsia="Times New Roman"/>
          <w:szCs w:val="28"/>
          <w:lang w:eastAsia="ru-RU"/>
        </w:rPr>
        <w:t>.</w:t>
      </w:r>
      <w:r>
        <w:rPr>
          <w:rFonts w:eastAsia="Times New Roman"/>
          <w:szCs w:val="28"/>
          <w:lang w:eastAsia="ru-RU"/>
        </w:rPr>
        <w:t xml:space="preserve"> В</w:t>
      </w:r>
      <w:r w:rsidRPr="001A683D">
        <w:rPr>
          <w:rFonts w:eastAsia="Times New Roman"/>
          <w:szCs w:val="28"/>
          <w:lang w:eastAsia="ru-RU"/>
        </w:rPr>
        <w:t xml:space="preserve"> цьому наборі використовується принцип ферментативно-пов'язаного аналізу на сорбент</w:t>
      </w:r>
      <w:r>
        <w:rPr>
          <w:rFonts w:eastAsia="Times New Roman"/>
          <w:szCs w:val="28"/>
          <w:lang w:eastAsia="ru-RU"/>
        </w:rPr>
        <w:t>и</w:t>
      </w:r>
      <w:r w:rsidRPr="001A683D">
        <w:rPr>
          <w:rFonts w:eastAsia="Times New Roman"/>
          <w:szCs w:val="28"/>
          <w:lang w:eastAsia="ru-RU"/>
        </w:rPr>
        <w:t xml:space="preserve"> (ELISA) на підставі подвійних («сендвіч») мічених антитіл для визначення </w:t>
      </w:r>
      <w:r>
        <w:rPr>
          <w:rFonts w:eastAsia="Times New Roman"/>
          <w:szCs w:val="28"/>
          <w:lang w:eastAsia="ru-RU"/>
        </w:rPr>
        <w:t>галектину-3 людини.</w:t>
      </w:r>
    </w:p>
    <w:p w:rsidR="00F407BB" w:rsidRPr="001A683D" w:rsidRDefault="00F407BB" w:rsidP="00F407BB">
      <w:pPr>
        <w:spacing w:after="0" w:line="360" w:lineRule="auto"/>
        <w:ind w:firstLine="720"/>
        <w:jc w:val="both"/>
        <w:rPr>
          <w:rFonts w:eastAsia="Times New Roman"/>
          <w:szCs w:val="28"/>
          <w:lang w:eastAsia="ru-RU"/>
        </w:rPr>
      </w:pPr>
      <w:r w:rsidRPr="003941EA">
        <w:rPr>
          <w:rFonts w:eastAsia="Times New Roman"/>
          <w:szCs w:val="28"/>
          <w:lang w:eastAsia="ru-RU"/>
        </w:rPr>
        <w:lastRenderedPageBreak/>
        <w:t>На першому етапі в лунки планшета, на яких попередньо сорбовані моноклональні антитіла до галектину-3, додають зразок, що містить галектин-3, і проводять інкубацію. Після цього вносяться анти-</w:t>
      </w:r>
      <w:r w:rsidRPr="003941EA">
        <w:rPr>
          <w:rFonts w:eastAsia="Times New Roman"/>
          <w:szCs w:val="28"/>
          <w:lang w:val="en-US" w:eastAsia="ru-RU"/>
        </w:rPr>
        <w:t>GAL</w:t>
      </w:r>
      <w:r w:rsidRPr="003941EA">
        <w:rPr>
          <w:rFonts w:eastAsia="Times New Roman"/>
          <w:szCs w:val="28"/>
          <w:lang w:eastAsia="ru-RU"/>
        </w:rPr>
        <w:t>3 антитіла, мічені біотином пов'язані з стрептавидин-HRP, для формування імунного комплексу. Далі проводиться інкубація і видалення з розчину не прореагувавших ферментів шляхом багаторазового промивання планшета для аналізу. На наступному етапі додаються хромогенні субстрати А і В. Після чого розчин придбає синє забарвлення а потім змінює колір на жовтий під впливом кислоти. Кольоровий градієнт розчину і концентрація галектину - 3  пов'язані позитивною кореляцією. Один тип антитіл до пептиду (біотинільований пептид) імобілізується на внутрішніх поверхнях комірок планшетів для мікротитрування. Інший тип моноклональних антитіл до незалежного епітопу молекули галектину-3 знаходиться у наборі у вигляді кон’югату з біотином. Індикаторним компонентом є кон`югат пероксидази хріну зі стрептавідином, що має високу спорідненість до біотину. Після інкубації й промивань в лунки вносять кон`югат пероксидази із стрептавідином, інкубують, промивають, вносять субстрат і вимірюють активність зв`язаної пероксидази з використанням автоматичного фотометру для мікропланшетів. Комплект реагентів: 1.Стандарт (1600 нг / 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w:t>
      </w:r>
      <w:r w:rsidRPr="003941EA">
        <w:rPr>
          <w:rFonts w:eastAsia="Times New Roman"/>
          <w:szCs w:val="28"/>
          <w:lang w:val="en-US" w:eastAsia="ru-RU"/>
        </w:rPr>
        <w:t>GAL</w:t>
      </w:r>
      <w:r w:rsidRPr="004411C5">
        <w:rPr>
          <w:rFonts w:eastAsia="Times New Roman"/>
          <w:szCs w:val="28"/>
          <w:lang w:eastAsia="ru-RU"/>
        </w:rPr>
        <w:t>3</w:t>
      </w:r>
      <w:r w:rsidRPr="003941EA">
        <w:rPr>
          <w:rFonts w:eastAsia="Times New Roman"/>
          <w:szCs w:val="28"/>
          <w:lang w:eastAsia="ru-RU"/>
        </w:rPr>
        <w:t xml:space="preserve">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w:t>
      </w:r>
      <w:r w:rsidRPr="001A683D">
        <w:rPr>
          <w:rFonts w:eastAsia="Times New Roman"/>
          <w:szCs w:val="28"/>
          <w:lang w:eastAsia="ru-RU"/>
        </w:rPr>
        <w:t xml:space="preserve"> Обладнання: Фотометр імуноферментний з довжиною хвилі 450 нм. Аналіз проводиться з використанням безпосередньо нерозведених зразків сироватки або плазми крові. Допускається зберігання зразків при температурі 2-8°С, якщо аналіз проводиться на протязі 24 годин після їхнього забору. Для більш тривалого зберігання зразки слід заморозити й зберігати при температурі не вище -</w:t>
      </w:r>
      <w:r w:rsidRPr="001A683D">
        <w:rPr>
          <w:rFonts w:eastAsia="Times New Roman"/>
          <w:szCs w:val="28"/>
          <w:lang w:eastAsia="ru-RU"/>
        </w:rPr>
        <w:lastRenderedPageBreak/>
        <w:t xml:space="preserve">20°С. Облік результатів проводиться з використанням автоматичного фотометру для мікропланшетів при довжині хвилі 450 нм, дані калібрувальних розчинів вводяться у процесор </w:t>
      </w:r>
      <w:r>
        <w:rPr>
          <w:rFonts w:eastAsia="Times New Roman"/>
          <w:szCs w:val="28"/>
          <w:lang w:eastAsia="ru-RU"/>
        </w:rPr>
        <w:t>«</w:t>
      </w:r>
      <w:r w:rsidRPr="001A683D">
        <w:rPr>
          <w:rFonts w:eastAsia="Times New Roman"/>
          <w:szCs w:val="28"/>
          <w:lang w:eastAsia="ru-RU"/>
        </w:rPr>
        <w:t>оптична щільність/концентрація</w:t>
      </w:r>
      <w:r>
        <w:rPr>
          <w:rFonts w:eastAsia="Times New Roman"/>
          <w:szCs w:val="28"/>
          <w:lang w:eastAsia="ru-RU"/>
        </w:rPr>
        <w:t>»</w:t>
      </w:r>
      <w:r w:rsidRPr="001A683D">
        <w:rPr>
          <w:rFonts w:eastAsia="Times New Roman"/>
          <w:szCs w:val="28"/>
          <w:lang w:eastAsia="ru-RU"/>
        </w:rPr>
        <w:t xml:space="preserve">. Оптичну щільність зразків визначали на рідері «Multiscan EX» («Labsystems», Велікобританія), встановлюючи нульове поглинання на комірці зі стандартом 0. </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Тропонін I визначали імуноферментним методом за допомогою набору реагентів «Troponin I » (ХЕМА, Москва).</w:t>
      </w:r>
    </w:p>
    <w:p w:rsidR="00E0327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 xml:space="preserve">Біохімічне дослідження включало визначення рівня </w:t>
      </w:r>
      <w:r w:rsidR="00E0327D">
        <w:rPr>
          <w:rFonts w:eastAsia="Times New Roman"/>
          <w:szCs w:val="28"/>
          <w:lang w:eastAsia="ru-RU"/>
        </w:rPr>
        <w:t>ЗХС</w:t>
      </w:r>
      <w:r w:rsidRPr="001A683D">
        <w:rPr>
          <w:rFonts w:eastAsia="Times New Roman"/>
          <w:szCs w:val="28"/>
          <w:lang w:eastAsia="ru-RU"/>
        </w:rPr>
        <w:t xml:space="preserve"> </w:t>
      </w:r>
      <w:r w:rsidR="00E0327D">
        <w:rPr>
          <w:rFonts w:eastAsia="Times New Roman"/>
          <w:szCs w:val="28"/>
          <w:lang w:eastAsia="ru-RU"/>
        </w:rPr>
        <w:t>і ЛПВЩ</w:t>
      </w:r>
      <w:r w:rsidRPr="001A683D">
        <w:rPr>
          <w:rFonts w:eastAsia="Times New Roman"/>
          <w:szCs w:val="28"/>
          <w:lang w:eastAsia="ru-RU"/>
        </w:rPr>
        <w:t xml:space="preserve">, що проводили пероксидазним методом з використанням набору реактивів «CholesterolLiquicolor» фірми «Human» (Німеччина) у сироватці крові, стабілізованою гепарином. Рівень </w:t>
      </w:r>
      <w:r w:rsidR="00E0327D">
        <w:rPr>
          <w:rFonts w:eastAsia="Times New Roman"/>
          <w:szCs w:val="28"/>
          <w:lang w:eastAsia="ru-RU"/>
        </w:rPr>
        <w:t xml:space="preserve">ТГ </w:t>
      </w:r>
      <w:r w:rsidRPr="001A683D">
        <w:rPr>
          <w:rFonts w:eastAsia="Times New Roman"/>
          <w:szCs w:val="28"/>
          <w:lang w:eastAsia="ru-RU"/>
        </w:rPr>
        <w:t xml:space="preserve">визначали ферментативним колориметричним методом з використанням набору реактивів «TriglyceridesGPO» фірми «Human» (Німеччина). Проводили розрахунок коефіцієнта атерогенності за формулою Клімова А.М.: </w:t>
      </w:r>
      <w:r w:rsidR="00E0327D">
        <w:rPr>
          <w:rFonts w:eastAsia="Times New Roman"/>
          <w:szCs w:val="28"/>
          <w:lang w:eastAsia="ru-RU"/>
        </w:rPr>
        <w:t xml:space="preserve">  </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 xml:space="preserve">КА = </w:t>
      </w:r>
      <w:r>
        <w:rPr>
          <w:rFonts w:eastAsia="Times New Roman"/>
          <w:szCs w:val="28"/>
          <w:lang w:eastAsia="ru-RU"/>
        </w:rPr>
        <w:t>(ЗХ – ЛПВЩ)/ЛПВЩ, (ммоль/л),</w:t>
      </w:r>
      <w:r>
        <w:rPr>
          <w:rFonts w:eastAsia="Times New Roman"/>
          <w:szCs w:val="28"/>
          <w:lang w:eastAsia="ru-RU"/>
        </w:rPr>
        <w:tab/>
      </w:r>
      <w:r>
        <w:rPr>
          <w:rFonts w:eastAsia="Times New Roman"/>
          <w:szCs w:val="28"/>
          <w:lang w:eastAsia="ru-RU"/>
        </w:rPr>
        <w:tab/>
      </w:r>
      <w:r>
        <w:rPr>
          <w:rFonts w:eastAsia="Times New Roman"/>
          <w:szCs w:val="28"/>
          <w:lang w:eastAsia="ru-RU"/>
        </w:rPr>
        <w:tab/>
      </w:r>
      <w:r w:rsidRPr="001A683D">
        <w:rPr>
          <w:rFonts w:eastAsia="Times New Roman"/>
          <w:szCs w:val="28"/>
          <w:lang w:eastAsia="ru-RU"/>
        </w:rPr>
        <w:tab/>
        <w:t>(2.2.1.)</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де КА – коефіцієнт атерогенності, ЗХ – загальний холестерин (ммоль/л), ЛПВЩ– ліпопротеїди низької щільності (ммоль/л); </w:t>
      </w:r>
    </w:p>
    <w:p w:rsidR="00F407BB" w:rsidRPr="00395AEB" w:rsidRDefault="00F407BB" w:rsidP="00F407BB">
      <w:pPr>
        <w:spacing w:after="0" w:line="360" w:lineRule="auto"/>
        <w:ind w:firstLine="540"/>
        <w:jc w:val="both"/>
        <w:rPr>
          <w:rFonts w:eastAsia="Times New Roman"/>
          <w:szCs w:val="28"/>
          <w:lang w:eastAsia="ru-RU"/>
        </w:rPr>
      </w:pPr>
      <w:r w:rsidRPr="00395AEB">
        <w:rPr>
          <w:rFonts w:eastAsia="Times New Roman"/>
          <w:szCs w:val="28"/>
          <w:lang w:eastAsia="ru-RU"/>
        </w:rPr>
        <w:t>ЕКГ у</w:t>
      </w:r>
      <w:r>
        <w:rPr>
          <w:rFonts w:eastAsia="Times New Roman"/>
          <w:szCs w:val="28"/>
          <w:lang w:eastAsia="ru-RU"/>
        </w:rPr>
        <w:t xml:space="preserve"> стані покою</w:t>
      </w:r>
      <w:r w:rsidRPr="00395AEB">
        <w:rPr>
          <w:rFonts w:eastAsia="Times New Roman"/>
          <w:szCs w:val="28"/>
          <w:lang w:eastAsia="ru-RU"/>
        </w:rPr>
        <w:t xml:space="preserve"> виконували у 12 стандартних відведеннях за допомогою </w:t>
      </w:r>
      <w:r>
        <w:rPr>
          <w:rFonts w:eastAsia="Times New Roman"/>
          <w:szCs w:val="28"/>
          <w:lang w:eastAsia="ru-RU"/>
        </w:rPr>
        <w:t>шести</w:t>
      </w:r>
      <w:r w:rsidRPr="00395AEB">
        <w:rPr>
          <w:rFonts w:eastAsia="Times New Roman"/>
          <w:szCs w:val="28"/>
          <w:lang w:eastAsia="ru-RU"/>
        </w:rPr>
        <w:t xml:space="preserve">канального електрокардіографа </w:t>
      </w:r>
      <w:r w:rsidRPr="00DB2FA2">
        <w:rPr>
          <w:rFonts w:eastAsia="Times New Roman"/>
          <w:szCs w:val="28"/>
          <w:lang w:eastAsia="ru-RU"/>
        </w:rPr>
        <w:t>«Fukuda» FX˗326U (Японія).</w:t>
      </w:r>
    </w:p>
    <w:p w:rsidR="00F407BB" w:rsidRPr="001A683D" w:rsidRDefault="00F407BB" w:rsidP="00F407BB">
      <w:pPr>
        <w:tabs>
          <w:tab w:val="left" w:pos="-664"/>
        </w:tabs>
        <w:spacing w:after="0" w:line="360" w:lineRule="auto"/>
        <w:ind w:firstLine="709"/>
        <w:jc w:val="both"/>
        <w:rPr>
          <w:rFonts w:eastAsia="Times New Roman"/>
          <w:szCs w:val="28"/>
          <w:lang w:eastAsia="ru-RU"/>
        </w:rPr>
      </w:pPr>
      <w:r w:rsidRPr="001A683D">
        <w:rPr>
          <w:rFonts w:eastAsia="Times New Roman"/>
          <w:szCs w:val="28"/>
          <w:lang w:eastAsia="ru-RU"/>
        </w:rPr>
        <w:t>Ехокардіографічне дослідження проводили за стандартною методикою (Фейгенбаум Х., 1999) на ультразвуковому апараті RADMIR (Ultima PRO 30) (Харків, Україна). У М–режимі визначали наступні параметри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розраховували за методом Simpson (1991), після чого обчислювали фракцію викиду (ФВ) ЛШ (%) за формулами:</w:t>
      </w:r>
    </w:p>
    <w:p w:rsidR="00F407BB" w:rsidRPr="001A683D" w:rsidRDefault="00F407BB" w:rsidP="00F407BB">
      <w:pPr>
        <w:tabs>
          <w:tab w:val="left" w:pos="-664"/>
        </w:tabs>
        <w:spacing w:after="0" w:line="360" w:lineRule="auto"/>
        <w:ind w:firstLine="709"/>
        <w:jc w:val="center"/>
        <w:rPr>
          <w:rFonts w:eastAsia="Times New Roman"/>
          <w:szCs w:val="28"/>
          <w:lang w:eastAsia="ru-RU"/>
        </w:rPr>
      </w:pPr>
      <w:r w:rsidRPr="001A683D">
        <w:rPr>
          <w:rFonts w:eastAsia="Times New Roman"/>
          <w:position w:val="-28"/>
          <w:szCs w:val="28"/>
          <w:lang w:eastAsia="ru-RU"/>
        </w:rPr>
        <w:object w:dxaOrig="2895" w:dyaOrig="645">
          <v:shape id="_x0000_i1034" type="#_x0000_t75" style="width:144.65pt;height:31.95pt" o:ole="" fillcolor="window">
            <v:imagedata r:id="rId9" o:title=""/>
          </v:shape>
          <o:OLEObject Type="Embed" ProgID="Equation.3" ShapeID="_x0000_i1034" DrawAspect="Content" ObjectID="_1611493434" r:id="rId87"/>
        </w:object>
      </w:r>
      <w:r w:rsidRPr="001A683D">
        <w:rPr>
          <w:rFonts w:eastAsia="Times New Roman"/>
          <w:szCs w:val="28"/>
          <w:lang w:eastAsia="ru-RU"/>
        </w:rPr>
        <w:t>(мл)                                                            (2.2.4.)</w:t>
      </w:r>
    </w:p>
    <w:p w:rsidR="00F407BB" w:rsidRPr="001A683D" w:rsidRDefault="00F407BB" w:rsidP="00F407BB">
      <w:pPr>
        <w:tabs>
          <w:tab w:val="left" w:pos="-664"/>
        </w:tabs>
        <w:spacing w:after="0" w:line="360" w:lineRule="auto"/>
        <w:rPr>
          <w:rFonts w:eastAsia="Times New Roman"/>
          <w:szCs w:val="28"/>
          <w:lang w:eastAsia="ru-RU"/>
        </w:rPr>
      </w:pPr>
      <w:r w:rsidRPr="001A683D">
        <w:rPr>
          <w:rFonts w:eastAsia="Times New Roman"/>
          <w:szCs w:val="28"/>
          <w:lang w:eastAsia="ru-RU"/>
        </w:rPr>
        <w:t>де КДО – кінцево-діастолічний об’єм (мл), КДД – кінцево-діастолічний, діаметр ЛШ серця (см).</w:t>
      </w:r>
    </w:p>
    <w:p w:rsidR="00F407BB" w:rsidRPr="001A683D" w:rsidRDefault="00F407BB" w:rsidP="00F407BB">
      <w:pPr>
        <w:tabs>
          <w:tab w:val="left" w:pos="-664"/>
        </w:tabs>
        <w:spacing w:after="0" w:line="360" w:lineRule="auto"/>
        <w:ind w:firstLine="709"/>
        <w:jc w:val="center"/>
        <w:rPr>
          <w:rFonts w:eastAsia="Times New Roman"/>
          <w:szCs w:val="28"/>
          <w:lang w:eastAsia="ru-RU"/>
        </w:rPr>
      </w:pPr>
      <w:r w:rsidRPr="001A683D">
        <w:rPr>
          <w:rFonts w:eastAsia="Times New Roman"/>
          <w:position w:val="-28"/>
          <w:szCs w:val="28"/>
          <w:lang w:eastAsia="ru-RU"/>
        </w:rPr>
        <w:object w:dxaOrig="2925" w:dyaOrig="645">
          <v:shape id="_x0000_i1035" type="#_x0000_t75" style="width:147.15pt;height:31.95pt" o:ole="" fillcolor="window">
            <v:imagedata r:id="rId11" o:title=""/>
          </v:shape>
          <o:OLEObject Type="Embed" ProgID="Equation.3" ShapeID="_x0000_i1035" DrawAspect="Content" ObjectID="_1611493435" r:id="rId88"/>
        </w:object>
      </w:r>
      <w:r w:rsidRPr="001A683D">
        <w:rPr>
          <w:rFonts w:eastAsia="Times New Roman"/>
          <w:szCs w:val="28"/>
          <w:lang w:eastAsia="ru-RU"/>
        </w:rPr>
        <w:t>(мл)                                                               (2.2.5)</w:t>
      </w:r>
    </w:p>
    <w:p w:rsidR="00F407BB" w:rsidRPr="001A683D" w:rsidRDefault="00F407BB" w:rsidP="00F407BB">
      <w:pPr>
        <w:tabs>
          <w:tab w:val="left" w:pos="-664"/>
        </w:tabs>
        <w:spacing w:after="0" w:line="360" w:lineRule="auto"/>
        <w:jc w:val="both"/>
        <w:rPr>
          <w:rFonts w:eastAsia="Times New Roman"/>
          <w:szCs w:val="28"/>
          <w:lang w:eastAsia="ru-RU"/>
        </w:rPr>
      </w:pPr>
      <w:r w:rsidRPr="001A683D">
        <w:rPr>
          <w:rFonts w:eastAsia="Times New Roman"/>
          <w:szCs w:val="28"/>
          <w:lang w:eastAsia="ru-RU"/>
        </w:rPr>
        <w:t>де КСО – кінцево-діастолічний об’єм (мл), а КСД – кінцево-систолічний діаметр (см).</w:t>
      </w:r>
    </w:p>
    <w:p w:rsidR="00F407BB" w:rsidRPr="001B35C3" w:rsidRDefault="00F407BB" w:rsidP="00F407BB">
      <w:pPr>
        <w:tabs>
          <w:tab w:val="left" w:pos="-664"/>
        </w:tabs>
        <w:spacing w:after="0" w:line="360" w:lineRule="auto"/>
        <w:ind w:firstLine="709"/>
        <w:jc w:val="both"/>
        <w:rPr>
          <w:rFonts w:eastAsia="Times New Roman"/>
          <w:szCs w:val="28"/>
          <w:lang w:eastAsia="ru-RU"/>
        </w:rPr>
      </w:pPr>
      <w:r w:rsidRPr="001B35C3">
        <w:rPr>
          <w:rFonts w:eastAsia="Times New Roman"/>
          <w:szCs w:val="28"/>
          <w:lang w:eastAsia="ru-RU"/>
        </w:rPr>
        <w:t>Ударний об’єм (УО, см</w:t>
      </w:r>
      <w:r w:rsidRPr="001B35C3">
        <w:rPr>
          <w:rFonts w:eastAsia="Times New Roman"/>
          <w:szCs w:val="28"/>
          <w:vertAlign w:val="superscript"/>
          <w:lang w:eastAsia="ru-RU"/>
        </w:rPr>
        <w:t>3</w:t>
      </w:r>
      <w:r w:rsidRPr="001B35C3">
        <w:rPr>
          <w:rFonts w:eastAsia="Times New Roman"/>
          <w:szCs w:val="28"/>
          <w:lang w:eastAsia="ru-RU"/>
        </w:rPr>
        <w:t>) визначався як різниця кінцевого діастолічного (КДО, см3) та кінцевого систолічного об’ємів (КСО, см3) ЛШ (УО= КДО-КСО), а ФВ, як співвідношення УО до КДО (%):</w:t>
      </w:r>
    </w:p>
    <w:p w:rsidR="00F407BB" w:rsidRPr="001A683D" w:rsidRDefault="00F407BB" w:rsidP="00F407BB">
      <w:pPr>
        <w:tabs>
          <w:tab w:val="left" w:pos="-664"/>
        </w:tabs>
        <w:spacing w:after="0" w:line="360" w:lineRule="auto"/>
        <w:ind w:firstLine="709"/>
        <w:jc w:val="center"/>
        <w:rPr>
          <w:rFonts w:eastAsia="Times New Roman"/>
          <w:szCs w:val="28"/>
          <w:lang w:eastAsia="ru-RU"/>
        </w:rPr>
      </w:pPr>
      <w:r w:rsidRPr="001A683D">
        <w:rPr>
          <w:rFonts w:eastAsia="Times New Roman"/>
          <w:szCs w:val="28"/>
          <w:lang w:val="en-US" w:eastAsia="ru-RU"/>
        </w:rPr>
        <w:object w:dxaOrig="1575" w:dyaOrig="645">
          <v:shape id="_x0000_i1036" type="#_x0000_t75" style="width:78.9pt;height:31.95pt" o:ole="" fillcolor="window">
            <v:imagedata r:id="rId13" o:title=""/>
          </v:shape>
          <o:OLEObject Type="Embed" ProgID="Equation.3" ShapeID="_x0000_i1036" DrawAspect="Content" ObjectID="_1611493436" r:id="rId89"/>
        </w:object>
      </w:r>
      <w:r w:rsidRPr="001B35C3">
        <w:rPr>
          <w:rFonts w:eastAsia="Times New Roman"/>
          <w:szCs w:val="28"/>
          <w:lang w:eastAsia="ru-RU"/>
        </w:rPr>
        <w:t xml:space="preserve">                                                                                     (</w:t>
      </w:r>
      <w:r w:rsidRPr="001A683D">
        <w:rPr>
          <w:rFonts w:eastAsia="Times New Roman"/>
          <w:szCs w:val="28"/>
          <w:lang w:eastAsia="ru-RU"/>
        </w:rPr>
        <w:t>2.2.6.</w:t>
      </w:r>
      <w:r w:rsidRPr="001B35C3">
        <w:rPr>
          <w:rFonts w:eastAsia="Times New Roman"/>
          <w:szCs w:val="28"/>
          <w:lang w:eastAsia="ru-RU"/>
        </w:rPr>
        <w:t>)</w:t>
      </w:r>
    </w:p>
    <w:p w:rsidR="00F407BB" w:rsidRPr="001A683D" w:rsidRDefault="00F407BB" w:rsidP="00F407BB">
      <w:pPr>
        <w:tabs>
          <w:tab w:val="left" w:pos="-664"/>
        </w:tabs>
        <w:spacing w:after="0" w:line="360" w:lineRule="auto"/>
        <w:jc w:val="both"/>
        <w:rPr>
          <w:rFonts w:eastAsia="Times New Roman"/>
          <w:szCs w:val="28"/>
          <w:lang w:eastAsia="ru-RU"/>
        </w:rPr>
      </w:pPr>
      <w:r w:rsidRPr="001A683D">
        <w:rPr>
          <w:rFonts w:eastAsia="Times New Roman"/>
          <w:szCs w:val="28"/>
          <w:lang w:eastAsia="ru-RU"/>
        </w:rPr>
        <w:t>де ФВ – фракція викиду (%), УО – ударний об’єм (см</w:t>
      </w:r>
      <w:r w:rsidRPr="001A683D">
        <w:rPr>
          <w:rFonts w:eastAsia="Times New Roman"/>
          <w:szCs w:val="28"/>
          <w:vertAlign w:val="superscript"/>
          <w:lang w:eastAsia="ru-RU"/>
        </w:rPr>
        <w:t>3</w:t>
      </w:r>
      <w:r w:rsidRPr="001A683D">
        <w:rPr>
          <w:rFonts w:eastAsia="Times New Roman"/>
          <w:szCs w:val="28"/>
          <w:lang w:eastAsia="ru-RU"/>
        </w:rPr>
        <w:t>), КДО – кінцево-діастолічний об’єм (мл).</w:t>
      </w:r>
    </w:p>
    <w:p w:rsidR="00F407BB" w:rsidRPr="001A683D" w:rsidRDefault="00F407BB" w:rsidP="00F407BB">
      <w:pPr>
        <w:tabs>
          <w:tab w:val="left" w:pos="-664"/>
        </w:tabs>
        <w:spacing w:after="0" w:line="360" w:lineRule="auto"/>
        <w:ind w:firstLine="709"/>
        <w:jc w:val="both"/>
        <w:rPr>
          <w:rFonts w:eastAsia="Times New Roman"/>
          <w:szCs w:val="28"/>
          <w:lang w:eastAsia="ru-RU"/>
        </w:rPr>
      </w:pPr>
      <w:r w:rsidRPr="001A683D">
        <w:rPr>
          <w:rFonts w:eastAsia="Times New Roman"/>
          <w:szCs w:val="28"/>
          <w:lang w:eastAsia="ru-RU"/>
        </w:rPr>
        <w:t>Також визначали розмір лівого передсердя (ЛП) (см) та аорти (см).</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У дослідженні визначали антропометричні показники ОТ,</w:t>
      </w:r>
      <w:r>
        <w:rPr>
          <w:rFonts w:eastAsia="Times New Roman"/>
          <w:szCs w:val="28"/>
          <w:lang w:eastAsia="ru-RU"/>
        </w:rPr>
        <w:t xml:space="preserve"> ОС</w:t>
      </w:r>
      <w:r w:rsidRPr="001A683D">
        <w:rPr>
          <w:rFonts w:eastAsia="Times New Roman"/>
          <w:szCs w:val="28"/>
          <w:lang w:eastAsia="ru-RU"/>
        </w:rPr>
        <w:t>, ІМТ (індекс Кетле) – маса, кг/зріст, м</w:t>
      </w:r>
      <w:r w:rsidRPr="001A683D">
        <w:rPr>
          <w:rFonts w:eastAsia="Times New Roman"/>
          <w:szCs w:val="28"/>
          <w:vertAlign w:val="superscript"/>
          <w:lang w:eastAsia="ru-RU"/>
        </w:rPr>
        <w:t>2</w:t>
      </w:r>
      <w:r w:rsidRPr="001A683D">
        <w:rPr>
          <w:rFonts w:eastAsia="Times New Roman"/>
          <w:szCs w:val="28"/>
          <w:lang w:eastAsia="ru-RU"/>
        </w:rPr>
        <w:t>. Для визначення наявності ожиріння й типу розподілу жирової тканини проводились наступні антропометричні вимірювання: рост, вага, ОТ, ОС. ОТ вимірювали як найменьший об’єм нижче грудної клітини над пупком; ОС – як найбільший об’єм на рівні стегна; ОШ – по лінії, яка проходить через середину шийного відділу хребта й ларингеального виступу. Значен</w:t>
      </w:r>
      <w:r>
        <w:rPr>
          <w:rFonts w:eastAsia="Times New Roman"/>
          <w:szCs w:val="28"/>
          <w:lang w:eastAsia="ru-RU"/>
        </w:rPr>
        <w:t>ня ОТ &gt;102 см для чоловіків, &gt;</w:t>
      </w:r>
      <w:r w:rsidRPr="001A683D">
        <w:rPr>
          <w:rFonts w:eastAsia="Times New Roman"/>
          <w:szCs w:val="28"/>
          <w:lang w:eastAsia="ru-RU"/>
        </w:rPr>
        <w:t>89 см для жінок (за АТР III – 2001) й значення індек</w:t>
      </w:r>
      <w:r>
        <w:rPr>
          <w:rFonts w:eastAsia="Times New Roman"/>
          <w:szCs w:val="28"/>
          <w:lang w:eastAsia="ru-RU"/>
        </w:rPr>
        <w:t>су ОТ/ОС &gt;0,90 для чоловіків,&gt;</w:t>
      </w:r>
      <w:r w:rsidRPr="001A683D">
        <w:rPr>
          <w:rFonts w:eastAsia="Times New Roman"/>
          <w:szCs w:val="28"/>
          <w:lang w:eastAsia="ru-RU"/>
        </w:rPr>
        <w:t xml:space="preserve">0,85 для жінок є ознакою </w:t>
      </w:r>
      <w:r>
        <w:rPr>
          <w:rFonts w:eastAsia="Times New Roman"/>
          <w:szCs w:val="28"/>
          <w:lang w:eastAsia="ru-RU"/>
        </w:rPr>
        <w:t>абдомінального (</w:t>
      </w:r>
      <w:r w:rsidRPr="001A683D">
        <w:rPr>
          <w:rFonts w:eastAsia="Times New Roman"/>
          <w:szCs w:val="28"/>
          <w:lang w:eastAsia="ru-RU"/>
        </w:rPr>
        <w:t>АО</w:t>
      </w:r>
      <w:r>
        <w:rPr>
          <w:rFonts w:eastAsia="Times New Roman"/>
          <w:szCs w:val="28"/>
          <w:lang w:eastAsia="ru-RU"/>
        </w:rPr>
        <w:t>)</w:t>
      </w:r>
      <w:r w:rsidRPr="001A683D">
        <w:rPr>
          <w:rFonts w:eastAsia="Times New Roman"/>
          <w:szCs w:val="28"/>
          <w:lang w:eastAsia="ru-RU"/>
        </w:rPr>
        <w:t xml:space="preserve">; значення ОШ </w:t>
      </w:r>
      <w:r w:rsidRPr="00CC5EC2">
        <w:rPr>
          <w:rFonts w:eastAsia="Times New Roman"/>
          <w:szCs w:val="28"/>
          <w:lang w:eastAsia="ru-RU"/>
        </w:rPr>
        <w:t>&gt;</w:t>
      </w:r>
      <w:r w:rsidRPr="001A683D">
        <w:rPr>
          <w:rFonts w:eastAsia="Times New Roman"/>
          <w:szCs w:val="28"/>
          <w:lang w:eastAsia="ru-RU"/>
        </w:rPr>
        <w:t xml:space="preserve"> 36 см для жінок і </w:t>
      </w:r>
      <w:r w:rsidRPr="00CC5EC2">
        <w:rPr>
          <w:rFonts w:eastAsia="Times New Roman"/>
          <w:szCs w:val="28"/>
          <w:lang w:eastAsia="ru-RU"/>
        </w:rPr>
        <w:t>&gt;</w:t>
      </w:r>
      <w:r w:rsidRPr="001A683D">
        <w:rPr>
          <w:rFonts w:eastAsia="Times New Roman"/>
          <w:szCs w:val="28"/>
          <w:lang w:eastAsia="ru-RU"/>
        </w:rPr>
        <w:t xml:space="preserve">39 </w:t>
      </w:r>
      <w:r>
        <w:rPr>
          <w:rFonts w:eastAsia="Times New Roman"/>
          <w:szCs w:val="28"/>
          <w:lang w:eastAsia="ru-RU"/>
        </w:rPr>
        <w:t>см</w:t>
      </w:r>
      <w:r w:rsidRPr="001A683D">
        <w:rPr>
          <w:rFonts w:eastAsia="Times New Roman"/>
          <w:szCs w:val="28"/>
          <w:lang w:eastAsia="ru-RU"/>
        </w:rPr>
        <w:t xml:space="preserve"> у чоловіків знаходяться у группі різику по о</w:t>
      </w:r>
      <w:r>
        <w:rPr>
          <w:rFonts w:eastAsia="Times New Roman"/>
          <w:szCs w:val="28"/>
          <w:lang w:eastAsia="ru-RU"/>
        </w:rPr>
        <w:t>ж</w:t>
      </w:r>
      <w:r w:rsidRPr="001A683D">
        <w:rPr>
          <w:rFonts w:eastAsia="Times New Roman"/>
          <w:szCs w:val="28"/>
          <w:lang w:eastAsia="ru-RU"/>
        </w:rPr>
        <w:t>ирінню і ССЗ.</w:t>
      </w:r>
    </w:p>
    <w:p w:rsidR="00F407BB" w:rsidRPr="001A683D" w:rsidRDefault="00F407BB" w:rsidP="00F407BB">
      <w:pPr>
        <w:spacing w:after="0" w:line="360" w:lineRule="auto"/>
        <w:ind w:firstLine="709"/>
        <w:jc w:val="both"/>
        <w:rPr>
          <w:rFonts w:eastAsia="Times New Roman"/>
          <w:i/>
          <w:color w:val="333399"/>
          <w:szCs w:val="28"/>
          <w:lang w:eastAsia="ru-RU"/>
        </w:rPr>
      </w:pPr>
      <w:r w:rsidRPr="001A683D">
        <w:rPr>
          <w:rFonts w:eastAsia="Times New Roman"/>
          <w:szCs w:val="28"/>
          <w:lang w:eastAsia="ru-RU"/>
        </w:rPr>
        <w:t xml:space="preserve">Індекс маси тіла розраховували за формулою: </w:t>
      </w:r>
      <w:r w:rsidRPr="001A683D">
        <w:rPr>
          <w:rFonts w:eastAsia="Times New Roman"/>
          <w:i/>
          <w:szCs w:val="28"/>
          <w:lang w:eastAsia="ru-RU"/>
        </w:rPr>
        <w:t>ІМТ = вага(кг)/ ріст (м</w:t>
      </w:r>
      <w:r w:rsidRPr="001A683D">
        <w:rPr>
          <w:rFonts w:eastAsia="Times New Roman"/>
          <w:i/>
          <w:szCs w:val="28"/>
          <w:vertAlign w:val="superscript"/>
          <w:lang w:eastAsia="ru-RU"/>
        </w:rPr>
        <w:t>2</w:t>
      </w:r>
      <w:r w:rsidRPr="001A683D">
        <w:rPr>
          <w:rFonts w:eastAsia="Times New Roman"/>
          <w:i/>
          <w:szCs w:val="28"/>
          <w:lang w:eastAsia="ru-RU"/>
        </w:rPr>
        <w:t>).</w:t>
      </w:r>
    </w:p>
    <w:p w:rsidR="00F407BB" w:rsidRPr="001A683D" w:rsidRDefault="00F407BB" w:rsidP="00F407BB">
      <w:pPr>
        <w:spacing w:after="0" w:line="360" w:lineRule="auto"/>
        <w:ind w:firstLine="720"/>
        <w:jc w:val="both"/>
        <w:rPr>
          <w:rFonts w:eastAsia="Times New Roman"/>
          <w:szCs w:val="28"/>
          <w:lang w:eastAsia="ru-RU"/>
        </w:rPr>
      </w:pPr>
      <w:r w:rsidRPr="001A683D">
        <w:rPr>
          <w:rFonts w:eastAsia="Times New Roman"/>
          <w:szCs w:val="28"/>
          <w:lang w:eastAsia="ru-RU"/>
        </w:rPr>
        <w:t>Критерієм наявності ожиріння вважали значення ІМТ, що перевищує 30 кг/м</w:t>
      </w:r>
      <w:r w:rsidRPr="001A683D">
        <w:rPr>
          <w:rFonts w:eastAsia="Times New Roman"/>
          <w:szCs w:val="28"/>
          <w:vertAlign w:val="superscript"/>
          <w:lang w:eastAsia="ru-RU"/>
        </w:rPr>
        <w:t>2</w:t>
      </w:r>
      <w:r w:rsidRPr="001A683D">
        <w:rPr>
          <w:rFonts w:eastAsia="Times New Roman"/>
          <w:szCs w:val="28"/>
          <w:lang w:eastAsia="ru-RU"/>
        </w:rPr>
        <w:t xml:space="preserve"> </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lastRenderedPageBreak/>
        <w:t xml:space="preserve">Для визначення наявності абдомінального </w:t>
      </w:r>
      <w:r>
        <w:rPr>
          <w:rFonts w:eastAsia="Times New Roman"/>
          <w:szCs w:val="28"/>
          <w:lang w:eastAsia="ru-RU"/>
        </w:rPr>
        <w:t>АО</w:t>
      </w:r>
      <w:r w:rsidRPr="001A683D">
        <w:rPr>
          <w:rFonts w:eastAsia="Times New Roman"/>
          <w:szCs w:val="28"/>
          <w:lang w:eastAsia="ru-RU"/>
        </w:rPr>
        <w:t xml:space="preserve"> вимірювали ОТ, ОС й розраховували індекс ОТ/ОС.</w:t>
      </w:r>
    </w:p>
    <w:p w:rsidR="00F407BB" w:rsidRPr="001A683D" w:rsidRDefault="00F407BB" w:rsidP="00F407BB">
      <w:pPr>
        <w:tabs>
          <w:tab w:val="left" w:pos="-664"/>
        </w:tabs>
        <w:spacing w:after="0" w:line="360" w:lineRule="auto"/>
        <w:ind w:firstLine="709"/>
        <w:jc w:val="both"/>
        <w:rPr>
          <w:rFonts w:eastAsia="Times New Roman"/>
          <w:szCs w:val="28"/>
          <w:lang w:eastAsia="ru-RU"/>
        </w:rPr>
      </w:pPr>
      <w:r w:rsidRPr="001A683D">
        <w:rPr>
          <w:rFonts w:eastAsia="Times New Roman"/>
          <w:szCs w:val="28"/>
          <w:lang w:eastAsia="ru-RU"/>
        </w:rPr>
        <w:t xml:space="preserve">Згідно з Наказом Міністерства охорони здоров’я №455 від 02.07.2014 року </w:t>
      </w:r>
      <w:r>
        <w:rPr>
          <w:rFonts w:eastAsia="Times New Roman"/>
          <w:szCs w:val="28"/>
          <w:lang w:eastAsia="ru-RU"/>
        </w:rPr>
        <w:t>«</w:t>
      </w:r>
      <w:r w:rsidRPr="001A683D">
        <w:rPr>
          <w:rFonts w:eastAsia="Times New Roman"/>
          <w:szCs w:val="28"/>
          <w:lang w:eastAsia="ru-RU"/>
        </w:rPr>
        <w:t>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w:t>
      </w:r>
      <w:r>
        <w:rPr>
          <w:rFonts w:eastAsia="Times New Roman"/>
          <w:szCs w:val="28"/>
          <w:lang w:eastAsia="ru-RU"/>
        </w:rPr>
        <w:t>»</w:t>
      </w:r>
      <w:r w:rsidRPr="001A683D">
        <w:rPr>
          <w:rFonts w:eastAsia="Times New Roman"/>
          <w:szCs w:val="28"/>
          <w:lang w:eastAsia="ru-RU"/>
        </w:rPr>
        <w:t xml:space="preserve">, хворі на гострий інфаркт міокарда отримували відповідну терапію. </w:t>
      </w:r>
      <w:r w:rsidRPr="001A683D">
        <w:rPr>
          <w:szCs w:val="28"/>
        </w:rPr>
        <w:t>Усі хворі залучені до дослідження отримували тромболітичну терапію (стрептокіназа 1,5 млн. ОД</w:t>
      </w:r>
      <w:r>
        <w:rPr>
          <w:szCs w:val="28"/>
        </w:rPr>
        <w:t xml:space="preserve"> або тенектеплазе 10000 ОД</w:t>
      </w:r>
      <w:r w:rsidRPr="001A683D">
        <w:rPr>
          <w:szCs w:val="28"/>
        </w:rPr>
        <w:t>)</w:t>
      </w:r>
      <w:r>
        <w:rPr>
          <w:szCs w:val="28"/>
        </w:rPr>
        <w:t xml:space="preserve"> або КВГ з наступним стентування інфаркт-залежної артерії</w:t>
      </w:r>
      <w:r w:rsidRPr="001A683D">
        <w:rPr>
          <w:szCs w:val="28"/>
        </w:rPr>
        <w:t>. Комплексне лікування включало стандартні засоби тривалої фармакотерапії ГІМ</w:t>
      </w:r>
      <w:r w:rsidRPr="001A683D">
        <w:rPr>
          <w:rFonts w:eastAsia="Times New Roman"/>
          <w:szCs w:val="28"/>
          <w:lang w:eastAsia="ru-RU"/>
        </w:rPr>
        <w:t xml:space="preserve">: за умов наявності больовому синдрому та клінічних проявів гострої серцевої недостатності (нітрогліцерин 1 % - 1,0 мл внутрішньовенно); наркотичні анальгетики (морфін 1 мл внутрішньовенно); антиагреганти - ацетилсаліцилова кислота (навантажувальна доза 250 мг, потім 125 мг </w:t>
      </w:r>
      <w:r>
        <w:rPr>
          <w:rFonts w:eastAsia="Times New Roman"/>
          <w:szCs w:val="28"/>
          <w:lang w:eastAsia="ru-RU"/>
        </w:rPr>
        <w:t>перорально</w:t>
      </w:r>
      <w:r w:rsidRPr="001A683D">
        <w:rPr>
          <w:rFonts w:eastAsia="Times New Roman"/>
          <w:szCs w:val="28"/>
          <w:lang w:eastAsia="ru-RU"/>
        </w:rPr>
        <w:t xml:space="preserve">) і </w:t>
      </w:r>
      <w:r w:rsidRPr="001A683D">
        <w:rPr>
          <w:szCs w:val="28"/>
        </w:rPr>
        <w:t>інгібітор Р2Y</w:t>
      </w:r>
      <w:r w:rsidRPr="001A683D">
        <w:rPr>
          <w:szCs w:val="28"/>
          <w:vertAlign w:val="subscript"/>
        </w:rPr>
        <w:t>I2</w:t>
      </w:r>
      <w:r w:rsidRPr="001A683D">
        <w:rPr>
          <w:szCs w:val="28"/>
        </w:rPr>
        <w:t xml:space="preserve"> рецепторів - клопідогрель </w:t>
      </w:r>
      <w:r w:rsidRPr="001A683D">
        <w:rPr>
          <w:rFonts w:eastAsia="Times New Roman"/>
          <w:szCs w:val="28"/>
          <w:lang w:eastAsia="ru-RU"/>
        </w:rPr>
        <w:t xml:space="preserve">(навантажувальна доза 300 мг, потім 75 </w:t>
      </w:r>
      <w:r>
        <w:rPr>
          <w:rFonts w:eastAsia="Times New Roman"/>
          <w:szCs w:val="28"/>
          <w:lang w:eastAsia="ru-RU"/>
        </w:rPr>
        <w:t>перорально</w:t>
      </w:r>
      <w:r w:rsidRPr="001A683D">
        <w:rPr>
          <w:rFonts w:eastAsia="Times New Roman"/>
          <w:szCs w:val="28"/>
          <w:lang w:eastAsia="ru-RU"/>
        </w:rPr>
        <w:t>)</w:t>
      </w:r>
      <w:r>
        <w:rPr>
          <w:rFonts w:eastAsia="Times New Roman"/>
          <w:szCs w:val="28"/>
          <w:lang w:eastAsia="ru-RU"/>
        </w:rPr>
        <w:t xml:space="preserve"> або тикагрелор (</w:t>
      </w:r>
      <w:r w:rsidRPr="001A683D">
        <w:rPr>
          <w:rFonts w:eastAsia="Times New Roman"/>
          <w:szCs w:val="28"/>
          <w:lang w:eastAsia="ru-RU"/>
        </w:rPr>
        <w:t xml:space="preserve">навантажувальна доза </w:t>
      </w:r>
      <w:r>
        <w:rPr>
          <w:rFonts w:eastAsia="Times New Roman"/>
          <w:szCs w:val="28"/>
          <w:lang w:eastAsia="ru-RU"/>
        </w:rPr>
        <w:t>180 мг, потім 90 мг</w:t>
      </w:r>
      <w:r w:rsidRPr="001A683D">
        <w:rPr>
          <w:rFonts w:eastAsia="Times New Roman"/>
          <w:szCs w:val="28"/>
          <w:lang w:eastAsia="ru-RU"/>
        </w:rPr>
        <w:t xml:space="preserve"> </w:t>
      </w:r>
      <w:r>
        <w:rPr>
          <w:rFonts w:eastAsia="Times New Roman"/>
          <w:szCs w:val="28"/>
          <w:lang w:eastAsia="ru-RU"/>
        </w:rPr>
        <w:t>перорально)</w:t>
      </w:r>
      <w:r w:rsidRPr="001A683D">
        <w:rPr>
          <w:rFonts w:eastAsia="Times New Roman"/>
          <w:szCs w:val="28"/>
          <w:lang w:eastAsia="ru-RU"/>
        </w:rPr>
        <w:t>; еноксапарин (0,5 мг/кг 2 рази на день підшкірно); бета-</w:t>
      </w:r>
      <w:r>
        <w:rPr>
          <w:rFonts w:eastAsia="Times New Roman"/>
          <w:szCs w:val="28"/>
          <w:lang w:eastAsia="ru-RU"/>
        </w:rPr>
        <w:t>блокатори (метопролол до 25 мг перорально</w:t>
      </w:r>
      <w:r w:rsidRPr="001A683D">
        <w:rPr>
          <w:rFonts w:eastAsia="Times New Roman"/>
          <w:szCs w:val="28"/>
          <w:lang w:eastAsia="ru-RU"/>
        </w:rPr>
        <w:t xml:space="preserve">); статини (аторвастатин 80 мг </w:t>
      </w:r>
      <w:r>
        <w:rPr>
          <w:rFonts w:eastAsia="Times New Roman"/>
          <w:szCs w:val="28"/>
          <w:lang w:eastAsia="ru-RU"/>
        </w:rPr>
        <w:t>перорально</w:t>
      </w:r>
      <w:r w:rsidRPr="001A683D">
        <w:rPr>
          <w:rFonts w:eastAsia="Times New Roman"/>
          <w:szCs w:val="28"/>
          <w:lang w:eastAsia="ru-RU"/>
        </w:rPr>
        <w:t xml:space="preserve">); діуретики (фуросемід 60-8- мг внутрішньовенно крапельно); блокатори протонної помпи (пантопразол 40 мг </w:t>
      </w:r>
      <w:r>
        <w:rPr>
          <w:rFonts w:eastAsia="Times New Roman"/>
          <w:szCs w:val="28"/>
          <w:lang w:eastAsia="ru-RU"/>
        </w:rPr>
        <w:t>перорально</w:t>
      </w:r>
      <w:r w:rsidRPr="001A683D">
        <w:rPr>
          <w:rFonts w:eastAsia="Times New Roman"/>
          <w:szCs w:val="28"/>
          <w:lang w:eastAsia="ru-RU"/>
        </w:rPr>
        <w:t xml:space="preserve">), при фракції викиду ≤ 40% </w:t>
      </w:r>
      <w:r>
        <w:rPr>
          <w:rFonts w:eastAsia="Times New Roman"/>
          <w:szCs w:val="28"/>
          <w:lang w:eastAsia="ru-RU"/>
        </w:rPr>
        <w:t xml:space="preserve">та </w:t>
      </w:r>
      <w:r w:rsidRPr="008758C6">
        <w:rPr>
          <w:rFonts w:eastAsia="Times New Roman"/>
          <w:szCs w:val="28"/>
          <w:lang w:eastAsia="ru-RU"/>
        </w:rPr>
        <w:t>при відсутності ниркової недостатності чи гіперкаліємії</w:t>
      </w:r>
      <w:r>
        <w:rPr>
          <w:rFonts w:eastAsia="Times New Roman"/>
          <w:szCs w:val="28"/>
          <w:lang w:eastAsia="ru-RU"/>
        </w:rPr>
        <w:t xml:space="preserve"> – </w:t>
      </w:r>
      <w:r w:rsidRPr="001A683D">
        <w:rPr>
          <w:szCs w:val="28"/>
        </w:rPr>
        <w:t xml:space="preserve">конкурентний антагоніст альдостерону </w:t>
      </w:r>
      <w:r w:rsidRPr="001A683D">
        <w:rPr>
          <w:rFonts w:eastAsia="Times New Roman"/>
          <w:szCs w:val="28"/>
          <w:lang w:eastAsia="ru-RU"/>
        </w:rPr>
        <w:t xml:space="preserve">(спіронолактон 25 мг </w:t>
      </w:r>
      <w:r>
        <w:rPr>
          <w:rFonts w:eastAsia="Times New Roman"/>
          <w:szCs w:val="28"/>
          <w:lang w:eastAsia="ru-RU"/>
        </w:rPr>
        <w:t>перорально</w:t>
      </w:r>
      <w:r w:rsidRPr="001A683D">
        <w:rPr>
          <w:rFonts w:eastAsia="Times New Roman"/>
          <w:szCs w:val="28"/>
          <w:lang w:eastAsia="ru-RU"/>
        </w:rPr>
        <w:t xml:space="preserve">). </w:t>
      </w:r>
    </w:p>
    <w:p w:rsidR="00F407BB" w:rsidRPr="001A683D" w:rsidRDefault="00F407BB" w:rsidP="00F407BB">
      <w:pPr>
        <w:tabs>
          <w:tab w:val="left" w:pos="-664"/>
        </w:tabs>
        <w:spacing w:after="0" w:line="360" w:lineRule="auto"/>
        <w:jc w:val="both"/>
        <w:rPr>
          <w:rFonts w:eastAsia="Times New Roman"/>
          <w:szCs w:val="28"/>
          <w:lang w:eastAsia="ru-RU"/>
        </w:rPr>
      </w:pPr>
      <w:r w:rsidRPr="001A683D">
        <w:rPr>
          <w:rFonts w:eastAsia="Times New Roman"/>
          <w:szCs w:val="28"/>
          <w:lang w:eastAsia="ru-RU"/>
        </w:rPr>
        <w:tab/>
        <w:t xml:space="preserve">Для порівняльної оцінки терапевтичного ефекту були сформовані 2 групи пацієнтів: 1-а група хворих на ГІМ з ожирінням, яким до складу стандартної терапії було включено </w:t>
      </w:r>
      <w:r>
        <w:rPr>
          <w:rFonts w:eastAsia="Times New Roman"/>
          <w:szCs w:val="28"/>
          <w:lang w:eastAsia="ru-RU"/>
        </w:rPr>
        <w:t>клопідогрель</w:t>
      </w:r>
      <w:r w:rsidRPr="001A683D">
        <w:rPr>
          <w:rFonts w:eastAsia="Times New Roman"/>
          <w:szCs w:val="28"/>
          <w:lang w:eastAsia="ru-RU"/>
        </w:rPr>
        <w:t xml:space="preserve"> у дозі </w:t>
      </w:r>
      <w:r>
        <w:rPr>
          <w:rFonts w:eastAsia="Times New Roman"/>
          <w:szCs w:val="28"/>
          <w:lang w:eastAsia="ru-RU"/>
        </w:rPr>
        <w:t>75</w:t>
      </w:r>
      <w:r w:rsidRPr="001A683D">
        <w:rPr>
          <w:rFonts w:eastAsia="Times New Roman"/>
          <w:szCs w:val="28"/>
          <w:lang w:eastAsia="ru-RU"/>
        </w:rPr>
        <w:t xml:space="preserve"> мг на добу</w:t>
      </w:r>
      <w:r>
        <w:rPr>
          <w:rFonts w:eastAsia="Times New Roman"/>
          <w:szCs w:val="28"/>
          <w:lang w:eastAsia="ru-RU"/>
        </w:rPr>
        <w:t xml:space="preserve"> </w:t>
      </w:r>
      <w:r w:rsidRPr="001A683D">
        <w:rPr>
          <w:rFonts w:eastAsia="Times New Roman"/>
          <w:szCs w:val="28"/>
          <w:lang w:eastAsia="ru-RU"/>
        </w:rPr>
        <w:t>(</w:t>
      </w:r>
      <w:r w:rsidRPr="001A683D">
        <w:rPr>
          <w:rFonts w:eastAsia="Times New Roman"/>
          <w:szCs w:val="28"/>
          <w:lang w:val="en-US" w:eastAsia="ru-RU"/>
        </w:rPr>
        <w:t>n</w:t>
      </w:r>
      <w:r w:rsidRPr="001A683D">
        <w:rPr>
          <w:rFonts w:eastAsia="Times New Roman"/>
          <w:szCs w:val="28"/>
          <w:lang w:eastAsia="ru-RU"/>
        </w:rPr>
        <w:t xml:space="preserve">=37); 2-а група хворих на ГІМ з супутнім ожирінням, які ускладі </w:t>
      </w:r>
      <w:r>
        <w:rPr>
          <w:rFonts w:eastAsia="Times New Roman"/>
          <w:szCs w:val="28"/>
          <w:lang w:eastAsia="ru-RU"/>
        </w:rPr>
        <w:t>стандартної терапії отримували тикагрелор</w:t>
      </w:r>
      <w:r w:rsidRPr="001A683D">
        <w:rPr>
          <w:rFonts w:eastAsia="Times New Roman"/>
          <w:szCs w:val="28"/>
          <w:lang w:eastAsia="ru-RU"/>
        </w:rPr>
        <w:t xml:space="preserve"> у дозі </w:t>
      </w:r>
      <w:r>
        <w:rPr>
          <w:rFonts w:eastAsia="Times New Roman"/>
          <w:szCs w:val="28"/>
          <w:lang w:eastAsia="ru-RU"/>
        </w:rPr>
        <w:t>90</w:t>
      </w:r>
      <w:r w:rsidRPr="001A683D">
        <w:rPr>
          <w:rFonts w:eastAsia="Times New Roman"/>
          <w:szCs w:val="28"/>
          <w:lang w:eastAsia="ru-RU"/>
        </w:rPr>
        <w:t xml:space="preserve"> мг </w:t>
      </w:r>
      <w:r>
        <w:rPr>
          <w:rFonts w:eastAsia="Times New Roman"/>
          <w:szCs w:val="28"/>
          <w:lang w:eastAsia="ru-RU"/>
        </w:rPr>
        <w:t xml:space="preserve">двічі </w:t>
      </w:r>
      <w:r w:rsidRPr="001A683D">
        <w:rPr>
          <w:rFonts w:eastAsia="Times New Roman"/>
          <w:szCs w:val="28"/>
          <w:lang w:eastAsia="ru-RU"/>
        </w:rPr>
        <w:t>на добу(</w:t>
      </w:r>
      <w:r w:rsidRPr="001A683D">
        <w:rPr>
          <w:rFonts w:eastAsia="Times New Roman"/>
          <w:szCs w:val="28"/>
          <w:lang w:val="en-US" w:eastAsia="ru-RU"/>
        </w:rPr>
        <w:t>n</w:t>
      </w:r>
      <w:r w:rsidRPr="001A683D">
        <w:rPr>
          <w:rFonts w:eastAsia="Times New Roman"/>
          <w:szCs w:val="28"/>
          <w:lang w:eastAsia="ru-RU"/>
        </w:rPr>
        <w:t>=38).</w:t>
      </w:r>
    </w:p>
    <w:p w:rsidR="00F407BB" w:rsidRPr="001A683D" w:rsidRDefault="00F407BB" w:rsidP="00F407BB">
      <w:pPr>
        <w:shd w:val="clear" w:color="auto" w:fill="FFFFFF"/>
        <w:spacing w:after="0" w:line="360" w:lineRule="auto"/>
        <w:ind w:firstLine="709"/>
        <w:jc w:val="both"/>
        <w:rPr>
          <w:rFonts w:eastAsia="Times New Roman"/>
          <w:szCs w:val="28"/>
          <w:lang w:eastAsia="ru-RU"/>
        </w:rPr>
      </w:pPr>
      <w:r w:rsidRPr="001A683D">
        <w:rPr>
          <w:rFonts w:eastAsia="Times New Roman"/>
          <w:szCs w:val="28"/>
          <w:lang w:eastAsia="ru-RU"/>
        </w:rPr>
        <w:lastRenderedPageBreak/>
        <w:t>Математична комп’ютерна обробка результатів проведена за допомогою програмного пакету «Statisti</w:t>
      </w:r>
      <w:r w:rsidRPr="001A683D">
        <w:rPr>
          <w:rFonts w:eastAsia="Times New Roman"/>
          <w:szCs w:val="28"/>
          <w:lang w:val="en-US" w:eastAsia="ru-RU"/>
        </w:rPr>
        <w:t>c</w:t>
      </w:r>
      <w:r w:rsidRPr="001A683D">
        <w:rPr>
          <w:rFonts w:eastAsia="Times New Roman"/>
          <w:szCs w:val="28"/>
          <w:lang w:eastAsia="ru-RU"/>
        </w:rPr>
        <w:t>a 6,0» (StaSoft Inc, США). Розраховувалися: середнє значення (М), дисперсія, стандартне відхилення, медіана (m), вірогідність й рівень значущості (p). Для порівняльного аналізу вибірок з нормальним розподілом, достовірність різниць підтверджувались використанням критерію Фішера (</w:t>
      </w:r>
      <w:r w:rsidRPr="001A683D">
        <w:rPr>
          <w:rFonts w:eastAsia="Times New Roman"/>
          <w:szCs w:val="28"/>
          <w:lang w:val="en-US" w:eastAsia="ru-RU"/>
        </w:rPr>
        <w:t>F</w:t>
      </w:r>
      <w:r w:rsidRPr="001A683D">
        <w:rPr>
          <w:rFonts w:eastAsia="Times New Roman"/>
          <w:szCs w:val="28"/>
          <w:lang w:eastAsia="ru-RU"/>
        </w:rPr>
        <w:t>). Для оцінки ступеня взаємозв’язку між вибірками використовували коефіцієнт кореляції  Спірмена (r).</w:t>
      </w:r>
    </w:p>
    <w:p w:rsidR="00F407BB"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 xml:space="preserve">Таким чином, дисертаційна робота базується на дослідженні 105 хворих на ГІМ, які були розподілені на групи в залежності від віку, статі, наявності супутнього ожиріння. Така кількість пацієнтів та розподіл матеріалу дозволяє належним чином співставити групи обстежених з метою підвищення ефективності терапії хворих на ГІМ з супутнім ожирінням на підставі </w:t>
      </w:r>
      <w:r>
        <w:rPr>
          <w:rFonts w:eastAsia="Times New Roman"/>
          <w:szCs w:val="28"/>
          <w:lang w:eastAsia="ru-RU"/>
        </w:rPr>
        <w:t xml:space="preserve">вивчення кардіальних маркерів </w:t>
      </w:r>
      <w:r w:rsidRPr="001A683D">
        <w:rPr>
          <w:rFonts w:eastAsia="Times New Roman"/>
          <w:szCs w:val="28"/>
          <w:lang w:eastAsia="ru-RU"/>
        </w:rPr>
        <w:t>та їх впливу на стан гемодинаміки та прогноз частоти розвитку не фатальних та фатальних кінцевих точок.</w:t>
      </w:r>
    </w:p>
    <w:p w:rsidR="00F407BB" w:rsidRPr="00EE0336" w:rsidRDefault="00F407BB" w:rsidP="00F407BB">
      <w:pPr>
        <w:spacing w:after="0" w:line="360" w:lineRule="auto"/>
        <w:ind w:firstLine="709"/>
        <w:jc w:val="both"/>
        <w:rPr>
          <w:szCs w:val="28"/>
        </w:rPr>
      </w:pPr>
      <w:r w:rsidRPr="00EE0336">
        <w:rPr>
          <w:szCs w:val="28"/>
        </w:rPr>
        <w:t xml:space="preserve">Під час дослідження виявлено, що у хворих на ГІМ та наявності ожиріння рівні вітронектину перевищували такі у пацієнтів без ожиріння на 25,9% (р&lt;0,05). Концентрація галектину-3 була вище на 32,4% у пацієнтів за наявності ГІМ на тлі супутнього ожиріння, ніж у пацієнтів з ізольованим ГІМ. Подібні результати отримано й у відношенні кількісного тропоніну </w:t>
      </w:r>
      <w:r w:rsidRPr="00EE0336">
        <w:rPr>
          <w:szCs w:val="28"/>
          <w:lang w:val="en-US"/>
        </w:rPr>
        <w:t>I</w:t>
      </w:r>
      <w:r w:rsidRPr="00EE0336">
        <w:rPr>
          <w:szCs w:val="28"/>
        </w:rPr>
        <w:t>, рівні якого були вищими на 56,6% у хворих на ГІМ з ІМТ&gt;30кг/м</w:t>
      </w:r>
      <w:r w:rsidRPr="00EE0336">
        <w:rPr>
          <w:szCs w:val="28"/>
          <w:vertAlign w:val="superscript"/>
        </w:rPr>
        <w:t>2</w:t>
      </w:r>
      <w:r w:rsidRPr="00EE0336">
        <w:rPr>
          <w:szCs w:val="28"/>
        </w:rPr>
        <w:t xml:space="preserve">, ніж у пацієнтів із нормальною масою тіла. Даний факт щодо зростання рівня тропоніну у групі хворих на ГІМ з ожирінням може бути обумовлено тим, що у цій когорті переважали хворі з </w:t>
      </w:r>
      <w:r w:rsidRPr="00EE0336">
        <w:rPr>
          <w:szCs w:val="28"/>
          <w:lang w:val="en-US"/>
        </w:rPr>
        <w:t>Q</w:t>
      </w:r>
      <w:r w:rsidRPr="00EE0336">
        <w:rPr>
          <w:szCs w:val="28"/>
        </w:rPr>
        <w:t>-позитивним ІМ, площа ураження при якому значно перевищує таку при ІМ без зубця Q і асоціюється з більш високою концентрацією маркеру некрозу міокарда тропоніну I.</w:t>
      </w:r>
    </w:p>
    <w:p w:rsidR="00F407BB" w:rsidRPr="00EE0336" w:rsidRDefault="00F407BB" w:rsidP="00F407BB">
      <w:pPr>
        <w:spacing w:after="0" w:line="360" w:lineRule="auto"/>
        <w:ind w:firstLine="709"/>
        <w:jc w:val="both"/>
        <w:rPr>
          <w:b/>
          <w:szCs w:val="28"/>
        </w:rPr>
      </w:pPr>
      <w:r w:rsidRPr="00EE0336">
        <w:rPr>
          <w:szCs w:val="28"/>
        </w:rPr>
        <w:t>Співставлення рівнів вітронектину у хворих з ГІМ та ожирінням з контрольною групою встановило відмінності у вигляді достовірного зростання концентрації даного параметра за наявності ожиріння (р</w:t>
      </w:r>
      <w:r w:rsidRPr="00EE0336">
        <w:rPr>
          <w:szCs w:val="28"/>
          <w:lang w:val="ru-RU"/>
        </w:rPr>
        <w:t>&lt;0,01)</w:t>
      </w:r>
      <w:r w:rsidRPr="00EE0336">
        <w:rPr>
          <w:szCs w:val="28"/>
        </w:rPr>
        <w:t xml:space="preserve">. Рівень вітронектину </w:t>
      </w:r>
      <w:r w:rsidRPr="00EE0336">
        <w:rPr>
          <w:szCs w:val="28"/>
        </w:rPr>
        <w:lastRenderedPageBreak/>
        <w:t>у хворих на ГІМ без ожиріння також перевищував такий в осіб групи контролю (р</w:t>
      </w:r>
      <w:r w:rsidRPr="00EE0336">
        <w:rPr>
          <w:szCs w:val="28"/>
          <w:lang w:val="ru-RU"/>
        </w:rPr>
        <w:t>&lt;0,01</w:t>
      </w:r>
      <w:r w:rsidRPr="00EE0336">
        <w:rPr>
          <w:szCs w:val="28"/>
        </w:rPr>
        <w:t>). Що стосується активності галектину-3, рівень даного показника був вірогідно вище у хворих на ГІМ за наявності або відсутності ожиріння при зіставленні з контрольною групою (р</w:t>
      </w:r>
      <w:r w:rsidRPr="00EE0336">
        <w:rPr>
          <w:szCs w:val="28"/>
          <w:lang w:val="ru-RU"/>
        </w:rPr>
        <w:t>&lt;0,01</w:t>
      </w:r>
      <w:r w:rsidRPr="00EE0336">
        <w:rPr>
          <w:szCs w:val="28"/>
        </w:rPr>
        <w:t>). Подібні відмінності отримано за рівнем тропоніну І, який був достовірно вище у хворих на ГІМ та ожиріння порівняно з групою контролю (р</w:t>
      </w:r>
      <w:r w:rsidRPr="00EE0336">
        <w:rPr>
          <w:szCs w:val="28"/>
          <w:lang w:val="ru-RU"/>
        </w:rPr>
        <w:t>&lt;0,01</w:t>
      </w:r>
      <w:r w:rsidRPr="00EE0336">
        <w:rPr>
          <w:szCs w:val="28"/>
        </w:rPr>
        <w:t>).</w:t>
      </w:r>
    </w:p>
    <w:p w:rsidR="00F407BB" w:rsidRPr="00EE0336" w:rsidRDefault="00F407BB" w:rsidP="00F407BB">
      <w:pPr>
        <w:spacing w:after="0" w:line="360" w:lineRule="auto"/>
        <w:ind w:firstLine="709"/>
        <w:jc w:val="both"/>
        <w:rPr>
          <w:szCs w:val="28"/>
        </w:rPr>
      </w:pPr>
      <w:r w:rsidRPr="00EE0336">
        <w:rPr>
          <w:szCs w:val="28"/>
        </w:rPr>
        <w:t>Рівні лейкоцитів сироватки крові та ШОЕ вірогідно відрізнялися у групах хворих на ГІМ. Вираженість лейкоцитозу була на 45,64% та 44,61% вища у групі пацієнтів з ожирінням та без нього відповідно, порівняно з контрольною групою. Також було визначено достовірне підвищення ШОЕ у хворих, що мали ГІМ на тлі ІМТ ≥30 кг/м</w:t>
      </w:r>
      <w:r w:rsidRPr="00EE0336">
        <w:rPr>
          <w:szCs w:val="28"/>
          <w:vertAlign w:val="superscript"/>
        </w:rPr>
        <w:t>2</w:t>
      </w:r>
      <w:r w:rsidRPr="00EE0336">
        <w:rPr>
          <w:szCs w:val="28"/>
        </w:rPr>
        <w:t xml:space="preserve"> на 48,8% та у хворих на ГІМ без супутнього ожиріння на 46,2% у порівнянні з контрольною групою. Рівень креатиніну сироватки крові вірогідно не відрізнявся у хворих на ГІМ з ожирінням та без ожиріння. Порівняння рівня лейкоцитів та ШОЕ у хворих на ГІМ з супутнім ожирінням не виявило достовірних різниць з рівнем даних параметрів у хворих без ожиріння. Співставлення концентрації креатиніну у хворих на ГІМ з ожирінням та групою контролю визначило тенденцію до зростання, що не досягала рівня вірогідності. Змін за рівнем креатиніну при порівняні хворих на ГІМ без ожиріння та контрольної групи знайдено не було. </w:t>
      </w:r>
    </w:p>
    <w:p w:rsidR="00F407BB" w:rsidRPr="00EE0336" w:rsidRDefault="00F407BB" w:rsidP="00F407BB">
      <w:pPr>
        <w:spacing w:after="0" w:line="360" w:lineRule="auto"/>
        <w:ind w:firstLine="709"/>
        <w:jc w:val="both"/>
        <w:rPr>
          <w:szCs w:val="28"/>
        </w:rPr>
      </w:pPr>
      <w:r w:rsidRPr="00EE0336">
        <w:rPr>
          <w:szCs w:val="28"/>
        </w:rPr>
        <w:t xml:space="preserve">Наявність ГІМ супроводжується зростанням концентрації вітронектину, що може бути обумовлено його властивостями як маркеру гострої фази запалення. Отримані результати не суперечать даним світової медичної літератури. Так згідно </w:t>
      </w:r>
      <w:r w:rsidRPr="00EE0336">
        <w:rPr>
          <w:szCs w:val="28"/>
          <w:lang w:val="ru-RU"/>
        </w:rPr>
        <w:t>De</w:t>
      </w:r>
      <w:r w:rsidRPr="00EE0336">
        <w:rPr>
          <w:szCs w:val="28"/>
        </w:rPr>
        <w:t xml:space="preserve"> </w:t>
      </w:r>
      <w:r w:rsidRPr="00EE0336">
        <w:rPr>
          <w:szCs w:val="28"/>
          <w:lang w:val="ru-RU"/>
        </w:rPr>
        <w:t>Lorenzi</w:t>
      </w:r>
      <w:r w:rsidRPr="00EE0336">
        <w:rPr>
          <w:szCs w:val="28"/>
        </w:rPr>
        <w:t xml:space="preserve"> та співав., вітронектин володіє здатністю впливати на агрегацію та адгезію тромбоцитів [121]. Також він виявляє протективні властивості щодо тромбіна та фактора Х шляхом нейтралізації активності антитромбіну </w:t>
      </w:r>
      <w:r w:rsidRPr="00EE0336">
        <w:rPr>
          <w:szCs w:val="28"/>
          <w:lang w:val="en-US"/>
        </w:rPr>
        <w:t>III</w:t>
      </w:r>
      <w:r w:rsidRPr="00EE0336">
        <w:rPr>
          <w:szCs w:val="28"/>
        </w:rPr>
        <w:t xml:space="preserve"> [122] Крім того, вітронектин здатен інгібувати індуковану фібриногеном активацію плазміногену внаслідок зростання ефектів </w:t>
      </w:r>
      <w:r w:rsidRPr="00EE0336">
        <w:rPr>
          <w:szCs w:val="28"/>
          <w:lang w:val="en-US"/>
        </w:rPr>
        <w:t>PAI</w:t>
      </w:r>
      <w:r w:rsidRPr="00EE0336">
        <w:rPr>
          <w:szCs w:val="28"/>
        </w:rPr>
        <w:t>-1 [123].</w:t>
      </w:r>
    </w:p>
    <w:p w:rsidR="00F407BB" w:rsidRPr="00EE0336" w:rsidRDefault="00F407BB" w:rsidP="00F407BB">
      <w:pPr>
        <w:spacing w:after="0" w:line="360" w:lineRule="auto"/>
        <w:ind w:firstLine="709"/>
        <w:jc w:val="both"/>
        <w:rPr>
          <w:szCs w:val="28"/>
        </w:rPr>
      </w:pPr>
      <w:r w:rsidRPr="00EE0336">
        <w:rPr>
          <w:szCs w:val="28"/>
        </w:rPr>
        <w:lastRenderedPageBreak/>
        <w:t>Таким чином, г</w:t>
      </w:r>
      <w:r w:rsidRPr="00EE0336">
        <w:rPr>
          <w:szCs w:val="28"/>
          <w:lang w:val="ru-RU"/>
        </w:rPr>
        <w:t xml:space="preserve">острий </w:t>
      </w:r>
      <w:r w:rsidRPr="00EE0336">
        <w:rPr>
          <w:szCs w:val="28"/>
        </w:rPr>
        <w:t>інфаркт міокарда</w:t>
      </w:r>
      <w:r w:rsidRPr="00EE0336">
        <w:rPr>
          <w:szCs w:val="28"/>
          <w:lang w:val="ru-RU"/>
        </w:rPr>
        <w:t xml:space="preserve"> за наявност</w:t>
      </w:r>
      <w:r w:rsidRPr="00EE0336">
        <w:rPr>
          <w:szCs w:val="28"/>
        </w:rPr>
        <w:t>і</w:t>
      </w:r>
      <w:r w:rsidRPr="00EE0336">
        <w:rPr>
          <w:szCs w:val="28"/>
          <w:lang w:val="ru-RU"/>
        </w:rPr>
        <w:t xml:space="preserve"> </w:t>
      </w:r>
      <w:r w:rsidRPr="00EE0336">
        <w:rPr>
          <w:szCs w:val="28"/>
        </w:rPr>
        <w:t xml:space="preserve">або відсутності ожиріння характеризується гіпервітронектинемією у порівнянні з контрольною групою, представленою практично здоровими особами. Присутність коморбідного ожиріння при гострому інфаркті міокарда супроводжується значним зростанням активності вітронектину плазми крові, порівняно з хворими без ожиріння, що свідчить про залучення жирової тканини до регуляції адгезивних властивостей формених елементів крові. </w:t>
      </w:r>
    </w:p>
    <w:p w:rsidR="00F407BB" w:rsidRPr="00EE0336" w:rsidRDefault="00F407BB" w:rsidP="00F407BB">
      <w:pPr>
        <w:spacing w:after="0" w:line="360" w:lineRule="auto"/>
        <w:ind w:firstLine="709"/>
        <w:jc w:val="both"/>
        <w:rPr>
          <w:szCs w:val="28"/>
        </w:rPr>
      </w:pPr>
      <w:r w:rsidRPr="00EE0336">
        <w:rPr>
          <w:szCs w:val="28"/>
        </w:rPr>
        <w:t xml:space="preserve">Рівень ІМТ, ОТ та ОТ/ОС були вірогідно вище у хворих з коморбідним перебігом ГІМ та ожиріння при порівнянні як з групою контролю, так і з хворими на ізольований ГІМ. Зіставлення рівнів антропометричних параметрів у хворих на ізольований ГІМ та групою контролю відмінностей не виявив (р&gt;0,05). </w:t>
      </w:r>
    </w:p>
    <w:p w:rsidR="00F407BB" w:rsidRPr="00EE0336" w:rsidRDefault="00F407BB" w:rsidP="00F407BB">
      <w:pPr>
        <w:spacing w:after="0" w:line="360" w:lineRule="auto"/>
        <w:ind w:firstLine="709"/>
        <w:jc w:val="both"/>
        <w:rPr>
          <w:szCs w:val="28"/>
        </w:rPr>
      </w:pPr>
      <w:r w:rsidRPr="00EE0336">
        <w:rPr>
          <w:szCs w:val="28"/>
        </w:rPr>
        <w:t xml:space="preserve">Аналіз показників ліпідного профілю характеризувався підвищенням рівня ЗХС (6,03±0,05 ммоль/л у порівнянні з 5,35±0,04 ммоль/л), ТГ (1,46±0,06 ммоль/л у порівнянні з 0,59±0,02 ммоль/л), ЛПНЩ (4,15±0,05 ммоль/л у порівнянні з 3,02±0,05 ммоль/л), ЛПДНЩ (0,66±0,03 ммоль/л у порівнянні з 0,44±0,01 ммоль/л) та КА (4,15±0,07 у порівнянні з 3,33±0,03) у хворих на ГІМ із супутнім ожирінням у порівнянні з хворими на ГІМ без ожиріння (р&lt;0,05). Щодо ЛПВЩ відзначалася зворотна динаміка: цей показник знижувався у пацієнтів з надлишковою вагою тіла у порівнянні з групою зіставлення (1,21±0,02 ммоль/л та 1,24±0,01 ммоль/л відповідно, р&lt;0,05). </w:t>
      </w:r>
    </w:p>
    <w:p w:rsidR="00F407BB" w:rsidRPr="00EE0336" w:rsidRDefault="00F407BB" w:rsidP="00F407BB">
      <w:pPr>
        <w:spacing w:after="0" w:line="360" w:lineRule="auto"/>
        <w:ind w:firstLine="709"/>
        <w:jc w:val="both"/>
        <w:rPr>
          <w:szCs w:val="28"/>
        </w:rPr>
      </w:pPr>
      <w:r w:rsidRPr="00EE0336">
        <w:rPr>
          <w:szCs w:val="28"/>
        </w:rPr>
        <w:t xml:space="preserve">Отримані дані свідчать про зміни ліпідограми у вигляді підвищення атерогенності у хворих ГІМ та ожирінням, що може асоціюватись з більш масивним мультиураженням коронарних артерій чи зростання відсотку стенозу. Дані, що було отримано у дослідженні, не суперечать світовій медичній літературі. Так у роботі </w:t>
      </w:r>
      <w:r>
        <w:rPr>
          <w:szCs w:val="28"/>
          <w:lang w:val="en-US"/>
        </w:rPr>
        <w:t>Jun</w:t>
      </w:r>
      <w:r w:rsidRPr="00882F04">
        <w:rPr>
          <w:szCs w:val="28"/>
          <w:lang w:val="ru-RU"/>
        </w:rPr>
        <w:t xml:space="preserve"> </w:t>
      </w:r>
      <w:r>
        <w:rPr>
          <w:szCs w:val="28"/>
          <w:lang w:val="en-US"/>
        </w:rPr>
        <w:t>Zhu</w:t>
      </w:r>
      <w:r w:rsidRPr="00882F04">
        <w:rPr>
          <w:szCs w:val="28"/>
          <w:lang w:val="ru-RU"/>
        </w:rPr>
        <w:t xml:space="preserve"> та</w:t>
      </w:r>
      <w:r w:rsidRPr="00EE0336">
        <w:rPr>
          <w:szCs w:val="28"/>
        </w:rPr>
        <w:t xml:space="preserve"> співав. [124] визначаються основні  питання щодо порушення ліпідного обміну за наявності ожиріння.</w:t>
      </w:r>
    </w:p>
    <w:p w:rsidR="00F407BB" w:rsidRPr="00EE0336" w:rsidRDefault="00F407BB" w:rsidP="00F407BB">
      <w:pPr>
        <w:spacing w:after="0" w:line="360" w:lineRule="auto"/>
        <w:ind w:firstLine="709"/>
        <w:jc w:val="both"/>
        <w:rPr>
          <w:szCs w:val="28"/>
        </w:rPr>
      </w:pPr>
      <w:r w:rsidRPr="00EE0336">
        <w:rPr>
          <w:szCs w:val="28"/>
        </w:rPr>
        <w:lastRenderedPageBreak/>
        <w:t xml:space="preserve">Наступним етапом у дизайні нашого дослідження було порівняння показників, що вивчаються згідно ступеня тяжкості ожиріння у хворих на ГІМ. При порівнянні хворих з ожирінням </w:t>
      </w:r>
      <w:r w:rsidRPr="00EE0336">
        <w:rPr>
          <w:szCs w:val="28"/>
          <w:lang w:val="en-US"/>
        </w:rPr>
        <w:t>I</w:t>
      </w:r>
      <w:r w:rsidRPr="00EE0336">
        <w:rPr>
          <w:szCs w:val="28"/>
        </w:rPr>
        <w:t xml:space="preserve">, II-III ступеня при ГІМ і пацієнтів без ожиріння виявлено достовірні відмінності у вигляді збільшення рівня галектина-3. Так у хворих з ожирінням </w:t>
      </w:r>
      <w:r w:rsidRPr="00EE0336">
        <w:rPr>
          <w:szCs w:val="28"/>
          <w:lang w:val="en-US"/>
        </w:rPr>
        <w:t>I</w:t>
      </w:r>
      <w:r w:rsidRPr="00EE0336">
        <w:rPr>
          <w:szCs w:val="28"/>
        </w:rPr>
        <w:t xml:space="preserve"> ступеня концентрація даного показника була вище на 36,7%, з ожирінням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 на 47,6% при зіставленні з пацієнтами без ознак ожиріння. </w:t>
      </w:r>
    </w:p>
    <w:p w:rsidR="00F407BB" w:rsidRPr="00EE0336" w:rsidRDefault="00F407BB" w:rsidP="00F407BB">
      <w:pPr>
        <w:spacing w:after="0" w:line="360" w:lineRule="auto"/>
        <w:ind w:firstLine="709"/>
        <w:jc w:val="both"/>
        <w:rPr>
          <w:szCs w:val="28"/>
        </w:rPr>
      </w:pPr>
      <w:r w:rsidRPr="00EE0336">
        <w:rPr>
          <w:szCs w:val="28"/>
        </w:rPr>
        <w:t xml:space="preserve">Що стосується вітронектину, концентрація даного параметра у хворих на ГІМ та ожиріння </w:t>
      </w:r>
      <w:r w:rsidRPr="00EE0336">
        <w:rPr>
          <w:szCs w:val="28"/>
          <w:lang w:val="en-US"/>
        </w:rPr>
        <w:t>I</w:t>
      </w:r>
      <w:r w:rsidRPr="00EE0336">
        <w:rPr>
          <w:szCs w:val="28"/>
        </w:rPr>
        <w:t xml:space="preserve"> ступеня достовірно перевищувала таку у хворих на ГІМ без ожиріння. Подібні відмінності отримано у підгрупі хворих на ГІМ, що мали ожиріння </w:t>
      </w:r>
      <w:r w:rsidRPr="00EE0336">
        <w:rPr>
          <w:szCs w:val="28"/>
          <w:lang w:val="en-US"/>
        </w:rPr>
        <w:t>II</w:t>
      </w:r>
      <w:r w:rsidRPr="00EE0336">
        <w:rPr>
          <w:szCs w:val="28"/>
        </w:rPr>
        <w:t xml:space="preserve"> ступеня, концентрація вітронектина у яких була вище порівняно з хворими на ГІМ з нормальною масою тіла. Рівень тропоніну I у пацієнтів з ГІМ та ожирінням </w:t>
      </w:r>
      <w:r w:rsidRPr="00EE0336">
        <w:rPr>
          <w:szCs w:val="28"/>
          <w:lang w:val="en-US"/>
        </w:rPr>
        <w:t>I</w:t>
      </w:r>
      <w:r w:rsidRPr="00EE0336">
        <w:rPr>
          <w:szCs w:val="28"/>
        </w:rPr>
        <w:t xml:space="preserve"> ступеня не відрізнявся від концентрації даного параметра у хворих без ожиріння. При порівнянні концентрації тропоніну I у пацієнтів з ожирінням </w:t>
      </w:r>
      <w:r w:rsidRPr="00EE0336">
        <w:rPr>
          <w:szCs w:val="28"/>
          <w:lang w:val="en-US"/>
        </w:rPr>
        <w:t>II</w:t>
      </w:r>
      <w:r w:rsidRPr="00EE0336">
        <w:rPr>
          <w:szCs w:val="28"/>
        </w:rPr>
        <w:t>-</w:t>
      </w:r>
      <w:r w:rsidRPr="00EE0336">
        <w:rPr>
          <w:szCs w:val="28"/>
          <w:lang w:val="en-US"/>
        </w:rPr>
        <w:t>III</w:t>
      </w:r>
      <w:r w:rsidRPr="00EE0336">
        <w:rPr>
          <w:szCs w:val="28"/>
        </w:rPr>
        <w:t xml:space="preserve"> ступеня та нормальною масою тіла визначається тенденція до зростання, що не досягає рівня достовірності (р=0,07), що може бути пов'язано з переважанням</w:t>
      </w:r>
      <w:r>
        <w:rPr>
          <w:szCs w:val="28"/>
        </w:rPr>
        <w:t xml:space="preserve"> осіб з ІМ з зубцем</w:t>
      </w:r>
      <w:r>
        <w:rPr>
          <w:szCs w:val="28"/>
          <w:lang w:val="ru-RU"/>
        </w:rPr>
        <w:t> </w:t>
      </w:r>
      <w:r w:rsidRPr="00EE0336">
        <w:rPr>
          <w:szCs w:val="28"/>
        </w:rPr>
        <w:t xml:space="preserve">Q. </w:t>
      </w:r>
    </w:p>
    <w:p w:rsidR="00F407BB" w:rsidRPr="00882F04" w:rsidRDefault="00F407BB" w:rsidP="00F407BB">
      <w:pPr>
        <w:spacing w:after="0" w:line="360" w:lineRule="auto"/>
        <w:ind w:firstLine="709"/>
        <w:jc w:val="both"/>
        <w:rPr>
          <w:szCs w:val="28"/>
        </w:rPr>
      </w:pPr>
      <w:r w:rsidRPr="00EE0336">
        <w:rPr>
          <w:szCs w:val="28"/>
        </w:rPr>
        <w:t xml:space="preserve">Наступним етапом у дизайні нашого дослідження було порівняння показників, що вивчаються згідно ступеня тяжкості ожиріння у хворих на ГІМ. </w:t>
      </w:r>
    </w:p>
    <w:p w:rsidR="00F407BB" w:rsidRPr="00EE0336" w:rsidRDefault="00F407BB" w:rsidP="00F407BB">
      <w:pPr>
        <w:spacing w:after="0" w:line="360" w:lineRule="auto"/>
        <w:ind w:firstLine="709"/>
        <w:jc w:val="both"/>
        <w:rPr>
          <w:szCs w:val="28"/>
        </w:rPr>
      </w:pPr>
      <w:r w:rsidRPr="00EE0336">
        <w:rPr>
          <w:szCs w:val="28"/>
          <w:lang w:val="ru-RU"/>
        </w:rPr>
        <w:t xml:space="preserve">ІМТ був достовірно вище як у осіб з ожирінням </w:t>
      </w:r>
      <w:r w:rsidRPr="00EE0336">
        <w:rPr>
          <w:szCs w:val="28"/>
          <w:lang w:val="en-US"/>
        </w:rPr>
        <w:t>I</w:t>
      </w:r>
      <w:r w:rsidRPr="00EE0336">
        <w:rPr>
          <w:szCs w:val="28"/>
          <w:lang w:val="ru-RU"/>
        </w:rPr>
        <w:t xml:space="preserve">, так і II-III ступеня при порівнянні з пацієнтами без ожиріння. Подібні результати отримані щодо показників </w:t>
      </w:r>
      <w:r w:rsidRPr="00EE0336">
        <w:rPr>
          <w:szCs w:val="28"/>
        </w:rPr>
        <w:t>ОТ</w:t>
      </w:r>
      <w:r w:rsidRPr="00EE0336">
        <w:rPr>
          <w:szCs w:val="28"/>
          <w:lang w:val="ru-RU"/>
        </w:rPr>
        <w:t xml:space="preserve"> </w:t>
      </w:r>
      <w:r w:rsidRPr="00EE0336">
        <w:rPr>
          <w:szCs w:val="28"/>
        </w:rPr>
        <w:t>та</w:t>
      </w:r>
      <w:r w:rsidRPr="00EE0336">
        <w:rPr>
          <w:szCs w:val="28"/>
          <w:lang w:val="ru-RU"/>
        </w:rPr>
        <w:t xml:space="preserve"> ОТ/ОС, рівні яких достовірно прев</w:t>
      </w:r>
      <w:r w:rsidRPr="00EE0336">
        <w:rPr>
          <w:szCs w:val="28"/>
        </w:rPr>
        <w:t>ищували</w:t>
      </w:r>
      <w:r w:rsidRPr="00EE0336">
        <w:rPr>
          <w:szCs w:val="28"/>
          <w:lang w:val="ru-RU"/>
        </w:rPr>
        <w:t xml:space="preserve"> такі </w:t>
      </w:r>
      <w:r w:rsidRPr="00EE0336">
        <w:rPr>
          <w:szCs w:val="28"/>
        </w:rPr>
        <w:t>в</w:t>
      </w:r>
      <w:r w:rsidRPr="00EE0336">
        <w:rPr>
          <w:szCs w:val="28"/>
          <w:lang w:val="ru-RU"/>
        </w:rPr>
        <w:t xml:space="preserve"> осіб з нормальною масою тіла при ГІМ.</w:t>
      </w:r>
    </w:p>
    <w:p w:rsidR="00F407BB" w:rsidRPr="00EE0336" w:rsidRDefault="00F407BB" w:rsidP="00F407BB">
      <w:pPr>
        <w:spacing w:after="0" w:line="360" w:lineRule="auto"/>
        <w:ind w:firstLine="709"/>
        <w:jc w:val="both"/>
        <w:rPr>
          <w:szCs w:val="28"/>
        </w:rPr>
      </w:pPr>
      <w:r w:rsidRPr="00EE0336">
        <w:rPr>
          <w:szCs w:val="28"/>
        </w:rPr>
        <w:t xml:space="preserve">У хворих на ГІМ та ожиріння </w:t>
      </w:r>
      <w:r w:rsidRPr="00EE0336">
        <w:rPr>
          <w:szCs w:val="28"/>
          <w:lang w:val="en-US"/>
        </w:rPr>
        <w:t>I</w:t>
      </w:r>
      <w:r w:rsidRPr="00EE0336">
        <w:rPr>
          <w:szCs w:val="28"/>
        </w:rPr>
        <w:t xml:space="preserve"> ступеня порівняно з хворими на ГІМ без ожиріння за рівнем ЗХС відмінностей виявлено не було (</w:t>
      </w:r>
      <w:r w:rsidRPr="00EE0336">
        <w:rPr>
          <w:szCs w:val="28"/>
          <w:lang w:val="en-US"/>
        </w:rPr>
        <w:t>p</w:t>
      </w:r>
      <w:r w:rsidRPr="00EE0336">
        <w:rPr>
          <w:szCs w:val="28"/>
          <w:lang w:val="ru-RU"/>
        </w:rPr>
        <w:t>&gt;0,05</w:t>
      </w:r>
      <w:r>
        <w:rPr>
          <w:szCs w:val="28"/>
        </w:rPr>
        <w:t>)</w:t>
      </w:r>
      <w:r w:rsidRPr="00EE0336">
        <w:rPr>
          <w:szCs w:val="28"/>
        </w:rPr>
        <w:t xml:space="preserve">. Інші результати отримано при співставленні ЗХС у хворих з ГІМ та ожирінням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у яких рівень даного показника був вище, ніж у групі зіставлення, представленої хворими на ГІМ та нормальною масою тіла. За показником ТГ у хворих як за наявності </w:t>
      </w:r>
      <w:r w:rsidRPr="00EE0336">
        <w:rPr>
          <w:szCs w:val="28"/>
        </w:rPr>
        <w:lastRenderedPageBreak/>
        <w:t xml:space="preserve">ожиріння </w:t>
      </w:r>
      <w:r w:rsidRPr="00EE0336">
        <w:rPr>
          <w:szCs w:val="28"/>
          <w:lang w:val="en-US"/>
        </w:rPr>
        <w:t>I</w:t>
      </w:r>
      <w:r w:rsidRPr="00EE0336">
        <w:rPr>
          <w:szCs w:val="28"/>
        </w:rPr>
        <w:t xml:space="preserve">, так і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визначаються вищі рівні при зіставленні з хворими, що мали нормальну масу тіла. Подібні відмінності було отримано за параметром ЛПНЩ.</w:t>
      </w:r>
    </w:p>
    <w:p w:rsidR="00F407BB" w:rsidRPr="00EE0336" w:rsidRDefault="00F407BB" w:rsidP="00F407BB">
      <w:pPr>
        <w:spacing w:after="0" w:line="360" w:lineRule="auto"/>
        <w:ind w:firstLine="709"/>
        <w:jc w:val="both"/>
        <w:rPr>
          <w:szCs w:val="28"/>
        </w:rPr>
      </w:pPr>
      <w:r w:rsidRPr="00EE0336">
        <w:rPr>
          <w:szCs w:val="28"/>
        </w:rPr>
        <w:t>За рівнем ЛПДНЩ, КА, ЛПВЩ відмінностей між хворими на ГІМ та різним ступенем вираженості ожиріння при співставленні з хворими, що не мали ожиріння виявлено не було (</w:t>
      </w:r>
      <w:r w:rsidRPr="00EE0336">
        <w:rPr>
          <w:szCs w:val="28"/>
          <w:lang w:val="en-US"/>
        </w:rPr>
        <w:t>p</w:t>
      </w:r>
      <w:r w:rsidRPr="00EE0336">
        <w:rPr>
          <w:szCs w:val="28"/>
        </w:rPr>
        <w:t xml:space="preserve">&gt;0,05). У хворих з ожирінням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порівняно з хворими на ГІМ без ожиріння, концентрації ЛПНЩ та КА достовірно перевищували такі в осіб з нормальною масою тіла (</w:t>
      </w:r>
      <w:r w:rsidRPr="00EE0336">
        <w:rPr>
          <w:szCs w:val="28"/>
          <w:lang w:val="en-US"/>
        </w:rPr>
        <w:t>p</w:t>
      </w:r>
      <w:r w:rsidRPr="00EE0336">
        <w:rPr>
          <w:szCs w:val="28"/>
          <w:lang w:val="ru-RU"/>
        </w:rPr>
        <w:t>&lt;0,05</w:t>
      </w:r>
      <w:r w:rsidRPr="00EE0336">
        <w:rPr>
          <w:szCs w:val="28"/>
        </w:rPr>
        <w:t>), а ЛПВЩ  - були нижче (</w:t>
      </w:r>
      <w:r w:rsidRPr="00EE0336">
        <w:rPr>
          <w:szCs w:val="28"/>
          <w:lang w:val="en-US"/>
        </w:rPr>
        <w:t>p</w:t>
      </w:r>
      <w:r w:rsidRPr="00EE0336">
        <w:rPr>
          <w:szCs w:val="28"/>
          <w:lang w:val="ru-RU"/>
        </w:rPr>
        <w:t>&lt;0,05</w:t>
      </w:r>
      <w:r w:rsidRPr="00EE0336">
        <w:rPr>
          <w:szCs w:val="28"/>
        </w:rPr>
        <w:t xml:space="preserve">). </w:t>
      </w:r>
    </w:p>
    <w:p w:rsidR="00F407BB" w:rsidRPr="00EE0336" w:rsidRDefault="00F407BB" w:rsidP="00F407BB">
      <w:pPr>
        <w:spacing w:after="0" w:line="360" w:lineRule="auto"/>
        <w:ind w:firstLine="709"/>
        <w:jc w:val="both"/>
        <w:rPr>
          <w:szCs w:val="28"/>
        </w:rPr>
      </w:pPr>
      <w:r w:rsidRPr="00EE0336">
        <w:rPr>
          <w:szCs w:val="28"/>
        </w:rPr>
        <w:t xml:space="preserve">Таким чином, у хворих за наявності ожиріння та з наростанням його ступеня отримано результати, що свідчать про порушення ліпідного профілю зі зростанням атерогенних фракцій ліпідограми. </w:t>
      </w:r>
    </w:p>
    <w:p w:rsidR="00F407BB" w:rsidRPr="00EE0336" w:rsidRDefault="00F407BB" w:rsidP="00F407BB">
      <w:pPr>
        <w:spacing w:after="0" w:line="360" w:lineRule="auto"/>
        <w:ind w:firstLine="709"/>
        <w:jc w:val="both"/>
        <w:rPr>
          <w:szCs w:val="28"/>
        </w:rPr>
      </w:pPr>
      <w:r w:rsidRPr="00EE0336">
        <w:rPr>
          <w:szCs w:val="28"/>
        </w:rPr>
        <w:t xml:space="preserve">Наступним етапом у дизайні нашого дослідження була оцінка змін галектину-3 та вітронектину у хворих на ГІМ та ожиріння згідно наявності ускладненого госпітального періоду ІМ. </w:t>
      </w:r>
    </w:p>
    <w:p w:rsidR="00F407BB" w:rsidRPr="00EE0336" w:rsidRDefault="00F407BB" w:rsidP="00F407BB">
      <w:pPr>
        <w:spacing w:after="0" w:line="360" w:lineRule="auto"/>
        <w:ind w:firstLine="709"/>
        <w:jc w:val="both"/>
        <w:rPr>
          <w:szCs w:val="28"/>
        </w:rPr>
      </w:pPr>
      <w:r w:rsidRPr="00882F04">
        <w:rPr>
          <w:szCs w:val="28"/>
        </w:rPr>
        <w:t>Встановлено, що</w:t>
      </w:r>
      <w:r w:rsidRPr="00EE0336">
        <w:rPr>
          <w:szCs w:val="28"/>
        </w:rPr>
        <w:t xml:space="preserve"> хворих з ожирінням за умов наявності ускладнень протягом госпітального періоду ГІМ рівень вітронектину був вище, порівняно з хворими на ГІМ без ускладнень при ожирінні (р&lt;0,01). Що стосується галектину-3, концентрація даного параметра у хворих, що мали супутнє ожиріння за наявності ускладненого перебігу ГІМ у госпітальному періоді перевищувала таку у хворих без ускладнень ГІМ (р&lt;0,05). </w:t>
      </w:r>
    </w:p>
    <w:p w:rsidR="00F407BB" w:rsidRPr="00EE0336" w:rsidRDefault="00F407BB" w:rsidP="00F407BB">
      <w:pPr>
        <w:spacing w:after="0" w:line="360" w:lineRule="auto"/>
        <w:ind w:firstLine="709"/>
        <w:jc w:val="both"/>
        <w:rPr>
          <w:szCs w:val="28"/>
        </w:rPr>
      </w:pPr>
      <w:r w:rsidRPr="00EE0336">
        <w:rPr>
          <w:szCs w:val="28"/>
        </w:rPr>
        <w:t>Отримані результати можуть свідчити про можливість вивчення прогностичних властивостей даних маркерів щодо оцінки ризику виникнення пов</w:t>
      </w:r>
      <w:r>
        <w:rPr>
          <w:szCs w:val="28"/>
        </w:rPr>
        <w:t>торних кардіоваскулярних подій</w:t>
      </w:r>
      <w:r w:rsidRPr="00EE0336">
        <w:rPr>
          <w:szCs w:val="28"/>
        </w:rPr>
        <w:t xml:space="preserve">. </w:t>
      </w:r>
    </w:p>
    <w:p w:rsidR="00F407BB" w:rsidRPr="00EE0336" w:rsidRDefault="00F407BB" w:rsidP="00F407BB">
      <w:pPr>
        <w:spacing w:after="0" w:line="360" w:lineRule="auto"/>
        <w:ind w:firstLine="709"/>
        <w:jc w:val="both"/>
        <w:rPr>
          <w:szCs w:val="28"/>
        </w:rPr>
      </w:pPr>
      <w:r w:rsidRPr="00EE0336">
        <w:rPr>
          <w:szCs w:val="28"/>
        </w:rPr>
        <w:t xml:space="preserve">Хворі з ГІМ та ожирінням також були розподілені згідно наявності одно- та мультисудинного ураження коронарних артерій за даними ангіографічного обстеження, що обумовило наступний етап дослідження з вивчення змін активності галектину-3 та вітронектину в даних когортах хворих. </w:t>
      </w:r>
    </w:p>
    <w:p w:rsidR="00F407BB" w:rsidRPr="00EE0336" w:rsidRDefault="00F407BB" w:rsidP="00F407BB">
      <w:pPr>
        <w:spacing w:after="0" w:line="360" w:lineRule="auto"/>
        <w:ind w:firstLine="709"/>
        <w:jc w:val="both"/>
        <w:rPr>
          <w:szCs w:val="28"/>
        </w:rPr>
      </w:pPr>
      <w:r w:rsidRPr="00EE0336">
        <w:rPr>
          <w:szCs w:val="28"/>
        </w:rPr>
        <w:lastRenderedPageBreak/>
        <w:t>Знайдено, що рівень вітронектину у хворих на ГІМ та ожиріння за умов мультисудинного ураження достовірно перевищував такий у хворих з односудинним ураженням. Подібні відмінності простежено стосовно концентрації галектину-3, який при мультисудинному ураженні коронарних артерій був достовірно вище , ніж у хворих на ГІМ та ожиріння, що мали односудинне ураження. Даний факт свідчить на користь можливого залучення параметрів, що вивчаються, до патогенезу атеросклерозу.</w:t>
      </w:r>
    </w:p>
    <w:p w:rsidR="00F407BB" w:rsidRPr="00EE0336" w:rsidRDefault="00F407BB" w:rsidP="00F407BB">
      <w:pPr>
        <w:spacing w:after="0" w:line="360" w:lineRule="auto"/>
        <w:ind w:firstLine="709"/>
        <w:jc w:val="both"/>
        <w:rPr>
          <w:szCs w:val="28"/>
        </w:rPr>
      </w:pPr>
      <w:r w:rsidRPr="00EE0336">
        <w:rPr>
          <w:szCs w:val="28"/>
        </w:rPr>
        <w:t>Таким чином, у хворих з ГІМ спостерігається зростання активності вітронектину та галектину-3 за умов наявності та прогресування ожиріння, ускладненого перебігу госпітального періоду ГІМ та мультисудинного ураження коронарних артерій.</w:t>
      </w:r>
    </w:p>
    <w:p w:rsidR="00F407BB" w:rsidRPr="00EE0336" w:rsidRDefault="00F407BB" w:rsidP="00F407BB">
      <w:pPr>
        <w:spacing w:after="0" w:line="360" w:lineRule="auto"/>
        <w:ind w:firstLine="709"/>
        <w:jc w:val="both"/>
        <w:rPr>
          <w:szCs w:val="28"/>
        </w:rPr>
      </w:pPr>
      <w:r w:rsidRPr="00EE0336">
        <w:rPr>
          <w:szCs w:val="28"/>
        </w:rPr>
        <w:t>Дослідження показників якості життя (ЯЖ) хворих на ГІМ за умов наявності або відсутності супутнього ожиріння виявили достовірні відмінності у вигляді зниження кількості балів за параметрами фізичного (PF) та фізично-рольового функціонування (RР), загального стану здоров’я (GH), життєвої активності (VT), соціального (SF), емоціонально-рольового (RE) та ментального функціонування (MH) на 31,4 %, 75,3 %, 30,1 %, 48,3 %, 17,9 %, 64,1 % та 41,9 % відповідно у хворих із ГІМ з супутнього ожирінням порівняно з пацієнтами без ожиріння. За параметром ВР, що відображає інтенсивність болю, виявлено тенденцію, яка не досягал</w:t>
      </w:r>
      <w:r>
        <w:rPr>
          <w:szCs w:val="28"/>
        </w:rPr>
        <w:t>а рівня вірогідності (р = 0,05)</w:t>
      </w:r>
      <w:r w:rsidRPr="00EE0336">
        <w:rPr>
          <w:szCs w:val="28"/>
        </w:rPr>
        <w:t>.</w:t>
      </w:r>
    </w:p>
    <w:p w:rsidR="00F407BB" w:rsidRPr="00EE0336" w:rsidRDefault="00F407BB" w:rsidP="00F407BB">
      <w:pPr>
        <w:spacing w:after="0" w:line="360" w:lineRule="auto"/>
        <w:ind w:firstLine="709"/>
        <w:jc w:val="both"/>
        <w:rPr>
          <w:szCs w:val="28"/>
        </w:rPr>
      </w:pPr>
      <w:r w:rsidRPr="00EE0336">
        <w:rPr>
          <w:szCs w:val="28"/>
        </w:rPr>
        <w:t>Згідно з наведеними вище даними, наявність ожиріння істотно змінює ЯЖ хворих із ГІМ, до того ж як за рахунок фізичного компоненту здоров’я (PF, RP, GH), так і за рахунок психо-емоційного та соціального функціонування (VT, SF, RE, MH).</w:t>
      </w:r>
    </w:p>
    <w:p w:rsidR="00F407BB" w:rsidRPr="00EE0336" w:rsidRDefault="00F407BB" w:rsidP="00F407BB">
      <w:pPr>
        <w:spacing w:after="0" w:line="360" w:lineRule="auto"/>
        <w:ind w:firstLine="709"/>
        <w:jc w:val="both"/>
        <w:rPr>
          <w:szCs w:val="28"/>
        </w:rPr>
      </w:pPr>
      <w:r w:rsidRPr="00EE0336">
        <w:rPr>
          <w:szCs w:val="28"/>
        </w:rPr>
        <w:t xml:space="preserve">Отримані результати підтверджуються наявністю та характером кореляцій. Встановлено зворотні зв’язки між ІМТ та PF (r = –0,86; p &lt; 0,05), GH (r = –0,84; p &lt; 0,05), VT (r = –0,77; p &lt; 0,05), BP (r = –0,71; p &lt; 0,05), MH (r = –0,61; p &lt; 0,05), SF (r = –0,55; p &lt; 0,05), RP (r = –0,52; p &lt; 0,05), RE (r = –0,31; p &lt; 0,05). </w:t>
      </w:r>
    </w:p>
    <w:p w:rsidR="00F407BB" w:rsidRPr="00EE0336" w:rsidRDefault="00F407BB" w:rsidP="00F407BB">
      <w:pPr>
        <w:spacing w:after="0" w:line="360" w:lineRule="auto"/>
        <w:ind w:firstLine="709"/>
        <w:jc w:val="both"/>
        <w:rPr>
          <w:szCs w:val="28"/>
        </w:rPr>
      </w:pPr>
      <w:r w:rsidRPr="00EE0336">
        <w:rPr>
          <w:szCs w:val="28"/>
        </w:rPr>
        <w:lastRenderedPageBreak/>
        <w:t>Крім наявності низького показника ЯЖ за умов супутнього ожиріння у хворих із ГІМ, привертає увагу нерівнозначність ступеня відхилення зазначених вище параметрів від групи порівняння, представленої пацієнтами з ГІМ без ожиріння.</w:t>
      </w:r>
    </w:p>
    <w:p w:rsidR="00F407BB" w:rsidRPr="00EE0336" w:rsidRDefault="00F407BB" w:rsidP="00F407BB">
      <w:pPr>
        <w:spacing w:after="0" w:line="360" w:lineRule="auto"/>
        <w:ind w:firstLine="709"/>
        <w:jc w:val="both"/>
        <w:rPr>
          <w:szCs w:val="28"/>
        </w:rPr>
      </w:pPr>
      <w:r w:rsidRPr="00EE0336">
        <w:rPr>
          <w:szCs w:val="28"/>
        </w:rPr>
        <w:t>Ранжування ступеня відхилення параметрів ЯЖ за допомогою критерія Фішера визначило, що першу рангову позицію посідає RP (F = 56,4), другу – VT (F = 25,8), третю – RE та MH (F = 19,03 та 17,29 відповідно). Далі за зменшенням ступеня відхилення слідують GH (F = 5,8), SF (F = 5,58) і PF (F = 4,8).</w:t>
      </w:r>
    </w:p>
    <w:p w:rsidR="00F407BB" w:rsidRPr="00EE0336" w:rsidRDefault="00F407BB" w:rsidP="00F407BB">
      <w:pPr>
        <w:spacing w:after="0" w:line="360" w:lineRule="auto"/>
        <w:ind w:firstLine="709"/>
        <w:jc w:val="both"/>
        <w:rPr>
          <w:szCs w:val="28"/>
        </w:rPr>
      </w:pPr>
      <w:r w:rsidRPr="00EE0336">
        <w:rPr>
          <w:szCs w:val="28"/>
        </w:rPr>
        <w:t xml:space="preserve">Тобто провідним фактором у зниженні ЯЖ за наявності ожиріння у хворих із ГІМ є низькі показники за шкалою рольового функціонування, обумовленого фізичним станом, що свідчить про значне обмеження повсякденної діяльності пацієнта на тлі падіння життєвої активності в умовах пригніченого емоційного стану, за наявності депресії та тривоги, що обумовлюють порушення цілісності соціального благополуччя, результатом чого є низька оцінка хворим стану свого здоров’я в певний момент за відсутності перспектив лікування. </w:t>
      </w:r>
    </w:p>
    <w:p w:rsidR="00F407BB" w:rsidRPr="00EE0336" w:rsidRDefault="00F407BB" w:rsidP="00F407BB">
      <w:pPr>
        <w:spacing w:after="0" w:line="360" w:lineRule="auto"/>
        <w:ind w:firstLine="709"/>
        <w:jc w:val="both"/>
        <w:rPr>
          <w:szCs w:val="28"/>
        </w:rPr>
      </w:pPr>
      <w:r w:rsidRPr="00EE0336">
        <w:rPr>
          <w:szCs w:val="28"/>
        </w:rPr>
        <w:t xml:space="preserve">Аналіз показників ЯЖ у хворих з ожирінням залежно від наявності ускладнень ГІМ у госпітальному періоді визначив наявність вірогідних відмінностей. Знайдено зростання балів показників </w:t>
      </w:r>
      <w:r w:rsidRPr="00EE0336">
        <w:rPr>
          <w:szCs w:val="28"/>
          <w:lang w:val="en-US"/>
        </w:rPr>
        <w:t>PF</w:t>
      </w:r>
      <w:r w:rsidRPr="00EE0336">
        <w:rPr>
          <w:szCs w:val="28"/>
        </w:rPr>
        <w:t xml:space="preserve">, </w:t>
      </w:r>
      <w:r w:rsidRPr="00EE0336">
        <w:rPr>
          <w:szCs w:val="28"/>
          <w:lang w:val="en-US"/>
        </w:rPr>
        <w:t>RP</w:t>
      </w:r>
      <w:r w:rsidRPr="00EE0336">
        <w:rPr>
          <w:szCs w:val="28"/>
        </w:rPr>
        <w:t xml:space="preserve"> та </w:t>
      </w:r>
      <w:r w:rsidRPr="00EE0336">
        <w:rPr>
          <w:szCs w:val="28"/>
          <w:lang w:val="en-US"/>
        </w:rPr>
        <w:t>GH</w:t>
      </w:r>
      <w:r w:rsidRPr="00EE0336">
        <w:rPr>
          <w:szCs w:val="28"/>
        </w:rPr>
        <w:t xml:space="preserve"> (</w:t>
      </w:r>
      <w:r w:rsidRPr="00EE0336">
        <w:rPr>
          <w:szCs w:val="28"/>
          <w:lang w:val="en-US"/>
        </w:rPr>
        <w:t>p</w:t>
      </w:r>
      <w:r w:rsidRPr="00EE0336">
        <w:rPr>
          <w:szCs w:val="28"/>
        </w:rPr>
        <w:t xml:space="preserve">&lt;0,05), які відображають фізичний компонент здоров’я. Інтенсивність болю </w:t>
      </w:r>
      <w:r w:rsidRPr="00EE0336">
        <w:rPr>
          <w:szCs w:val="28"/>
          <w:lang w:val="ru-RU"/>
        </w:rPr>
        <w:t>(</w:t>
      </w:r>
      <w:r w:rsidRPr="00EE0336">
        <w:rPr>
          <w:szCs w:val="28"/>
        </w:rPr>
        <w:t>ВР</w:t>
      </w:r>
      <w:r w:rsidRPr="00EE0336">
        <w:rPr>
          <w:szCs w:val="28"/>
          <w:lang w:val="ru-RU"/>
        </w:rPr>
        <w:t>)</w:t>
      </w:r>
      <w:r w:rsidRPr="00EE0336">
        <w:rPr>
          <w:szCs w:val="28"/>
        </w:rPr>
        <w:t xml:space="preserve"> істотно не змінювалась при порівнянні хворих з ускладненим та неускладненим перебігом ГІМ у госпітальному періоді (</w:t>
      </w:r>
      <w:r w:rsidRPr="00EE0336">
        <w:rPr>
          <w:szCs w:val="28"/>
          <w:lang w:val="en-US"/>
        </w:rPr>
        <w:t>p</w:t>
      </w:r>
      <w:r>
        <w:rPr>
          <w:szCs w:val="28"/>
          <w:lang w:val="ru-RU"/>
        </w:rPr>
        <w:t>&gt;</w:t>
      </w:r>
      <w:r w:rsidRPr="00EE0336">
        <w:rPr>
          <w:szCs w:val="28"/>
          <w:lang w:val="ru-RU"/>
        </w:rPr>
        <w:t>0,05</w:t>
      </w:r>
      <w:r w:rsidRPr="00EE0336">
        <w:rPr>
          <w:szCs w:val="28"/>
        </w:rPr>
        <w:t>)</w:t>
      </w:r>
      <w:r w:rsidRPr="00EE0336">
        <w:rPr>
          <w:szCs w:val="28"/>
          <w:lang w:val="ru-RU"/>
        </w:rPr>
        <w:t xml:space="preserve">. </w:t>
      </w:r>
      <w:r w:rsidRPr="00EE0336">
        <w:rPr>
          <w:szCs w:val="28"/>
        </w:rPr>
        <w:t>П</w:t>
      </w:r>
      <w:r w:rsidRPr="00EE0336">
        <w:rPr>
          <w:szCs w:val="28"/>
          <w:lang w:val="ru-RU"/>
        </w:rPr>
        <w:t xml:space="preserve">араметри емоційного компоненту також виявили відмінності. Показники </w:t>
      </w:r>
      <w:r w:rsidRPr="00EE0336">
        <w:rPr>
          <w:szCs w:val="28"/>
          <w:lang w:val="en-US"/>
        </w:rPr>
        <w:t>VT</w:t>
      </w:r>
      <w:r w:rsidRPr="00EE0336">
        <w:rPr>
          <w:szCs w:val="28"/>
          <w:lang w:val="ru-RU"/>
        </w:rPr>
        <w:t xml:space="preserve">, </w:t>
      </w:r>
      <w:r w:rsidRPr="00EE0336">
        <w:rPr>
          <w:szCs w:val="28"/>
          <w:lang w:val="en-US"/>
        </w:rPr>
        <w:t>SF</w:t>
      </w:r>
      <w:r w:rsidRPr="00EE0336">
        <w:rPr>
          <w:szCs w:val="28"/>
          <w:lang w:val="ru-RU"/>
        </w:rPr>
        <w:t xml:space="preserve">, </w:t>
      </w:r>
      <w:r w:rsidRPr="00EE0336">
        <w:rPr>
          <w:szCs w:val="28"/>
          <w:lang w:val="en-US"/>
        </w:rPr>
        <w:t>RE</w:t>
      </w:r>
      <w:r w:rsidRPr="00EE0336">
        <w:rPr>
          <w:szCs w:val="28"/>
          <w:lang w:val="ru-RU"/>
        </w:rPr>
        <w:t xml:space="preserve">, </w:t>
      </w:r>
      <w:r w:rsidRPr="00EE0336">
        <w:rPr>
          <w:szCs w:val="28"/>
          <w:lang w:val="en-US"/>
        </w:rPr>
        <w:t>MH</w:t>
      </w:r>
      <w:r w:rsidRPr="00EE0336">
        <w:rPr>
          <w:szCs w:val="28"/>
          <w:lang w:val="ru-RU"/>
        </w:rPr>
        <w:t xml:space="preserve"> у хворих з ускладненим перебігом ГІМ істотно перевищували за кількістю балів такі у хворих з неускладненим перебігом ГІМ при ожирінні (</w:t>
      </w:r>
      <w:r w:rsidRPr="00EE0336">
        <w:rPr>
          <w:szCs w:val="28"/>
          <w:lang w:val="en-US"/>
        </w:rPr>
        <w:t>p</w:t>
      </w:r>
      <w:r w:rsidRPr="00EE0336">
        <w:rPr>
          <w:szCs w:val="28"/>
          <w:lang w:val="ru-RU"/>
        </w:rPr>
        <w:t>&lt;0,05)</w:t>
      </w:r>
      <w:r w:rsidRPr="00EE0336">
        <w:rPr>
          <w:szCs w:val="28"/>
        </w:rPr>
        <w:t xml:space="preserve">. </w:t>
      </w:r>
    </w:p>
    <w:p w:rsidR="00F407BB" w:rsidRDefault="00F407BB" w:rsidP="00F407BB">
      <w:pPr>
        <w:spacing w:after="0" w:line="360" w:lineRule="auto"/>
        <w:ind w:firstLine="709"/>
        <w:jc w:val="both"/>
        <w:rPr>
          <w:szCs w:val="28"/>
        </w:rPr>
      </w:pPr>
      <w:r w:rsidRPr="00EE0336">
        <w:rPr>
          <w:szCs w:val="28"/>
        </w:rPr>
        <w:t>Вивчення параметрів ЯЖ у хворих з ГІМ та ожирінням згідно наявності одно- або мультисудинного ураження КА не виявило вірогідних змін (р</w:t>
      </w:r>
      <w:r w:rsidRPr="00EE0336">
        <w:rPr>
          <w:szCs w:val="28"/>
          <w:lang w:val="ru-RU"/>
        </w:rPr>
        <w:t>&gt;</w:t>
      </w:r>
      <w:r w:rsidRPr="00EE0336">
        <w:rPr>
          <w:szCs w:val="28"/>
        </w:rPr>
        <w:t xml:space="preserve">0,05). </w:t>
      </w:r>
    </w:p>
    <w:p w:rsidR="00F407BB" w:rsidRPr="00882F04" w:rsidRDefault="00F407BB" w:rsidP="00F407BB">
      <w:pPr>
        <w:spacing w:after="0" w:line="360" w:lineRule="auto"/>
        <w:ind w:firstLine="709"/>
        <w:jc w:val="both"/>
        <w:rPr>
          <w:szCs w:val="28"/>
        </w:rPr>
      </w:pPr>
      <w:r w:rsidRPr="00EE0336">
        <w:rPr>
          <w:szCs w:val="28"/>
        </w:rPr>
        <w:t xml:space="preserve">Таким чином, наявність ожиріння асоціюється з достовірним зниженням якості життя у хворих з ГІМ у порівнянні з пацієнтами, які мають нормальну вагу тіла, за рахунок фізичного та психо-емоційного компонентів здоров’я. Провідними </w:t>
      </w:r>
      <w:r w:rsidRPr="00EE0336">
        <w:rPr>
          <w:szCs w:val="28"/>
        </w:rPr>
        <w:lastRenderedPageBreak/>
        <w:t>факторами у відношенні низької якості життя є шкала рольового функціонування, обумовленого фізичним станом, і шкала життєвої активності, що свідчить про підвищену стомлюваність пацієнтів на тлі ожиріння, відчуття знесиленості та відображає дисонанс у когнітивній сфері.</w:t>
      </w:r>
    </w:p>
    <w:p w:rsidR="00F407BB" w:rsidRPr="00EE0336" w:rsidRDefault="00F407BB" w:rsidP="00F407BB">
      <w:pPr>
        <w:spacing w:after="0" w:line="360" w:lineRule="auto"/>
        <w:ind w:firstLine="709"/>
        <w:jc w:val="both"/>
        <w:rPr>
          <w:szCs w:val="28"/>
          <w:lang w:val="ru-RU"/>
        </w:rPr>
      </w:pPr>
      <w:r w:rsidRPr="00EE0336">
        <w:rPr>
          <w:szCs w:val="28"/>
        </w:rPr>
        <w:t xml:space="preserve">Наступним етапом у дизайні нашого дослідження був аналіз параметрів кардіогемодинаміки у хворих на ГІМ за наявності та відсутності супутнього ожиріння. </w:t>
      </w:r>
      <w:r w:rsidRPr="00EE0336">
        <w:rPr>
          <w:szCs w:val="28"/>
          <w:lang w:val="ru-RU"/>
        </w:rPr>
        <w:t>При співставленні показників морфо-функціонального стану ЛШ у хворих на ГІМ з ожирінням, без нього та контрольною групою, представленою здоровими особами, виявлено відмінності. Знайдено зростання кінцевого систолічного розміру (КСР) у хворих з ожирінням та ГІМ при співставленні з контрольною групою (р&lt;0,05). Рівень кінцевого діастолічного розміру (КДР) при ожирінні достовірно перевищував такий в осіб контрольної групи (р&lt;0,05). Подібні результати отримано за параметрами кінцевого систолічного об’єму (КСО) та кінцевого діастолічного об’єму (КДО), рівні яких були вірогідно вище при ожирінні у хворих на ГІМ порівняно з групою контролю (р&lt;0,05).</w:t>
      </w:r>
    </w:p>
    <w:p w:rsidR="00F407BB" w:rsidRPr="00EE0336" w:rsidRDefault="00F407BB" w:rsidP="00F407BB">
      <w:pPr>
        <w:spacing w:after="0" w:line="360" w:lineRule="auto"/>
        <w:ind w:firstLine="709"/>
        <w:jc w:val="both"/>
        <w:rPr>
          <w:szCs w:val="28"/>
          <w:lang w:val="ru-RU"/>
        </w:rPr>
      </w:pPr>
      <w:r w:rsidRPr="00EE0336">
        <w:rPr>
          <w:szCs w:val="28"/>
          <w:lang w:val="ru-RU"/>
        </w:rPr>
        <w:t>За показниками індексу маси міокарда лівого шлуночка (ІММЛШ) та відносної товщини стінки лівого шлуночка (ВТСЛШ) отримано відмінності при співставленні груп, що вивчаються, а саме, хворих з ГІМ та ожирінням та осіб контрольної групи, у вигляді зростання рівнів даних параметрів при ожирінні (результати достовірні, р&lt;0,05). Порівняння значень товщини задньої стінки лівого шлуночка (ТЗСЛШ), товщини міжшлуночкової перетинки (ТМШП) та розмірів лівого передсердя (ЛП) не виявило відмінностей у хворих за наявності коморбідності ГІМ та ожиріння і групи контролю (р&gt;0,05). Рівень Es був вище, а Еа нижче у хворих з ГІМ та ожирінням при співставленні з контрольною групою (р&lt;0,05). Еа/Es при ожирінні у хворих з ГІМ достовірно перевищував такий у групі контролю (р&lt;0,05).</w:t>
      </w:r>
    </w:p>
    <w:p w:rsidR="00F407BB" w:rsidRDefault="00F407BB" w:rsidP="00F407BB">
      <w:pPr>
        <w:spacing w:after="0" w:line="360" w:lineRule="auto"/>
        <w:ind w:firstLine="709"/>
        <w:jc w:val="both"/>
        <w:rPr>
          <w:szCs w:val="28"/>
          <w:lang w:val="ru-RU"/>
        </w:rPr>
      </w:pPr>
      <w:r w:rsidRPr="00EE0336">
        <w:rPr>
          <w:szCs w:val="28"/>
          <w:lang w:val="ru-RU"/>
        </w:rPr>
        <w:lastRenderedPageBreak/>
        <w:t>Зіставлення показників кардіогемодинаміки у хворих з ГІМ без ожиріння та осіб контрольної групи встановило зміни за рахунок зростання рівнів КСР та КДР при ГІМ (р&lt;0,05).</w:t>
      </w:r>
    </w:p>
    <w:p w:rsidR="00F407BB" w:rsidRDefault="00F407BB" w:rsidP="00F407BB">
      <w:pPr>
        <w:spacing w:after="0" w:line="360" w:lineRule="auto"/>
        <w:ind w:firstLine="709"/>
        <w:jc w:val="both"/>
        <w:rPr>
          <w:lang w:val="ru-RU"/>
        </w:rPr>
      </w:pPr>
      <w:r>
        <w:t>Що стосується параметрів КСО та КДО, їх розміри у хворих з ГІМ без ожиріння значно перевищували такі в осіб контрольної групи (p&lt;0,05). За показниками ТЗСЛШ, ТМШП та ЛП відмінностей виявлено не було (p</w:t>
      </w:r>
      <w:r w:rsidRPr="005B6FCC">
        <w:t>&gt;</w:t>
      </w:r>
      <w:r>
        <w:t>0,05) при зіставленні груп хворих з ГІМ без ожиріння та групи контролю. Показники, що відображають геометрію ЛШ, а саме ВТСЛШ та ІММЛШ були вище у хворих з ГІМ без ожиріння, порівняно з контрольною групою (p</w:t>
      </w:r>
      <w:r w:rsidRPr="005B6FCC">
        <w:t>&lt;0,05</w:t>
      </w:r>
      <w:r>
        <w:t>). Параметри міокардіально-артеріальної жорсткості виявили відмінності у вигляді більш високих рівнів Еа та відношення Еа/Es при значно більш низькому рівні Es у хворих на ГІМ та ожиріння,</w:t>
      </w:r>
      <w:r w:rsidRPr="005B6FCC">
        <w:t xml:space="preserve"> н</w:t>
      </w:r>
      <w:r>
        <w:t>і</w:t>
      </w:r>
      <w:r w:rsidRPr="005B6FCC">
        <w:t xml:space="preserve">ж </w:t>
      </w:r>
      <w:r>
        <w:t>в</w:t>
      </w:r>
      <w:r w:rsidRPr="005B6FCC">
        <w:t xml:space="preserve"> ос</w:t>
      </w:r>
      <w:r>
        <w:t>іб групи контролю (p&lt;0,05).</w:t>
      </w:r>
    </w:p>
    <w:p w:rsidR="00F407BB" w:rsidRDefault="00F407BB" w:rsidP="00F407BB">
      <w:pPr>
        <w:spacing w:after="0" w:line="360" w:lineRule="auto"/>
        <w:ind w:firstLine="720"/>
        <w:jc w:val="both"/>
      </w:pPr>
      <w:r>
        <w:t>Інотропна функція серця, визначена за допомогою ФВ ЛШ, в осіб контрольної групи достовірно перевищувала таку у хворих на ГІМ як за наявності. так і за відсутності ожиріння (p&lt;0,05).</w:t>
      </w:r>
    </w:p>
    <w:p w:rsidR="00F407BB" w:rsidRPr="005B6FCC" w:rsidRDefault="00F407BB" w:rsidP="00F407BB">
      <w:pPr>
        <w:spacing w:after="0" w:line="360" w:lineRule="auto"/>
        <w:ind w:firstLine="720"/>
        <w:jc w:val="both"/>
      </w:pPr>
      <w:r>
        <w:t xml:space="preserve">Наступним етапом дослідження було порівняння структурно-функціонального стану міокарда у хворих з ГІМ згідно наявності або відсутності супутнього ожиріння. </w:t>
      </w:r>
      <w:r w:rsidRPr="00C505A4">
        <w:t>Дані наведені в таблиці 4.1</w:t>
      </w:r>
      <w:r>
        <w:t>. У хворих за коморбідності ГІМ та ожиріння виявлено достовірне зростання розмірів КДР та КСР порівняно з хворими без ожиріння при ГІМ (p</w:t>
      </w:r>
      <w:r w:rsidRPr="005B6FCC">
        <w:t>&lt;0,05</w:t>
      </w:r>
      <w:r>
        <w:t>). А показник контрактильності ЛШ – ФВ – при ожирінні вірогідно знижувався (44,85±1,67 проти 40,12±1,58, p&lt;0,05) при зіставленні з хворими на ГІМ без ожиріння. ТЗСЛШ, як і ТМШП та розмір ЛП при ожирінні у хворих на ГІМ були відповідними до вищезазначених параметрів у хворих без ожиріння (p</w:t>
      </w:r>
      <w:r w:rsidRPr="005B6FCC">
        <w:t>&gt;</w:t>
      </w:r>
      <w:r>
        <w:t>0,05</w:t>
      </w:r>
      <w:r w:rsidRPr="005B6FCC">
        <w:t>). І</w:t>
      </w:r>
      <w:r>
        <w:t>ММЛШ був вище при ожирінні та ГІМ (p&lt;0,05), а ВТСЛШ відповідала такій у хворих без ожиріння (p</w:t>
      </w:r>
      <w:r w:rsidRPr="005B6FCC">
        <w:t>&gt;</w:t>
      </w:r>
      <w:r>
        <w:t>0,05)</w:t>
      </w:r>
      <w:r w:rsidRPr="005B6FCC">
        <w:t>. У хворих на ГІМ на тлі супутнього ожиріння знайдено достовірне зростання співвідношення Еа/</w:t>
      </w:r>
      <w:r>
        <w:rPr>
          <w:lang w:val="en-US"/>
        </w:rPr>
        <w:t>Es</w:t>
      </w:r>
      <w:r w:rsidRPr="005B6FCC">
        <w:t xml:space="preserve"> порівняно з хворими </w:t>
      </w:r>
      <w:r>
        <w:t xml:space="preserve">без ожиріння (p&lt;0,05). Рівень Еа виявив тенденцію до зростання, яка не досягала </w:t>
      </w:r>
      <w:r>
        <w:lastRenderedPageBreak/>
        <w:t>рівня вірогідності  (р=0,06), у хворих з ГІМ та ожирінням порівняно з тими, що не мали ожиріння. За параметрами Es достовірних відмінностей виявлено не було при співставленні хворих на ГІМ з ожирінням та без нього (p</w:t>
      </w:r>
      <w:r w:rsidRPr="005B6FCC">
        <w:t>&gt;</w:t>
      </w:r>
      <w:r>
        <w:t>0,05)</w:t>
      </w:r>
      <w:r w:rsidRPr="005B6FCC">
        <w:t>.</w:t>
      </w:r>
    </w:p>
    <w:p w:rsidR="00F407BB" w:rsidRDefault="00F407BB" w:rsidP="00F407BB">
      <w:pPr>
        <w:spacing w:after="0" w:line="360" w:lineRule="auto"/>
        <w:ind w:firstLine="720"/>
        <w:jc w:val="both"/>
      </w:pPr>
      <w:r>
        <w:t>Таким</w:t>
      </w:r>
      <w:r w:rsidRPr="00343B02">
        <w:t xml:space="preserve"> </w:t>
      </w:r>
      <w:r>
        <w:t>чином</w:t>
      </w:r>
      <w:r w:rsidRPr="00343B02">
        <w:t xml:space="preserve">, </w:t>
      </w:r>
      <w:r>
        <w:t>у</w:t>
      </w:r>
      <w:r w:rsidRPr="00343B02">
        <w:t xml:space="preserve"> </w:t>
      </w:r>
      <w:r>
        <w:t>хворих</w:t>
      </w:r>
      <w:r w:rsidRPr="00343B02">
        <w:t xml:space="preserve"> </w:t>
      </w:r>
      <w:r>
        <w:t>з</w:t>
      </w:r>
      <w:r w:rsidRPr="00343B02">
        <w:t xml:space="preserve"> </w:t>
      </w:r>
      <w:r>
        <w:t>ГІМ за наявності коморбідного ожиріння визначається зростання розмірів і об’</w:t>
      </w:r>
      <w:r w:rsidRPr="00343B02">
        <w:t>ємів</w:t>
      </w:r>
      <w:r>
        <w:t xml:space="preserve"> ЛШ разом із збільшенням параметрів, відповідальних за міокардіально-аортальну жорсткість. </w:t>
      </w:r>
    </w:p>
    <w:p w:rsidR="00F407BB" w:rsidRPr="00931F07" w:rsidRDefault="00F407BB" w:rsidP="00F407BB">
      <w:pPr>
        <w:spacing w:after="0" w:line="360" w:lineRule="auto"/>
        <w:ind w:firstLine="720"/>
        <w:jc w:val="both"/>
        <w:rPr>
          <w:rFonts w:eastAsia="Calibri"/>
        </w:rPr>
      </w:pPr>
      <w:r w:rsidRPr="00931F07">
        <w:rPr>
          <w:rFonts w:eastAsia="Calibri"/>
        </w:rPr>
        <w:t xml:space="preserve">Згідно даних дослідників </w:t>
      </w:r>
      <w:r w:rsidRPr="00931F07">
        <w:rPr>
          <w:rFonts w:eastAsia="Calibri"/>
          <w:lang w:val="en-US"/>
        </w:rPr>
        <w:t>Wang</w:t>
      </w:r>
      <w:r w:rsidRPr="00931F07">
        <w:rPr>
          <w:rFonts w:eastAsia="Calibri"/>
        </w:rPr>
        <w:t xml:space="preserve"> та </w:t>
      </w:r>
      <w:r w:rsidRPr="00931F07">
        <w:rPr>
          <w:rFonts w:eastAsia="Calibri"/>
          <w:lang w:val="en-US"/>
        </w:rPr>
        <w:t>Weir</w:t>
      </w:r>
      <w:r w:rsidRPr="00931F07">
        <w:rPr>
          <w:rFonts w:eastAsia="Calibri"/>
        </w:rPr>
        <w:t xml:space="preserve"> [130; 131], галектин-3 є залученим до регуляції взаємозв’язків клітин екстрацелюлярного матриксу шляхом активації параметрів позаклітинної конфігурації – матриксної металопротеїнази-3, фактора фіброзу моноцитарного хемоатрактантного протеїну-1 (МСР-1) та представника системи цитокінів інтерлейкіну-8, які, в свою чергу, грають роль у процесах ремоделювання міокарда. Приймаючи до уваги вищенаведене, ми вивчали зміни параметрів морфо-функціонального стану міокарда, згідно квартілей галектину-3.</w:t>
      </w:r>
    </w:p>
    <w:p w:rsidR="00F407BB" w:rsidRPr="00931F07" w:rsidRDefault="00F407BB" w:rsidP="00F407BB">
      <w:pPr>
        <w:spacing w:after="0" w:line="360" w:lineRule="auto"/>
        <w:ind w:firstLine="720"/>
        <w:jc w:val="both"/>
        <w:rPr>
          <w:rFonts w:eastAsia="Calibri"/>
        </w:rPr>
      </w:pPr>
      <w:r w:rsidRPr="00882F04">
        <w:rPr>
          <w:rFonts w:eastAsia="Calibri"/>
        </w:rPr>
        <w:t>Н</w:t>
      </w:r>
      <w:r w:rsidRPr="00931F07">
        <w:rPr>
          <w:rFonts w:eastAsia="Calibri"/>
        </w:rPr>
        <w:t>адано інформацію щодо показників кардіогемодинаміки й міокардіально-артеріальної жорсткості у хворих з ГІМ та ожирінням залежно від квартілей галектину-3.</w:t>
      </w:r>
    </w:p>
    <w:p w:rsidR="00F407BB" w:rsidRDefault="00F407BB" w:rsidP="00F407BB">
      <w:pPr>
        <w:spacing w:after="0" w:line="360" w:lineRule="auto"/>
        <w:ind w:firstLine="720"/>
        <w:jc w:val="both"/>
      </w:pPr>
      <w:r>
        <w:rPr>
          <w:lang w:val="ru-RU"/>
        </w:rPr>
        <w:t>П</w:t>
      </w:r>
      <w:r>
        <w:t>орівняння параметрів КДО та КСО у 1 та 2 квартілі галектину-3 у хворих з ГІМ та ожирінням не виявило відмінностей (р&gt;0,05). Подібні результати отримані при співставленні ФВ та ІММЛШ у 1 та 2 квартілі галектину-3 у хворих з ГІМ та ожирінням (р</w:t>
      </w:r>
      <w:r w:rsidRPr="005B6FCC">
        <w:t>&gt;0,05</w:t>
      </w:r>
      <w:r>
        <w:t>). параметр міокардіально-артеріальної ригідності Еa/Es у 1 квартілі галектину-3 відповідав такому у 2 квартілі. Порівняння показників, що вивчаються між як 2 та 3 квартілями, так і 1 та 3 квартілем концентрації галектину-3 не виявили вірогідних відмінностей (р&gt;0,05). Зіставлення КДО між 1 і 4 квартілем виявило зміни у вигляді достовірного зростання даного параметра у 4 квартілі (р</w:t>
      </w:r>
      <w:r w:rsidRPr="005B6FCC">
        <w:t>&lt;</w:t>
      </w:r>
      <w:r>
        <w:t>0,05)</w:t>
      </w:r>
      <w:r w:rsidRPr="005B6FCC">
        <w:t>, при цьому пор</w:t>
      </w:r>
      <w:r>
        <w:t>і</w:t>
      </w:r>
      <w:r w:rsidRPr="005B6FCC">
        <w:t>вняння 1,2 та 3 кварт</w:t>
      </w:r>
      <w:r>
        <w:t>і</w:t>
      </w:r>
      <w:r w:rsidRPr="005B6FCC">
        <w:t>л</w:t>
      </w:r>
      <w:r>
        <w:t>ей з квартілем 4 відмінностей не знайшли (р&gt;0,05). Рівень КСО був вище у 4 квартілі порівняно з 1 квартілем (р</w:t>
      </w:r>
      <w:r w:rsidRPr="005B6FCC">
        <w:t>&lt;</w:t>
      </w:r>
      <w:r>
        <w:t xml:space="preserve">0,05), а у 2, 3 квартілях показник КСО повністю відповідав такому в 4 квартілі </w:t>
      </w:r>
      <w:r>
        <w:lastRenderedPageBreak/>
        <w:t>(р&gt;0,05). За рівнем ФВ визначено її достовірне зниження у 4 квартілі, порівняно з квартілем 1, у той час. коли зіставлення кварті ля 4 з 2 та 3 квартілями вірогідностей не виявили (р&gt;0,05). ІММЛШ у 1 та 2 квартілях достовірно не відрізнявся. Подібні результати отримано при порівнянні квартілей 2 і 3, 1 і 3. За параметром ІММЛШ встановлено його достовірне зростання у квартілі 4 при зіставленні з 1 квартілем. У хворих з ГІМ та ожирінням рівень ІММЛШ у 4 квартілі порівняно з 2 квартілем встановив тенденцію до зростання, яка не досягала рівня вірогідності (р=</w:t>
      </w:r>
      <w:r w:rsidRPr="005B6FCC">
        <w:t>0,05</w:t>
      </w:r>
      <w:r>
        <w:t>). Зіставлення 3 та 4 квартілей галектину-3 за показником ІММЛШ вірогідних відмінностей не виявили (р</w:t>
      </w:r>
      <w:r w:rsidRPr="005B6FCC">
        <w:t>&gt;0,05</w:t>
      </w:r>
      <w:r>
        <w:t xml:space="preserve">). показник Еa/Es у 4 квартілі галектину-3 достовірно перевищував такий у 1 квартілі і не відрізнявся у 2 та 3 квартілях, порівняно як з квартілем 4. так і при зіставленні 1, 2 і 3 квартілей. </w:t>
      </w:r>
    </w:p>
    <w:p w:rsidR="00F407BB" w:rsidRDefault="00F407BB" w:rsidP="00F407BB">
      <w:pPr>
        <w:spacing w:after="0" w:line="360" w:lineRule="auto"/>
        <w:ind w:firstLine="720"/>
        <w:jc w:val="both"/>
      </w:pPr>
      <w:r>
        <w:t>Таким чином, діапазон концентрації галектину-3 29,87 – 41,42 нг/мл, що відповідає 4 квартілю, асоціювався з дилатацією порожнини ЛШ, зниженням систолічної функції ЛШ. зростанням гіпертрофії ЛШ та міокардіально-артеріальної жорсткості.</w:t>
      </w:r>
    </w:p>
    <w:p w:rsidR="00F407BB" w:rsidRPr="00931F07" w:rsidRDefault="00F407BB" w:rsidP="00F407BB">
      <w:pPr>
        <w:spacing w:after="0" w:line="360" w:lineRule="auto"/>
        <w:ind w:firstLine="720"/>
        <w:jc w:val="both"/>
        <w:rPr>
          <w:rFonts w:eastAsia="Calibri"/>
        </w:rPr>
      </w:pPr>
      <w:r w:rsidRPr="00931F07">
        <w:rPr>
          <w:rFonts w:eastAsia="Calibri"/>
        </w:rPr>
        <w:t>Отримані дані не суперечать результатам світової медичної спільноти. Колектив співавторів під керівництвом Yakar Tuluce опублікував відомості щодо високої активностігалектину-3 у осіб з гіпертрофічною кардіоміопатією (ГКМП), що асоціюється зі зростанням гіпертрофії лівого шлуночка, проте не виявлено зв’язків з діастолічною і систолічною функціями ЛШ [132] . За даними [133] галектин-3 є незалежним маркером ремоделювання ЛШ у хворих з АГ. Підвищення концентрації галектину-3 супроводжується порушенням систолічної функції правого шлуночка [134].</w:t>
      </w:r>
    </w:p>
    <w:p w:rsidR="00F407BB" w:rsidRDefault="00F407BB" w:rsidP="00F407BB">
      <w:pPr>
        <w:spacing w:after="0" w:line="360" w:lineRule="auto"/>
        <w:ind w:firstLine="720"/>
        <w:jc w:val="both"/>
      </w:pPr>
      <w:r>
        <w:t xml:space="preserve">Наступним етапом у дизайні нашого дослідження було визначення змін показників структурно-функціонального стану міокарда ЛШ у хворих з ГІМ та ожирінням згідно характеру атеросклеротичного ураження коронарних судин. У таблиці 4.3 надано інформацію про групи хворих з ГІМ та ожирінням з одно- та </w:t>
      </w:r>
      <w:r>
        <w:lastRenderedPageBreak/>
        <w:t>мультисудинним ураженням артерій коронарного русла та параметри кардіогемодинаміки. Знайдено достовірне зростання параметра КДО у хворих на ГІМ на тлі супутнього ожиріння, що мали мультисудинне ураження коронарних артерій (КА) порівняно з хворими з одно судинним ураженням КА.</w:t>
      </w:r>
    </w:p>
    <w:p w:rsidR="00F407BB" w:rsidRDefault="00F407BB" w:rsidP="00F407BB">
      <w:pPr>
        <w:spacing w:after="0" w:line="360" w:lineRule="auto"/>
        <w:ind w:firstLine="720"/>
        <w:jc w:val="both"/>
      </w:pPr>
      <w:r>
        <w:t>Крім того, показник КСО у групі хворих з мультисудинним ураженням КА вірогідно перевищував такий у хворих з односудинним ураженням КА. За параметром КДР достовірних відмінностей виявлено не було при співставленні груп хворих з одно- та мультисудинним ураженням КА при ГІМ та ожирінні (</w:t>
      </w:r>
      <w:r>
        <w:rPr>
          <w:lang w:val="en-US"/>
        </w:rPr>
        <w:t>p</w:t>
      </w:r>
      <w:r w:rsidRPr="00943792">
        <w:t>&gt;0,05</w:t>
      </w:r>
      <w:r>
        <w:t>). Подібні результати отримано за показником КСР, який при мультисудинному ураженні відповідав такому у хворих з односудинним ураженням КА за умов коморбідного перебігу ГІМ та ожиріння. За параметром ФВ, що відображає систолічну функцію ЛШ, знайдено тенденцію до зростання при мультисудинному ураженні КА, яка не досягала рівня вірогідності (р=0,05).</w:t>
      </w:r>
    </w:p>
    <w:p w:rsidR="00F407BB" w:rsidRDefault="00F407BB" w:rsidP="00F407BB">
      <w:pPr>
        <w:spacing w:after="0" w:line="360" w:lineRule="auto"/>
        <w:ind w:firstLine="720"/>
        <w:jc w:val="both"/>
      </w:pPr>
      <w:r>
        <w:t>Дослідження показників, що вивчаються, у хворих з супутнім ожирінням згідно наявності ускладнень у гострому періоді ІМ за рахунок розвитку ГСН показало наявність змін у вигляді достовірного зростання КДО (</w:t>
      </w:r>
      <w:r>
        <w:rPr>
          <w:lang w:val="en-US"/>
        </w:rPr>
        <w:t>p</w:t>
      </w:r>
      <w:r w:rsidRPr="00C138CE">
        <w:t>&lt;0,05</w:t>
      </w:r>
      <w:r>
        <w:t>), КСО (</w:t>
      </w:r>
      <w:r>
        <w:rPr>
          <w:lang w:val="en-US"/>
        </w:rPr>
        <w:t>p</w:t>
      </w:r>
      <w:r w:rsidRPr="00C138CE">
        <w:t>&lt;0,05</w:t>
      </w:r>
      <w:r>
        <w:t>), КДР (</w:t>
      </w:r>
      <w:r>
        <w:rPr>
          <w:lang w:val="en-US"/>
        </w:rPr>
        <w:t>p</w:t>
      </w:r>
      <w:r w:rsidRPr="00C138CE">
        <w:t>&lt;0,05</w:t>
      </w:r>
      <w:r>
        <w:t>), ЛП (</w:t>
      </w:r>
      <w:r>
        <w:rPr>
          <w:lang w:val="en-US"/>
        </w:rPr>
        <w:t>p</w:t>
      </w:r>
      <w:r w:rsidRPr="00C138CE">
        <w:t>&lt;0,0</w:t>
      </w:r>
      <w:r>
        <w:t>1) порівняно з хворими з ожирінням, які не мали ускладнень ГІМ. Дані наведено у таблиці 4.4.</w:t>
      </w:r>
    </w:p>
    <w:p w:rsidR="00F407BB" w:rsidRDefault="00F407BB" w:rsidP="00F407BB">
      <w:pPr>
        <w:spacing w:after="0" w:line="360" w:lineRule="auto"/>
        <w:jc w:val="both"/>
      </w:pPr>
      <w:r>
        <w:t>За параметрами ТЗСЛШ, ТМШП та КСР вірогідних відмінностей отримано не було (</w:t>
      </w:r>
      <w:r>
        <w:rPr>
          <w:lang w:val="en-US"/>
        </w:rPr>
        <w:t>p</w:t>
      </w:r>
      <w:r w:rsidRPr="00106009">
        <w:t>&gt;</w:t>
      </w:r>
      <w:r w:rsidRPr="00C138CE">
        <w:t>0,05</w:t>
      </w:r>
      <w:r>
        <w:t xml:space="preserve">). Показник ФВ достовірно знижувався у хворих з ускладненим перебігом гострого періоду ІМ на тлі ожиріння порівняно з хворими, що не мали ускладнень ГІМ. </w:t>
      </w:r>
    </w:p>
    <w:p w:rsidR="00F407BB" w:rsidRPr="00070F18" w:rsidRDefault="00F407BB" w:rsidP="00F407BB">
      <w:pPr>
        <w:spacing w:after="0" w:line="360" w:lineRule="auto"/>
        <w:ind w:firstLine="720"/>
        <w:jc w:val="both"/>
      </w:pPr>
      <w:r w:rsidRPr="00070F18">
        <w:t xml:space="preserve">Таким чином, дослідження показало, що у хворих з ГІМ та супутнім ожирінням порівняно з хворими, що мали нормальну масу тіла, знайдено зростання об’єму порожнини ЛШ, ступеня гіпертрофії міокарда ЛШ та міокардіально-артеріальної жорсткості разом зі зниженням інотропізму ЛШ, які сягають максимуму у 4 квартілі галектину-3 (діапазон 29,87 – 41,42 нг/мл), а також за умов </w:t>
      </w:r>
      <w:r w:rsidRPr="00070F18">
        <w:lastRenderedPageBreak/>
        <w:t>ускладненого перебігу гострого періоду інфаркту міокарда та мультисудинного ураження артерій коронарного русла.</w:t>
      </w:r>
    </w:p>
    <w:p w:rsidR="00F407BB" w:rsidRDefault="00F407BB" w:rsidP="00F407BB">
      <w:pPr>
        <w:spacing w:after="0" w:line="360" w:lineRule="auto"/>
        <w:ind w:firstLine="720"/>
        <w:jc w:val="both"/>
      </w:pPr>
      <w:r>
        <w:t xml:space="preserve">У хворих з ГІМ та ожирінням за даними ангіографії коронарних артерій односудинне ураження мали 13 осіб (40,7%), мультисудинне ураження коронарного русла – 18 осіб (59,3%). Кількість уражених судин коливалось від 1 до 4. </w:t>
      </w:r>
    </w:p>
    <w:p w:rsidR="00F407BB" w:rsidRDefault="00F407BB" w:rsidP="00F407BB">
      <w:pPr>
        <w:spacing w:after="0" w:line="360" w:lineRule="auto"/>
        <w:ind w:firstLine="720"/>
        <w:jc w:val="both"/>
      </w:pPr>
      <w:r>
        <w:t>У 19 хворих на ГІМ з супутнім ожирінням згідно даних ангіографічного обстеження знайдено поєднане атеросклеротичне ураження артерій. Найбільш часто зустрічалося поєднання уражень у ПКА, ПМША та ОА, що спостерігалось у 8 випадках (25,8 %). 5 хворих (16,1%) мали атеросклеротичне ураження у ПКА та ПМША. Також виявлено поодинокі різноманітні поєднання: у 2 хворих (6,5 %) визначено ураження у ПКА та ОА, у 1 хворого (3,2%) – ураження ПМША та ОА, у 1 хворого (3,2%) – ураження стовбура ЛКА, ПМША та ОА. Ще у 2 хворих (6,5%)  знайдено атеросклеротичне ураження всіх магістральних коронарних артерій, а саме: ПКА, стовбура ЛКА, ПМША та ОА. Ізольоване ураження ПМША визначено у 10 (32,3%) хворих. 2 хворих мали односудинне ураження ПКА.</w:t>
      </w:r>
    </w:p>
    <w:p w:rsidR="00F407BB" w:rsidRDefault="00F407BB" w:rsidP="00F407BB">
      <w:pPr>
        <w:spacing w:after="0" w:line="360" w:lineRule="auto"/>
        <w:ind w:firstLine="720"/>
        <w:contextualSpacing/>
        <w:jc w:val="both"/>
      </w:pPr>
      <w:r>
        <w:t>Аналіз частоти ураження магістральних коронарних артерій показав, що найбільш часто атеросклеротичне ураження було знайдено у ПМША – 89% випадків. Друге місце посідає ПКА – 59,3%, близько половини хворих на ГІМ та ожиріння (48,1%)мали мали ураження ОА. Стовбур ЛКА залишався найменш часто ураженим у хворих на ГІМ з супутнім ожирінням – 11%.</w:t>
      </w:r>
    </w:p>
    <w:p w:rsidR="00F407BB" w:rsidRDefault="00F407BB" w:rsidP="00F407BB">
      <w:pPr>
        <w:spacing w:after="0" w:line="360" w:lineRule="auto"/>
        <w:ind w:firstLine="709"/>
        <w:contextualSpacing/>
        <w:jc w:val="both"/>
      </w:pPr>
      <w:r>
        <w:t>Що стосується коронарних артерій другого порядку, у групі досліджуваних хворих найбільш часто були уражені проксимальна та медіальна частини ПМША (41% та 52% відповідно), а також проксимальна частина ОА (37%).</w:t>
      </w:r>
    </w:p>
    <w:p w:rsidR="00F407BB" w:rsidRDefault="00F407BB" w:rsidP="00F407BB">
      <w:pPr>
        <w:spacing w:after="0" w:line="360" w:lineRule="auto"/>
        <w:ind w:firstLine="709"/>
        <w:jc w:val="both"/>
      </w:pPr>
      <w:r>
        <w:t>При вивченні результатів ангіографії виявлено, що у всіх магістральних артеріях знайдено як гемодинамічно значущі, так і гемодинамічно незначущі стенози.</w:t>
      </w:r>
    </w:p>
    <w:p w:rsidR="00F407BB" w:rsidRDefault="00F407BB" w:rsidP="00F407BB">
      <w:pPr>
        <w:spacing w:after="0" w:line="360" w:lineRule="auto"/>
        <w:ind w:firstLine="709"/>
        <w:contextualSpacing/>
        <w:jc w:val="both"/>
      </w:pPr>
      <w:r>
        <w:lastRenderedPageBreak/>
        <w:t>У ПМША та ПКА частіше констатовано гемодинамічно значущі стенози, в той час коли у ОА та стовбурі ЛКА частка гемодинамічно незначущих стенозів перевищувала таку для гемодинамічно значущих.</w:t>
      </w:r>
    </w:p>
    <w:p w:rsidR="00F407BB" w:rsidRDefault="00F407BB" w:rsidP="00F407BB">
      <w:pPr>
        <w:spacing w:after="0" w:line="360" w:lineRule="auto"/>
        <w:contextualSpacing/>
        <w:jc w:val="both"/>
      </w:pPr>
      <w:r>
        <w:t>Середня кількість уражених судин коронарного русла у хворих на ГІМ та ожиріння складала 2,07±0,19. Кількість уражених сегментів коливалась від 1 до 6 (в середньому 2,9±0,39).</w:t>
      </w:r>
    </w:p>
    <w:p w:rsidR="00F407BB" w:rsidRDefault="00F407BB" w:rsidP="00F407BB">
      <w:pPr>
        <w:spacing w:after="0" w:line="360" w:lineRule="auto"/>
        <w:ind w:firstLine="720"/>
        <w:contextualSpacing/>
        <w:jc w:val="both"/>
      </w:pPr>
      <w:r>
        <w:t>Найбільша вразливість ПМША супроводжувалася наявністю найбільш високих середніх значень стенозів – 77,3%.</w:t>
      </w:r>
      <w:r>
        <w:rPr>
          <w:lang w:val="ru-RU"/>
        </w:rPr>
        <w:t xml:space="preserve"> Н</w:t>
      </w:r>
      <w:r>
        <w:t>а другому місці як за частотою, так і за ступенем ураження знаходиться ПКА, середнє значення стенозу якої склало 68,2%. Деяким чином поступалися таким за ступенем стенозу ОА та стовбур ЛКА, де середні значення стенозу були на рівні 62,5% та 60% відповідно. Середнє значення гемодинамічно значущих стенозів суттєво не відрізнялись у хворих на ГІМ та ожиріння залежно від локалізації ураження і коливались в межах 84,4 – 89%. Подібні результати отримано при вивченні середнього значення гемодинамічно незначущих стенозів, які істотно не відрізнялись у хворих з різною локалізацією ураження.</w:t>
      </w:r>
    </w:p>
    <w:p w:rsidR="00F407BB" w:rsidRDefault="00F407BB" w:rsidP="00F407BB">
      <w:pPr>
        <w:spacing w:after="0" w:line="360" w:lineRule="auto"/>
        <w:ind w:firstLine="720"/>
        <w:contextualSpacing/>
        <w:jc w:val="both"/>
      </w:pPr>
      <w:r>
        <w:rPr>
          <w:lang w:val="ru-RU"/>
        </w:rPr>
        <w:t>П</w:t>
      </w:r>
      <w:r>
        <w:t>редставлено дані щодо інформації про інфаркт-залежні коронарні артерії у хворих, що перенесли ГІМ на тлі супутнього ожиріння. Розвиток переважної більшості ГІМ, а саме 57,1%, було обумовлено оклюзією ПМША.</w:t>
      </w:r>
    </w:p>
    <w:p w:rsidR="00F407BB" w:rsidRDefault="00F407BB" w:rsidP="00F407BB">
      <w:pPr>
        <w:spacing w:after="0" w:line="360" w:lineRule="auto"/>
        <w:ind w:firstLine="720"/>
        <w:contextualSpacing/>
        <w:jc w:val="both"/>
      </w:pPr>
      <w:r>
        <w:t>Серед магістральних артерій менш часто інфаркт-залежними стали ПКА та ОА з поодинокими випадками для стовбура ЛКА.</w:t>
      </w:r>
    </w:p>
    <w:p w:rsidR="00F407BB" w:rsidRDefault="00F407BB" w:rsidP="00F407BB">
      <w:pPr>
        <w:spacing w:after="0" w:line="360" w:lineRule="auto"/>
        <w:ind w:firstLine="720"/>
        <w:contextualSpacing/>
        <w:jc w:val="both"/>
      </w:pPr>
      <w:r>
        <w:t xml:space="preserve">При аналізі локалізації ураження інфаркт-залежних коронарних артерій встановлено, що найбільш часто оклюзія була розташована у проксимальній та середній частинах артерій (60,7% та 25% відповідно), менш залученими у патологічний процес були дистальні частини судин – 14,3% випадків. </w:t>
      </w:r>
    </w:p>
    <w:p w:rsidR="00F407BB" w:rsidRDefault="00F407BB" w:rsidP="00F407BB">
      <w:pPr>
        <w:spacing w:after="0" w:line="360" w:lineRule="auto"/>
        <w:ind w:firstLine="720"/>
        <w:contextualSpacing/>
        <w:jc w:val="both"/>
      </w:pPr>
      <w:r>
        <w:t xml:space="preserve">Отримані в нашому дослідженні результати щодо частоти ураження різних коронарних артерій свідчать, що у переважній більшості випадків судинна </w:t>
      </w:r>
      <w:r>
        <w:lastRenderedPageBreak/>
        <w:t xml:space="preserve">катастрофа відбувалася у ПМША та ПКА. Такі дані узгоджуються з даними світової медичної літератури </w:t>
      </w:r>
      <w:r w:rsidRPr="00F450D8">
        <w:t>[</w:t>
      </w:r>
      <w:r>
        <w:t>1-4</w:t>
      </w:r>
      <w:r w:rsidRPr="00F450D8">
        <w:t>]</w:t>
      </w:r>
      <w:r>
        <w:t>.</w:t>
      </w:r>
    </w:p>
    <w:p w:rsidR="00F407BB" w:rsidRDefault="00F407BB" w:rsidP="00F407BB">
      <w:pPr>
        <w:spacing w:after="0" w:line="360" w:lineRule="auto"/>
        <w:contextualSpacing/>
        <w:jc w:val="both"/>
      </w:pPr>
      <w:r>
        <w:t xml:space="preserve">Згідно дизайну дослідження, хворих було розподілено на групи за ступенем ожиріння. </w:t>
      </w:r>
    </w:p>
    <w:p w:rsidR="00F407BB" w:rsidRDefault="00F407BB" w:rsidP="00F407BB">
      <w:pPr>
        <w:spacing w:after="0" w:line="360" w:lineRule="auto"/>
        <w:ind w:firstLine="720"/>
        <w:contextualSpacing/>
        <w:jc w:val="both"/>
      </w:pPr>
      <w:r>
        <w:t>При співставленні частоти односудинного ураження у хворих з ГІМ, що мали ожиріння 1 або 2 ступеня, істотних відмінностей виявлено не було. У хворих на ГІМ та ожиріння 1 ступеня, порівняно з хворими, що мали ожиріння 2 ступеня, знайдено деяке зростання відсотка хворих з двохсудинним ураженням. Мультисудинне ураження істотно не відрізнялось у хворих з різним ступенем ожиріння, що супроводжувало ГІМ. Деяке зростання відсотка хворих з мультисудинним залученням до атеросклеротичного процессу у хворих з ожирінням 2 ступеня при зіставленні з ожирінням 1 ступеня при ГІМ (38% проти 30%) обумовлено наявністю чотирьохсудинного ураження у 9% хворих, яке відсутнє у хворих на ГІМ на тлі ожиріння 1 ступеня.</w:t>
      </w:r>
    </w:p>
    <w:p w:rsidR="00F407BB" w:rsidRDefault="00F407BB" w:rsidP="00F407BB">
      <w:pPr>
        <w:spacing w:after="0" w:line="360" w:lineRule="auto"/>
        <w:ind w:firstLine="720"/>
        <w:contextualSpacing/>
        <w:jc w:val="both"/>
      </w:pPr>
      <w:r>
        <w:t xml:space="preserve">У хворих з ГІМ та ожирінням 1 ступеня середня кількість гемодинамічно значущих та незначущих стенозів була співставна з аналоговими значеннями у хворих на ГІМ та ожиріння 2 ступеня. </w:t>
      </w:r>
    </w:p>
    <w:p w:rsidR="00F407BB" w:rsidRPr="005B6FCC" w:rsidRDefault="00F407BB" w:rsidP="00F407BB">
      <w:pPr>
        <w:spacing w:after="0" w:line="360" w:lineRule="auto"/>
        <w:ind w:firstLine="720"/>
        <w:contextualSpacing/>
        <w:jc w:val="both"/>
      </w:pPr>
      <w:r>
        <w:t>Середня кількість уражених судин та/або сегментів у хворих на ГІМ на тлі ожиріння 1 ступеня відповідала такій у хворих на ГІМ та ожиріння 2 ступеня. Тобто хворі з ГІМ та різним ступенем тяжкості ожиріння не мали достовірної різниці за параметрами ангіографічного обстеження коронарного русла, а саме кількістю гемодинамічно значущих та незначущих стенозів, середньою кількістю уражених судин та/або сегментів.</w:t>
      </w:r>
    </w:p>
    <w:p w:rsidR="00F407BB" w:rsidRDefault="00F407BB" w:rsidP="00F407BB">
      <w:pPr>
        <w:spacing w:after="0" w:line="360" w:lineRule="auto"/>
        <w:ind w:firstLine="720"/>
        <w:jc w:val="both"/>
      </w:pPr>
      <w:r w:rsidRPr="00D66554">
        <w:t xml:space="preserve">З метою оцінки змін параметрів, що відображають ураження коронарних артерій за даними КВГ у хворих з ГІМ та ожирінням, ми розподілили дані про вище згадувані показники згідно квартілей галектину-3. </w:t>
      </w:r>
    </w:p>
    <w:p w:rsidR="00F407BB" w:rsidRDefault="00F407BB" w:rsidP="00F407BB">
      <w:pPr>
        <w:spacing w:after="0" w:line="360" w:lineRule="auto"/>
        <w:ind w:firstLine="567"/>
        <w:jc w:val="both"/>
      </w:pPr>
      <w:r>
        <w:lastRenderedPageBreak/>
        <w:t>У хворих з ГІМ та ожирінням при порівнянні 1 квартіля рівня галектину-3 та 2 квартіля достовірних відмінностей знайдено не було за кількістю уражених судин. Подібні результати отримано при зіставленні 2 та 3 квартілей рівня галектину-3, а також 3 та 4 квартілей концентрації галектину-3. Порівняння кількості ураження судин у хворих з ГІМ та ожирінням 1 квартіля рівнів галектину-3 і 3 квартіля виявило відмінності у вигляді достовірного зростання даного параметра у 3 квартілі рівнів галектину-3 (р</w:t>
      </w:r>
      <w:r w:rsidRPr="001F43EA">
        <w:t>&lt;0,01</w:t>
      </w:r>
      <w:r>
        <w:t>). Що стосується зіставлення 1 та 4 квартілей концентрації галектину-3, знайдено  вірогідні відмінності у бік зростання кількості уражених судин у 4 квартілі рівнів галектину-3 (р</w:t>
      </w:r>
      <w:r w:rsidRPr="001F43EA">
        <w:t>&lt;0,01</w:t>
      </w:r>
      <w:r>
        <w:t>).</w:t>
      </w:r>
    </w:p>
    <w:p w:rsidR="00F407BB" w:rsidRPr="00070F18" w:rsidRDefault="00F407BB" w:rsidP="00F407BB">
      <w:pPr>
        <w:spacing w:after="0" w:line="360" w:lineRule="auto"/>
        <w:ind w:firstLine="567"/>
        <w:jc w:val="both"/>
      </w:pPr>
      <w:r w:rsidRPr="00070F18">
        <w:t>Отримано тенденцію до зростання кількості уражених сегментів у хворих з ГІМ та ожирінням у 2 квартілі рівнів галектину-3, порівняно з 1 квартілем даного параметра, яка не досягала вірогідності (р=0,07).</w:t>
      </w:r>
    </w:p>
    <w:p w:rsidR="00F407BB" w:rsidRPr="0092296F" w:rsidRDefault="00F407BB" w:rsidP="00F407BB">
      <w:pPr>
        <w:spacing w:after="0" w:line="360" w:lineRule="auto"/>
        <w:ind w:firstLine="567"/>
        <w:jc w:val="both"/>
      </w:pPr>
      <w:r>
        <w:t>Кількість уражених сегментів у 3 та 4 квартілях достовірно перевищувала таку у 1 квартілі рівнів галектину-3 (р</w:t>
      </w:r>
      <w:r w:rsidRPr="001F43EA">
        <w:t>&lt;0,0</w:t>
      </w:r>
      <w:r>
        <w:t>5 та р</w:t>
      </w:r>
      <w:r w:rsidRPr="001F43EA">
        <w:t>&lt;0,01</w:t>
      </w:r>
      <w:r>
        <w:t xml:space="preserve"> відповідно). При зіставленні кількості уражених сегментів як 2 та 3 квартіля, так і 3 та 4 квартіля вірогідних змін не виявлено (р</w:t>
      </w:r>
      <w:r w:rsidRPr="0092296F">
        <w:t>&gt;0,05).</w:t>
      </w:r>
    </w:p>
    <w:p w:rsidR="00F407BB" w:rsidRDefault="00F407BB" w:rsidP="00F407BB">
      <w:pPr>
        <w:spacing w:after="0" w:line="360" w:lineRule="auto"/>
        <w:ind w:firstLine="567"/>
        <w:jc w:val="both"/>
      </w:pPr>
      <w:r w:rsidRPr="0092296F">
        <w:t xml:space="preserve">Бали шкали </w:t>
      </w:r>
      <w:r>
        <w:t>Генсіні</w:t>
      </w:r>
      <w:r w:rsidRPr="0092296F">
        <w:t xml:space="preserve">, що відображають тяжкість атеросклеротичного ураження коронарних судин, були вище у хворих з ГІМ та ожирінням у 2 квартілі </w:t>
      </w:r>
      <w:r>
        <w:t>концентрації</w:t>
      </w:r>
      <w:r w:rsidRPr="0092296F">
        <w:t xml:space="preserve"> галектину-3 порівняно з 1 квартілем, проте отримані зміни відображ</w:t>
      </w:r>
      <w:r>
        <w:t>ають тенденцію, яка не досягала рівня вірогідності (р=0,06). Порівняння кількості балів шкали Генсіні у хворих з 2 і 3, 3 і 4 квартілями встановило достовірне їх зростання пропорційно збільшення квартіля рівнів галектину-3 (р</w:t>
      </w:r>
      <w:r w:rsidRPr="001F43EA">
        <w:t>&lt;0,0</w:t>
      </w:r>
      <w:r>
        <w:t xml:space="preserve">5). Визначено, що у хворих з ГІМ та ожирінням як у 3. так і у 4 квартілі бали </w:t>
      </w:r>
      <w:r w:rsidRPr="0092296F">
        <w:t xml:space="preserve">шкали </w:t>
      </w:r>
      <w:r>
        <w:t>Генсіні вірогідно перевищували такі у 1 квартілі рівнів галектину-3. (р</w:t>
      </w:r>
      <w:r w:rsidRPr="001F43EA">
        <w:t>&lt;0,01</w:t>
      </w:r>
      <w:r>
        <w:t>).</w:t>
      </w:r>
    </w:p>
    <w:p w:rsidR="00F407BB" w:rsidRDefault="00F407BB" w:rsidP="00F407BB">
      <w:pPr>
        <w:spacing w:after="0" w:line="360" w:lineRule="auto"/>
        <w:ind w:firstLine="567"/>
        <w:jc w:val="both"/>
      </w:pPr>
      <w:r>
        <w:t xml:space="preserve">Таким чином, зростання концентрації галектину-3 до 23,48 – 41,42 нг/мл, що відповідає 3-4 квартілям рівнів галектину-3 у хворих з ГІМ та ожирінням, асоціювалось зі збільшенням кількості уражених судин та сегментів разом з </w:t>
      </w:r>
      <w:r>
        <w:lastRenderedPageBreak/>
        <w:t>високими балами шкали Генсіні, що свідчить на користь зростання тяжкості атеросклеротичного ураження коронарних артерій на тлі високої концентрації галектину-3 у хворих на ГІМ з супутнім ожирінням.</w:t>
      </w:r>
    </w:p>
    <w:p w:rsidR="00F407BB" w:rsidRDefault="00F407BB" w:rsidP="00F407BB">
      <w:pPr>
        <w:spacing w:after="0" w:line="360" w:lineRule="auto"/>
        <w:contextualSpacing/>
        <w:jc w:val="both"/>
      </w:pPr>
      <w:r>
        <w:t>З метою оцінки наявності та характеру зв’</w:t>
      </w:r>
      <w:r w:rsidRPr="005B6FCC">
        <w:t>язків між концентрацією галектину-3 та параметрами, що відображують ураження КА</w:t>
      </w:r>
      <w:r>
        <w:t xml:space="preserve"> (кількість уражених судин / сегментів, бали шкали Генсіні) у хворих на ГІМ та ожиріння, використано кореляції.</w:t>
      </w:r>
      <w:r w:rsidRPr="00F470A1">
        <w:t xml:space="preserve"> </w:t>
      </w:r>
      <w:r>
        <w:t>У хворих на ГІМ та ожиріння знайдено прямий зв’</w:t>
      </w:r>
      <w:r w:rsidRPr="005B6FCC">
        <w:t>я</w:t>
      </w:r>
      <w:r>
        <w:t>зок між концентрацією галектину-3 та шкалою Генсіні (r=0,7</w:t>
      </w:r>
      <w:r w:rsidRPr="005B6FCC">
        <w:t xml:space="preserve">2; </w:t>
      </w:r>
      <w:r>
        <w:rPr>
          <w:lang w:val="en-US"/>
        </w:rPr>
        <w:t>p</w:t>
      </w:r>
      <w:r w:rsidRPr="005B6FCC">
        <w:t xml:space="preserve">&lt;0,05), кількістю уражених судин </w:t>
      </w:r>
      <w:r>
        <w:t>(r=0,69</w:t>
      </w:r>
      <w:r w:rsidRPr="005B6FCC">
        <w:t xml:space="preserve">; </w:t>
      </w:r>
      <w:r>
        <w:rPr>
          <w:lang w:val="en-US"/>
        </w:rPr>
        <w:t>p</w:t>
      </w:r>
      <w:r w:rsidRPr="005B6FCC">
        <w:t>&lt;0,05</w:t>
      </w:r>
      <w:r>
        <w:t>), кількістю уражених сегментів (r=0,71</w:t>
      </w:r>
      <w:r w:rsidRPr="005B6FCC">
        <w:t xml:space="preserve">; </w:t>
      </w:r>
      <w:r>
        <w:rPr>
          <w:lang w:val="en-US"/>
        </w:rPr>
        <w:t>p</w:t>
      </w:r>
      <w:r w:rsidRPr="005B6FCC">
        <w:t>&lt;0,05</w:t>
      </w:r>
      <w:r>
        <w:t xml:space="preserve">). </w:t>
      </w:r>
    </w:p>
    <w:p w:rsidR="00F407BB" w:rsidRDefault="00F407BB" w:rsidP="00F407BB">
      <w:pPr>
        <w:spacing w:after="0" w:line="360" w:lineRule="auto"/>
        <w:ind w:firstLine="720"/>
        <w:contextualSpacing/>
        <w:jc w:val="both"/>
      </w:pPr>
      <w:r>
        <w:t>П</w:t>
      </w:r>
      <w:r w:rsidRPr="005B6FCC">
        <w:t xml:space="preserve">риймаючи до уваги дані про те, що зростання квартілей галектину-3 до 3-4 у хворих з ГІМ та ожирінням асоціювалось зі збільшенням кількості уражених судин та сегментів разом з високими балами шкали </w:t>
      </w:r>
      <w:r w:rsidRPr="00066266">
        <w:t>Генсіні</w:t>
      </w:r>
      <w:r w:rsidRPr="005B6FCC">
        <w:t>, наступним етапом дослідження був аналіз характеру зв’язків між показниками, що відображують стан коронарних артерій, та вмістом галектину-3 згідно його квартілей.</w:t>
      </w:r>
    </w:p>
    <w:p w:rsidR="00F407BB" w:rsidRDefault="00F407BB" w:rsidP="00F407BB">
      <w:pPr>
        <w:spacing w:after="0" w:line="360" w:lineRule="auto"/>
        <w:ind w:firstLine="720"/>
        <w:jc w:val="both"/>
      </w:pPr>
      <w:r w:rsidRPr="00D66554">
        <w:t>У хворих з ГІМ та ожирінням, що увійшли до 1 та 2 квартілей концентрації галектину-3, знайдено прямі зв</w:t>
      </w:r>
      <w:r>
        <w:t>΄</w:t>
      </w:r>
      <w:r w:rsidRPr="00D66554">
        <w:t>язки середньої сили між галектином-3 та кількістю уражених судин (</w:t>
      </w:r>
      <w:r>
        <w:t>r</w:t>
      </w:r>
      <w:r w:rsidRPr="00D66554">
        <w:t xml:space="preserve">=0,45; </w:t>
      </w:r>
      <w:r>
        <w:t>p</w:t>
      </w:r>
      <w:r w:rsidRPr="00D66554">
        <w:t xml:space="preserve">&lt;0,05 для 1 квартіля та </w:t>
      </w:r>
      <w:r>
        <w:t>r</w:t>
      </w:r>
      <w:r w:rsidRPr="00D66554">
        <w:t xml:space="preserve">=0,51; </w:t>
      </w:r>
      <w:r>
        <w:t>p</w:t>
      </w:r>
      <w:r w:rsidRPr="00D66554">
        <w:t>&lt;0,05 для 2 квартіля), кількістю уражених сегментів (</w:t>
      </w:r>
      <w:r>
        <w:t>r</w:t>
      </w:r>
      <w:r w:rsidRPr="00D66554">
        <w:t xml:space="preserve">=0,49; </w:t>
      </w:r>
      <w:r>
        <w:t>p</w:t>
      </w:r>
      <w:r w:rsidRPr="00D66554">
        <w:t xml:space="preserve">&lt;0,05 та </w:t>
      </w:r>
      <w:r>
        <w:t>r</w:t>
      </w:r>
      <w:r w:rsidRPr="00D66554">
        <w:t xml:space="preserve">=0,53; </w:t>
      </w:r>
      <w:r>
        <w:t>p</w:t>
      </w:r>
      <w:r w:rsidRPr="00D66554">
        <w:t xml:space="preserve">&lt;0,05 відповідно), а також з балами шкали </w:t>
      </w:r>
      <w:r>
        <w:t>Генсіні</w:t>
      </w:r>
      <w:r w:rsidRPr="00D66554">
        <w:t xml:space="preserve"> (</w:t>
      </w:r>
      <w:r>
        <w:t>r</w:t>
      </w:r>
      <w:r w:rsidRPr="00D66554">
        <w:t xml:space="preserve">=0,56; </w:t>
      </w:r>
      <w:r>
        <w:t>p</w:t>
      </w:r>
      <w:r w:rsidRPr="00D66554">
        <w:t xml:space="preserve">&lt;0,05 та </w:t>
      </w:r>
      <w:r>
        <w:t>r</w:t>
      </w:r>
      <w:r w:rsidRPr="00D66554">
        <w:t xml:space="preserve">=0,58; </w:t>
      </w:r>
      <w:r>
        <w:t>p</w:t>
      </w:r>
      <w:r w:rsidRPr="00D66554">
        <w:t xml:space="preserve">&lt;0,05). </w:t>
      </w:r>
    </w:p>
    <w:p w:rsidR="00F407BB" w:rsidRPr="00F470A1" w:rsidRDefault="00F407BB" w:rsidP="00F407BB">
      <w:pPr>
        <w:spacing w:after="0" w:line="360" w:lineRule="auto"/>
        <w:ind w:firstLine="720"/>
        <w:jc w:val="both"/>
      </w:pPr>
      <w:r>
        <w:t>Аналіз</w:t>
      </w:r>
      <w:r w:rsidRPr="00FB6C71">
        <w:t xml:space="preserve"> наявності звʹязків між параметрами, що вивчаються у хворих, залучених до 3 і 4 квартілей, встановило прямі зв΄язки сильні за силою між рівнем галектину-3 та балами шкали </w:t>
      </w:r>
      <w:r>
        <w:t>Генсіні</w:t>
      </w:r>
      <w:r w:rsidRPr="00FB6C71">
        <w:t xml:space="preserve"> (r=0,73; p&lt;0,05 для 3 квартіля та r=0,75; p&lt;0,05 для 4 квартіля), кількістю уражених судин (r=0,70; p&lt;0,05 та r=0,72; p&lt;0,05 відповідно), кількістю уражених сегментів (r=0,71; p&lt;0,05 та r=0,74; p&lt;0,05 відповід</w:t>
      </w:r>
      <w:r>
        <w:t>но) у хворих з ГІМ та ожирінням.</w:t>
      </w:r>
    </w:p>
    <w:p w:rsidR="00F407BB" w:rsidRPr="00070F18" w:rsidRDefault="00F407BB" w:rsidP="00F407BB">
      <w:pPr>
        <w:spacing w:after="0" w:line="360" w:lineRule="auto"/>
        <w:ind w:firstLine="720"/>
        <w:jc w:val="both"/>
      </w:pPr>
      <w:r w:rsidRPr="004D5312">
        <w:lastRenderedPageBreak/>
        <w:t>Тобто у хворих з ГІМ та ожирінням зростання сироваткового рівня галектину-3 супроводжується зростанням тяжкості атеросклеротичного ураження артерій із зростанням сили зв’язків до сильних у 3-4 квартілі.</w:t>
      </w:r>
    </w:p>
    <w:p w:rsidR="00F407BB" w:rsidRDefault="00F407BB" w:rsidP="00F407BB">
      <w:pPr>
        <w:spacing w:after="0" w:line="360" w:lineRule="auto"/>
        <w:ind w:firstLine="720"/>
        <w:jc w:val="both"/>
      </w:pPr>
      <w:r w:rsidRPr="004D5312">
        <w:t>Отримані результати не суперечать даним світової медичної спільности. Галектин-3, який секретується активованими макрофагами, є залученим до імунозапалення, що лежить в основі атеросклеротичного процессу [</w:t>
      </w:r>
      <w:r>
        <w:t>2,3</w:t>
      </w:r>
      <w:r w:rsidRPr="004D5312">
        <w:t>].</w:t>
      </w:r>
    </w:p>
    <w:p w:rsidR="00F407BB" w:rsidRDefault="00F407BB" w:rsidP="00F407BB">
      <w:pPr>
        <w:spacing w:after="0" w:line="360" w:lineRule="auto"/>
        <w:ind w:firstLine="720"/>
        <w:jc w:val="both"/>
      </w:pPr>
      <w:r w:rsidRPr="00070F18">
        <w:t xml:space="preserve">За даними </w:t>
      </w:r>
      <w:r w:rsidRPr="004D5312">
        <w:t>Ozturk</w:t>
      </w:r>
      <w:r w:rsidRPr="00070F18">
        <w:t xml:space="preserve"> </w:t>
      </w:r>
      <w:r w:rsidRPr="004D5312">
        <w:t>et</w:t>
      </w:r>
      <w:r w:rsidRPr="00070F18">
        <w:t xml:space="preserve"> </w:t>
      </w:r>
      <w:r w:rsidRPr="004D5312">
        <w:t>al</w:t>
      </w:r>
      <w:r w:rsidRPr="00070F18">
        <w:t xml:space="preserve">. та </w:t>
      </w:r>
      <w:r w:rsidRPr="004D5312">
        <w:t>Papaspiridonos</w:t>
      </w:r>
      <w:r w:rsidRPr="00070F18">
        <w:t xml:space="preserve"> </w:t>
      </w:r>
      <w:r w:rsidRPr="004D5312">
        <w:t>M</w:t>
      </w:r>
      <w:r w:rsidRPr="00070F18">
        <w:t>. ефекти медіатора галектину-3 пов'язані з підсиленням прогресування атеросклеротичної бляшки шляхом регулювання імунозапалення [</w:t>
      </w:r>
      <w:r>
        <w:t>3,4</w:t>
      </w:r>
      <w:r w:rsidRPr="00070F18">
        <w:t>] у хворих з ІХС, галектин-3 є незалежним предиктором коронарного атеросклерозу у хворих з ЦД 2 типу [</w:t>
      </w:r>
      <w:r>
        <w:t>3</w:t>
      </w:r>
      <w:r w:rsidRPr="00070F18">
        <w:t>].</w:t>
      </w:r>
    </w:p>
    <w:p w:rsidR="00F407BB" w:rsidRDefault="00F407BB" w:rsidP="00F407BB">
      <w:pPr>
        <w:spacing w:after="0" w:line="360" w:lineRule="auto"/>
        <w:ind w:firstLine="567"/>
        <w:jc w:val="both"/>
      </w:pPr>
      <w:r>
        <w:t>Таким чином, було виявлено, що н</w:t>
      </w:r>
      <w:r w:rsidRPr="000F59AF">
        <w:t>айбільш вразливими коронарними артеріями згідно з даними агіографічного обстеження є права міжшлуночкова артерія та права коронарна артерія як за частотою та ступенем ура</w:t>
      </w:r>
      <w:r>
        <w:t>ження,</w:t>
      </w:r>
      <w:r w:rsidRPr="000F59AF">
        <w:t xml:space="preserve"> так і за частотою гемодинамічно значущих стенозів у хворих на гострий інфаркт міокарда та ожиріння.</w:t>
      </w:r>
      <w:r>
        <w:t xml:space="preserve"> </w:t>
      </w:r>
    </w:p>
    <w:p w:rsidR="00F407BB" w:rsidRDefault="00F407BB" w:rsidP="00F407BB">
      <w:pPr>
        <w:spacing w:after="0" w:line="360" w:lineRule="auto"/>
        <w:ind w:firstLine="567"/>
        <w:jc w:val="both"/>
      </w:pPr>
      <w:r>
        <w:t>Також було продемонстровано, що з</w:t>
      </w:r>
      <w:r w:rsidRPr="009C3EC4">
        <w:t>ростання квартіля галектинемії до 3 та 4 супроводжується паралельним збільшенням параметрів, що характеризують прогресування атеросклеротичного ураження артерій коронарного русла.</w:t>
      </w:r>
    </w:p>
    <w:p w:rsidR="00F407BB" w:rsidRPr="00C91C9F" w:rsidRDefault="00F407BB" w:rsidP="00F407BB">
      <w:pPr>
        <w:spacing w:after="0" w:line="360" w:lineRule="auto"/>
        <w:ind w:firstLine="567"/>
        <w:jc w:val="both"/>
        <w:rPr>
          <w:rFonts w:eastAsia="Calibri"/>
        </w:rPr>
      </w:pPr>
      <w:r w:rsidRPr="00C91C9F">
        <w:rPr>
          <w:rFonts w:eastAsia="Calibri"/>
        </w:rPr>
        <w:t>Аналіз кореляційних зв’язків між вітронектином та параметрами ангіографії також виявили взаємини  у вигляді наявних достовірних зв’язків прямого характеру між концентрацією вітронектину та кількістю уражених артерій (</w:t>
      </w:r>
      <w:r w:rsidRPr="00C91C9F">
        <w:rPr>
          <w:rFonts w:eastAsia="Calibri"/>
          <w:lang w:val="en-US"/>
        </w:rPr>
        <w:t>r</w:t>
      </w:r>
      <w:r w:rsidRPr="00C91C9F">
        <w:rPr>
          <w:rFonts w:eastAsia="Calibri"/>
        </w:rPr>
        <w:t xml:space="preserve">=0,67, </w:t>
      </w:r>
      <w:r w:rsidRPr="00C91C9F">
        <w:rPr>
          <w:rFonts w:eastAsia="Calibri"/>
          <w:lang w:val="en-US"/>
        </w:rPr>
        <w:t>p</w:t>
      </w:r>
      <w:r w:rsidRPr="00C91C9F">
        <w:rPr>
          <w:rFonts w:eastAsia="Calibri"/>
        </w:rPr>
        <w:t>&lt;0,05), кількістю сегментів (</w:t>
      </w:r>
      <w:r w:rsidRPr="00C91C9F">
        <w:rPr>
          <w:rFonts w:eastAsia="Calibri"/>
          <w:lang w:val="en-US"/>
        </w:rPr>
        <w:t>r</w:t>
      </w:r>
      <w:r w:rsidRPr="00C91C9F">
        <w:rPr>
          <w:rFonts w:eastAsia="Calibri"/>
        </w:rPr>
        <w:t xml:space="preserve">=0,59, </w:t>
      </w:r>
      <w:r w:rsidRPr="00C91C9F">
        <w:rPr>
          <w:rFonts w:eastAsia="Calibri"/>
          <w:lang w:val="en-US"/>
        </w:rPr>
        <w:t>p</w:t>
      </w:r>
      <w:r w:rsidRPr="00C91C9F">
        <w:rPr>
          <w:rFonts w:eastAsia="Calibri"/>
        </w:rPr>
        <w:t xml:space="preserve">&lt;0,05) та балами шкали </w:t>
      </w:r>
      <w:r>
        <w:rPr>
          <w:rFonts w:eastAsia="Calibri"/>
        </w:rPr>
        <w:t>Генсіні</w:t>
      </w:r>
      <w:r w:rsidRPr="00C91C9F">
        <w:rPr>
          <w:rFonts w:eastAsia="Calibri"/>
        </w:rPr>
        <w:t xml:space="preserve"> (</w:t>
      </w:r>
      <w:r w:rsidRPr="00C91C9F">
        <w:rPr>
          <w:rFonts w:eastAsia="Calibri"/>
          <w:lang w:val="en-US"/>
        </w:rPr>
        <w:t>r</w:t>
      </w:r>
      <w:r w:rsidRPr="00C91C9F">
        <w:rPr>
          <w:rFonts w:eastAsia="Calibri"/>
        </w:rPr>
        <w:t xml:space="preserve">=0,69, </w:t>
      </w:r>
      <w:r w:rsidRPr="00C91C9F">
        <w:rPr>
          <w:rFonts w:eastAsia="Calibri"/>
          <w:lang w:val="en-US"/>
        </w:rPr>
        <w:t>p</w:t>
      </w:r>
      <w:r w:rsidRPr="00C91C9F">
        <w:rPr>
          <w:rFonts w:eastAsia="Calibri"/>
        </w:rPr>
        <w:t>&lt;0,05), що відображує тяжкість атеросклеротичного ураження судин коронарного русла. отримані дані не суперечать результатам інших авторів. Так згідно даних Ekmekci H. та співав. [129] вітронектин є індикатором прогресування коронарної хвороби серця.</w:t>
      </w:r>
    </w:p>
    <w:p w:rsidR="00F407BB" w:rsidRPr="000F59AF" w:rsidRDefault="00F407BB" w:rsidP="00F407BB">
      <w:pPr>
        <w:spacing w:after="0" w:line="360" w:lineRule="auto"/>
        <w:ind w:firstLine="567"/>
        <w:jc w:val="both"/>
      </w:pPr>
      <w:r>
        <w:t>В свою чергу г</w:t>
      </w:r>
      <w:r w:rsidRPr="000F59AF">
        <w:t xml:space="preserve">алектин-3 </w:t>
      </w:r>
      <w:r>
        <w:t xml:space="preserve">та вітронектин </w:t>
      </w:r>
      <w:r w:rsidRPr="000F59AF">
        <w:t>мож</w:t>
      </w:r>
      <w:r>
        <w:t>уть</w:t>
      </w:r>
      <w:r w:rsidRPr="000F59AF">
        <w:t xml:space="preserve"> розглядатися як маркер</w:t>
      </w:r>
      <w:r>
        <w:t>и</w:t>
      </w:r>
      <w:r w:rsidRPr="000F59AF">
        <w:t xml:space="preserve"> атеросклеротичного процесу у хворих на гострий інфаркт міокарда на тлі </w:t>
      </w:r>
      <w:r w:rsidRPr="000F59AF">
        <w:lastRenderedPageBreak/>
        <w:t>супутнього ожиріння внаслідок зв’язків між галектинемією</w:t>
      </w:r>
      <w:r>
        <w:t xml:space="preserve">, вітронектинемією </w:t>
      </w:r>
      <w:r w:rsidRPr="000F59AF">
        <w:t xml:space="preserve"> та ступенем тяжкості ураження коронарних артерій.</w:t>
      </w:r>
    </w:p>
    <w:p w:rsidR="00F407BB" w:rsidRPr="001F4F88" w:rsidRDefault="00F407BB" w:rsidP="00F407BB">
      <w:pPr>
        <w:spacing w:after="0" w:line="360" w:lineRule="auto"/>
        <w:ind w:firstLine="708"/>
        <w:jc w:val="both"/>
        <w:rPr>
          <w:szCs w:val="28"/>
          <w:lang w:eastAsia="ar-SA"/>
        </w:rPr>
      </w:pPr>
      <w:r w:rsidRPr="001F4F88">
        <w:rPr>
          <w:szCs w:val="28"/>
          <w:lang w:eastAsia="ar-SA"/>
        </w:rPr>
        <w:t>З метою визначення наявності та характеру зв</w:t>
      </w:r>
      <w:r w:rsidRPr="001F4F88">
        <w:rPr>
          <w:szCs w:val="28"/>
          <w:lang w:val="ru-RU" w:eastAsia="ar-SA"/>
        </w:rPr>
        <w:t>’язк</w:t>
      </w:r>
      <w:r w:rsidRPr="001F4F88">
        <w:rPr>
          <w:szCs w:val="28"/>
          <w:lang w:eastAsia="ar-SA"/>
        </w:rPr>
        <w:t>ів у хворих з ГІМ та ожирінням було використано кореляції. Знайдено прямий зв’язок між показником ІМТ та концентрацією вітронектину (</w:t>
      </w:r>
      <w:r w:rsidRPr="001F4F88">
        <w:rPr>
          <w:rFonts w:eastAsia="Calibri"/>
          <w:szCs w:val="28"/>
        </w:rPr>
        <w:t>r</w:t>
      </w:r>
      <w:r w:rsidRPr="001F4F88">
        <w:rPr>
          <w:szCs w:val="28"/>
          <w:lang w:eastAsia="ar-SA"/>
        </w:rPr>
        <w:t>=0,42; p&lt;0,05), галектину-3 (</w:t>
      </w:r>
      <w:r w:rsidRPr="001F4F88">
        <w:rPr>
          <w:rFonts w:eastAsia="Calibri"/>
          <w:szCs w:val="28"/>
        </w:rPr>
        <w:t>r</w:t>
      </w:r>
      <w:r w:rsidRPr="001F4F88">
        <w:rPr>
          <w:szCs w:val="28"/>
          <w:lang w:eastAsia="ar-SA"/>
        </w:rPr>
        <w:t>=0,55; p&lt;0,05). Антропометричний параметр ОТ також виявив звязки прямого характеру з гуморальними показниками, а саме, з вітронектином (</w:t>
      </w:r>
      <w:r w:rsidRPr="001F4F88">
        <w:rPr>
          <w:rFonts w:eastAsia="Calibri"/>
          <w:szCs w:val="28"/>
        </w:rPr>
        <w:t>r</w:t>
      </w:r>
      <w:r w:rsidRPr="001F4F88">
        <w:rPr>
          <w:szCs w:val="28"/>
          <w:lang w:eastAsia="ar-SA"/>
        </w:rPr>
        <w:t>=0,48; p&lt;0,05)</w:t>
      </w:r>
      <w:r>
        <w:rPr>
          <w:szCs w:val="28"/>
          <w:lang w:eastAsia="ar-SA"/>
        </w:rPr>
        <w:t>, галектином-</w:t>
      </w:r>
      <w:r w:rsidRPr="001F4F88">
        <w:rPr>
          <w:szCs w:val="28"/>
          <w:lang w:eastAsia="ar-SA"/>
        </w:rPr>
        <w:t>3 (</w:t>
      </w:r>
      <w:r w:rsidRPr="001F4F88">
        <w:rPr>
          <w:rFonts w:eastAsia="Calibri"/>
          <w:szCs w:val="28"/>
        </w:rPr>
        <w:t>r</w:t>
      </w:r>
      <w:r w:rsidRPr="001F4F88">
        <w:rPr>
          <w:szCs w:val="28"/>
          <w:lang w:eastAsia="ar-SA"/>
        </w:rPr>
        <w:t xml:space="preserve">=0,55; p&lt;0,05). </w:t>
      </w:r>
    </w:p>
    <w:p w:rsidR="00D52D9C" w:rsidRDefault="00F407BB" w:rsidP="00F407BB">
      <w:pPr>
        <w:spacing w:after="0" w:line="360" w:lineRule="auto"/>
        <w:ind w:firstLine="708"/>
        <w:jc w:val="both"/>
        <w:rPr>
          <w:rFonts w:eastAsia="Calibri"/>
          <w:szCs w:val="28"/>
        </w:rPr>
      </w:pPr>
      <w:r w:rsidRPr="001F4F88">
        <w:rPr>
          <w:szCs w:val="28"/>
          <w:lang w:eastAsia="ar-SA"/>
        </w:rPr>
        <w:t xml:space="preserve">Це свідчить про те, що зростання маси тіла та розподіл жирової тканини за абдомінальним типом супроводжується підвищенням активності </w:t>
      </w:r>
      <w:r>
        <w:rPr>
          <w:szCs w:val="28"/>
          <w:lang w:eastAsia="ar-SA"/>
        </w:rPr>
        <w:t xml:space="preserve">адгезивного глікопротеїну екстрацелюлярного матриксу </w:t>
      </w:r>
      <w:r w:rsidRPr="001F4F88">
        <w:rPr>
          <w:szCs w:val="28"/>
          <w:lang w:eastAsia="ar-SA"/>
        </w:rPr>
        <w:t>вітронектину</w:t>
      </w:r>
      <w:r>
        <w:rPr>
          <w:szCs w:val="28"/>
          <w:lang w:eastAsia="ar-SA"/>
        </w:rPr>
        <w:t xml:space="preserve"> та галектину-3</w:t>
      </w:r>
      <w:r w:rsidRPr="001F4F88">
        <w:rPr>
          <w:szCs w:val="28"/>
          <w:lang w:eastAsia="ar-SA"/>
        </w:rPr>
        <w:t xml:space="preserve">. </w:t>
      </w:r>
      <w:r w:rsidRPr="006670BC">
        <w:rPr>
          <w:rFonts w:eastAsia="Calibri"/>
          <w:szCs w:val="28"/>
        </w:rPr>
        <w:t xml:space="preserve">При розгляді зв'язків між даними показниками у хворих з ГІМ в залежності від ступеня тяжкості супутнього ожиріння було виявлено, що у пацієнтів ожирінням </w:t>
      </w:r>
      <w:r>
        <w:rPr>
          <w:rFonts w:eastAsia="Calibri"/>
          <w:szCs w:val="28"/>
        </w:rPr>
        <w:t>I ступеня та II-III</w:t>
      </w:r>
      <w:r w:rsidRPr="006670BC">
        <w:rPr>
          <w:rFonts w:eastAsia="Calibri"/>
          <w:szCs w:val="28"/>
        </w:rPr>
        <w:t xml:space="preserve"> ступеня відзначається наявність прямих середніх за силою зв'язків (</w:t>
      </w:r>
      <w:r w:rsidRPr="006670BC">
        <w:rPr>
          <w:rFonts w:eastAsia="Calibri"/>
          <w:szCs w:val="28"/>
          <w:lang w:val="ru-RU"/>
        </w:rPr>
        <w:t>r</w:t>
      </w:r>
      <w:r w:rsidRPr="006670BC">
        <w:rPr>
          <w:rFonts w:eastAsia="Calibri"/>
          <w:szCs w:val="28"/>
        </w:rPr>
        <w:t xml:space="preserve"> = 0,56; р &lt;0,05 і </w:t>
      </w:r>
      <w:r w:rsidRPr="006670BC">
        <w:rPr>
          <w:rFonts w:eastAsia="Calibri"/>
          <w:szCs w:val="28"/>
          <w:lang w:val="ru-RU"/>
        </w:rPr>
        <w:t>r</w:t>
      </w:r>
      <w:r w:rsidRPr="006670BC">
        <w:rPr>
          <w:rFonts w:eastAsia="Calibri"/>
          <w:szCs w:val="28"/>
        </w:rPr>
        <w:t xml:space="preserve"> = 0,58; р &lt;0,05 відповідно). Крім того, визначаються прямі зв'язки між рівнем галект</w:t>
      </w:r>
      <w:r>
        <w:rPr>
          <w:rFonts w:eastAsia="Calibri"/>
          <w:szCs w:val="28"/>
        </w:rPr>
        <w:t>и</w:t>
      </w:r>
      <w:r w:rsidRPr="006670BC">
        <w:rPr>
          <w:rFonts w:eastAsia="Calibri"/>
          <w:szCs w:val="28"/>
        </w:rPr>
        <w:t xml:space="preserve">на-3 і показником </w:t>
      </w:r>
      <w:r>
        <w:rPr>
          <w:rFonts w:eastAsia="Calibri"/>
          <w:szCs w:val="28"/>
        </w:rPr>
        <w:t>ОТ</w:t>
      </w:r>
      <w:r w:rsidRPr="006670BC">
        <w:rPr>
          <w:rFonts w:eastAsia="Calibri"/>
          <w:szCs w:val="28"/>
        </w:rPr>
        <w:t xml:space="preserve"> як у пацієнтів з ожирінням </w:t>
      </w:r>
      <w:r>
        <w:rPr>
          <w:rFonts w:eastAsia="Calibri"/>
          <w:szCs w:val="28"/>
        </w:rPr>
        <w:t>I</w:t>
      </w:r>
      <w:r w:rsidRPr="006670BC">
        <w:rPr>
          <w:rFonts w:eastAsia="Calibri"/>
          <w:szCs w:val="28"/>
        </w:rPr>
        <w:t xml:space="preserve">, так і </w:t>
      </w:r>
      <w:r>
        <w:rPr>
          <w:rFonts w:eastAsia="Calibri"/>
          <w:szCs w:val="28"/>
        </w:rPr>
        <w:t>II-III</w:t>
      </w:r>
      <w:r w:rsidRPr="006670BC">
        <w:rPr>
          <w:rFonts w:eastAsia="Calibri"/>
          <w:szCs w:val="28"/>
        </w:rPr>
        <w:t xml:space="preserve"> ступеня (</w:t>
      </w:r>
      <w:r w:rsidRPr="006670BC">
        <w:rPr>
          <w:rFonts w:eastAsia="Calibri"/>
          <w:szCs w:val="28"/>
          <w:lang w:val="ru-RU"/>
        </w:rPr>
        <w:t>r</w:t>
      </w:r>
      <w:r w:rsidR="00D52D9C">
        <w:rPr>
          <w:rFonts w:eastAsia="Calibri"/>
          <w:szCs w:val="28"/>
        </w:rPr>
        <w:t>=0,71; р</w:t>
      </w:r>
      <w:r w:rsidRPr="006670BC">
        <w:rPr>
          <w:rFonts w:eastAsia="Calibri"/>
          <w:szCs w:val="28"/>
        </w:rPr>
        <w:t xml:space="preserve">&lt;0,05 і </w:t>
      </w:r>
      <w:r w:rsidRPr="006670BC">
        <w:rPr>
          <w:rFonts w:eastAsia="Calibri"/>
          <w:szCs w:val="28"/>
          <w:lang w:val="ru-RU"/>
        </w:rPr>
        <w:t>r</w:t>
      </w:r>
      <w:r w:rsidR="00D52D9C">
        <w:rPr>
          <w:rFonts w:eastAsia="Calibri"/>
          <w:szCs w:val="28"/>
        </w:rPr>
        <w:t>=0,74; р</w:t>
      </w:r>
      <w:r>
        <w:rPr>
          <w:rFonts w:eastAsia="Calibri"/>
          <w:szCs w:val="28"/>
        </w:rPr>
        <w:t>&lt;0,</w:t>
      </w:r>
      <w:r w:rsidRPr="006670BC">
        <w:rPr>
          <w:rFonts w:eastAsia="Calibri"/>
          <w:szCs w:val="28"/>
        </w:rPr>
        <w:t>05 відповідно).</w:t>
      </w:r>
      <w:r w:rsidR="00D52D9C">
        <w:rPr>
          <w:rFonts w:eastAsia="Calibri"/>
          <w:szCs w:val="28"/>
        </w:rPr>
        <w:t xml:space="preserve"> </w:t>
      </w:r>
    </w:p>
    <w:p w:rsidR="00F407BB" w:rsidRDefault="00F407BB" w:rsidP="00F407BB">
      <w:pPr>
        <w:spacing w:after="0" w:line="360" w:lineRule="auto"/>
        <w:ind w:firstLine="708"/>
        <w:jc w:val="both"/>
        <w:rPr>
          <w:rFonts w:eastAsia="Calibri"/>
          <w:szCs w:val="28"/>
          <w:lang w:val="ru-RU"/>
        </w:rPr>
      </w:pPr>
      <w:r w:rsidRPr="00AB1D88">
        <w:rPr>
          <w:rFonts w:eastAsia="Calibri"/>
          <w:szCs w:val="28"/>
          <w:lang w:val="ru-RU"/>
        </w:rPr>
        <w:t>Привертає увагу, що за умови односпрямован</w:t>
      </w:r>
      <w:r>
        <w:rPr>
          <w:rFonts w:eastAsia="Calibri"/>
          <w:szCs w:val="28"/>
          <w:lang w:val="ru-RU"/>
        </w:rPr>
        <w:t>ості</w:t>
      </w:r>
      <w:r w:rsidRPr="00AB1D88">
        <w:rPr>
          <w:rFonts w:eastAsia="Calibri"/>
          <w:szCs w:val="28"/>
          <w:lang w:val="ru-RU"/>
        </w:rPr>
        <w:t xml:space="preserve"> зв'язків їх сила неоднакова. Якщо зв'язк</w:t>
      </w:r>
      <w:r>
        <w:rPr>
          <w:rFonts w:eastAsia="Calibri"/>
          <w:szCs w:val="28"/>
          <w:lang w:val="ru-RU"/>
        </w:rPr>
        <w:t>и</w:t>
      </w:r>
      <w:r w:rsidRPr="00AB1D88">
        <w:rPr>
          <w:rFonts w:eastAsia="Calibri"/>
          <w:szCs w:val="28"/>
          <w:lang w:val="ru-RU"/>
        </w:rPr>
        <w:t xml:space="preserve"> між ІМТ і гуморальними маркерами встановилися на рівні середньої сили, то з показником </w:t>
      </w:r>
      <w:r>
        <w:rPr>
          <w:rFonts w:eastAsia="Calibri"/>
          <w:szCs w:val="28"/>
          <w:lang w:val="ru-RU"/>
        </w:rPr>
        <w:t>ОТ</w:t>
      </w:r>
      <w:r w:rsidRPr="00AB1D88">
        <w:rPr>
          <w:rFonts w:eastAsia="Calibri"/>
          <w:szCs w:val="28"/>
          <w:lang w:val="ru-RU"/>
        </w:rPr>
        <w:t xml:space="preserve"> - сильні </w:t>
      </w:r>
      <w:r>
        <w:rPr>
          <w:rFonts w:eastAsia="Calibri"/>
          <w:szCs w:val="28"/>
          <w:lang w:val="ru-RU"/>
        </w:rPr>
        <w:t>за</w:t>
      </w:r>
      <w:r w:rsidRPr="00AB1D88">
        <w:rPr>
          <w:rFonts w:eastAsia="Calibri"/>
          <w:szCs w:val="28"/>
          <w:lang w:val="ru-RU"/>
        </w:rPr>
        <w:t xml:space="preserve"> сил</w:t>
      </w:r>
      <w:r>
        <w:rPr>
          <w:rFonts w:eastAsia="Calibri"/>
          <w:szCs w:val="28"/>
          <w:lang w:val="ru-RU"/>
        </w:rPr>
        <w:t>ою</w:t>
      </w:r>
      <w:r w:rsidRPr="00AB1D88">
        <w:rPr>
          <w:rFonts w:eastAsia="Calibri"/>
          <w:szCs w:val="28"/>
          <w:lang w:val="ru-RU"/>
        </w:rPr>
        <w:t>, тобто в осіб з ГІМ і ожирінням</w:t>
      </w:r>
      <w:r>
        <w:rPr>
          <w:rFonts w:eastAsia="Calibri"/>
          <w:szCs w:val="28"/>
          <w:lang w:val="ru-RU"/>
        </w:rPr>
        <w:t xml:space="preserve"> </w:t>
      </w:r>
      <w:r>
        <w:rPr>
          <w:rFonts w:eastAsia="Calibri"/>
          <w:szCs w:val="28"/>
        </w:rPr>
        <w:t>I та</w:t>
      </w:r>
      <w:r w:rsidRPr="006670BC">
        <w:rPr>
          <w:rFonts w:eastAsia="Calibri"/>
          <w:szCs w:val="28"/>
        </w:rPr>
        <w:t xml:space="preserve"> </w:t>
      </w:r>
      <w:r>
        <w:rPr>
          <w:rFonts w:eastAsia="Calibri"/>
          <w:szCs w:val="28"/>
        </w:rPr>
        <w:t>II-III</w:t>
      </w:r>
      <w:r w:rsidRPr="006670BC">
        <w:rPr>
          <w:rFonts w:eastAsia="Calibri"/>
          <w:szCs w:val="28"/>
        </w:rPr>
        <w:t xml:space="preserve"> ступеня </w:t>
      </w:r>
      <w:r w:rsidRPr="00AB1D88">
        <w:rPr>
          <w:rFonts w:eastAsia="Calibri"/>
          <w:szCs w:val="28"/>
          <w:lang w:val="ru-RU"/>
        </w:rPr>
        <w:t>переважали сильніші за силою зв'язк</w:t>
      </w:r>
      <w:r>
        <w:rPr>
          <w:rFonts w:eastAsia="Calibri"/>
          <w:szCs w:val="28"/>
          <w:lang w:val="ru-RU"/>
        </w:rPr>
        <w:t>и</w:t>
      </w:r>
      <w:r w:rsidRPr="00AB1D88">
        <w:rPr>
          <w:rFonts w:eastAsia="Calibri"/>
          <w:szCs w:val="28"/>
          <w:lang w:val="ru-RU"/>
        </w:rPr>
        <w:t xml:space="preserve"> з показником </w:t>
      </w:r>
      <w:r>
        <w:rPr>
          <w:rFonts w:eastAsia="Calibri"/>
          <w:szCs w:val="28"/>
          <w:lang w:val="ru-RU"/>
        </w:rPr>
        <w:t>ОТ</w:t>
      </w:r>
      <w:r w:rsidRPr="00AB1D88">
        <w:rPr>
          <w:rFonts w:eastAsia="Calibri"/>
          <w:szCs w:val="28"/>
          <w:lang w:val="ru-RU"/>
        </w:rPr>
        <w:t>.</w:t>
      </w:r>
    </w:p>
    <w:p w:rsidR="00F407BB" w:rsidRDefault="00F407BB" w:rsidP="00F407BB">
      <w:pPr>
        <w:spacing w:after="0" w:line="360" w:lineRule="auto"/>
        <w:ind w:firstLine="708"/>
        <w:jc w:val="both"/>
        <w:rPr>
          <w:rFonts w:eastAsia="Calibri"/>
          <w:szCs w:val="28"/>
          <w:lang w:val="ru-RU"/>
        </w:rPr>
      </w:pPr>
      <w:r w:rsidRPr="00D407C6">
        <w:rPr>
          <w:rFonts w:eastAsia="Calibri"/>
          <w:szCs w:val="28"/>
          <w:lang w:val="ru-RU"/>
        </w:rPr>
        <w:t>Прогресування ожиріння супроводжується пропорційним наростанням галект</w:t>
      </w:r>
      <w:r>
        <w:rPr>
          <w:rFonts w:eastAsia="Calibri"/>
          <w:szCs w:val="28"/>
          <w:lang w:val="ru-RU"/>
        </w:rPr>
        <w:t>инемії</w:t>
      </w:r>
      <w:r w:rsidRPr="00D407C6">
        <w:rPr>
          <w:rFonts w:eastAsia="Calibri"/>
          <w:szCs w:val="28"/>
          <w:lang w:val="ru-RU"/>
        </w:rPr>
        <w:t>, а збільшення антропометричн</w:t>
      </w:r>
      <w:r>
        <w:rPr>
          <w:rFonts w:eastAsia="Calibri"/>
          <w:szCs w:val="28"/>
          <w:lang w:val="ru-RU"/>
        </w:rPr>
        <w:t>ого</w:t>
      </w:r>
      <w:r w:rsidRPr="00D407C6">
        <w:rPr>
          <w:rFonts w:eastAsia="Calibri"/>
          <w:szCs w:val="28"/>
          <w:lang w:val="ru-RU"/>
        </w:rPr>
        <w:t xml:space="preserve"> показника </w:t>
      </w:r>
      <w:r>
        <w:rPr>
          <w:rFonts w:eastAsia="Calibri"/>
          <w:szCs w:val="28"/>
          <w:lang w:val="ru-RU"/>
        </w:rPr>
        <w:t>ОТ</w:t>
      </w:r>
      <w:r w:rsidRPr="00D407C6">
        <w:rPr>
          <w:rFonts w:eastAsia="Calibri"/>
          <w:szCs w:val="28"/>
          <w:lang w:val="ru-RU"/>
        </w:rPr>
        <w:t>, що свідчить на користь абдомінального типу ожиріння, асоціюється з наростанням концентрації галект</w:t>
      </w:r>
      <w:r>
        <w:rPr>
          <w:rFonts w:eastAsia="Calibri"/>
          <w:szCs w:val="28"/>
          <w:lang w:val="ru-RU"/>
        </w:rPr>
        <w:t>и</w:t>
      </w:r>
      <w:r w:rsidRPr="00D407C6">
        <w:rPr>
          <w:rFonts w:eastAsia="Calibri"/>
          <w:szCs w:val="28"/>
          <w:lang w:val="ru-RU"/>
        </w:rPr>
        <w:t>на-3 в більшій мірі, ніж сама підвищена маса тіла.</w:t>
      </w:r>
    </w:p>
    <w:p w:rsidR="00F407BB" w:rsidRPr="00F2230F" w:rsidRDefault="00F407BB" w:rsidP="00F407BB">
      <w:pPr>
        <w:spacing w:after="0" w:line="360" w:lineRule="auto"/>
        <w:ind w:firstLine="708"/>
        <w:jc w:val="both"/>
        <w:rPr>
          <w:rFonts w:eastAsia="Calibri"/>
          <w:szCs w:val="28"/>
          <w:lang w:val="ru-RU"/>
        </w:rPr>
      </w:pPr>
      <w:r>
        <w:rPr>
          <w:rFonts w:eastAsia="Calibri"/>
          <w:szCs w:val="28"/>
          <w:lang w:val="ru-RU"/>
        </w:rPr>
        <w:lastRenderedPageBreak/>
        <w:t>Отриман</w:t>
      </w:r>
      <w:r>
        <w:rPr>
          <w:rFonts w:eastAsia="Calibri"/>
          <w:szCs w:val="28"/>
        </w:rPr>
        <w:t>і результати можна пояснити відомостями щодо експресії жировою тканиною у преадипоцитарній фракції галектину-3, що було продемонстровано колективом авторів під керівництвом Kiwaki</w:t>
      </w:r>
      <w:r w:rsidRPr="00F2230F">
        <w:rPr>
          <w:rFonts w:eastAsia="Calibri"/>
          <w:szCs w:val="28"/>
          <w:lang w:val="ru-RU"/>
        </w:rPr>
        <w:t xml:space="preserve"> </w:t>
      </w:r>
      <w:r>
        <w:rPr>
          <w:rFonts w:eastAsia="Calibri"/>
          <w:szCs w:val="28"/>
        </w:rPr>
        <w:t>K</w:t>
      </w:r>
      <w:r w:rsidRPr="00F2230F">
        <w:rPr>
          <w:rFonts w:eastAsia="Calibri"/>
          <w:szCs w:val="28"/>
          <w:lang w:val="ru-RU"/>
        </w:rPr>
        <w:t>. [</w:t>
      </w:r>
      <w:r>
        <w:rPr>
          <w:rFonts w:eastAsia="Calibri"/>
          <w:szCs w:val="28"/>
          <w:lang w:val="ru-RU"/>
        </w:rPr>
        <w:t>102</w:t>
      </w:r>
      <w:r w:rsidRPr="00F2230F">
        <w:rPr>
          <w:rFonts w:eastAsia="Calibri"/>
          <w:szCs w:val="28"/>
          <w:lang w:val="ru-RU"/>
        </w:rPr>
        <w:t>]</w:t>
      </w:r>
      <w:r>
        <w:rPr>
          <w:rFonts w:eastAsia="Calibri"/>
          <w:szCs w:val="28"/>
          <w:lang w:val="ru-RU"/>
        </w:rPr>
        <w:t xml:space="preserve">. </w:t>
      </w:r>
    </w:p>
    <w:p w:rsidR="00F407BB" w:rsidRPr="00F714E8" w:rsidRDefault="00F407BB" w:rsidP="00F407BB">
      <w:pPr>
        <w:spacing w:after="0" w:line="360" w:lineRule="auto"/>
        <w:ind w:firstLine="708"/>
        <w:jc w:val="both"/>
        <w:rPr>
          <w:rFonts w:eastAsia="Calibri"/>
          <w:szCs w:val="28"/>
        </w:rPr>
      </w:pPr>
      <w:r>
        <w:rPr>
          <w:rFonts w:eastAsia="Calibri"/>
          <w:szCs w:val="28"/>
          <w:lang w:val="ru-RU"/>
        </w:rPr>
        <w:t>Аналіз зв</w:t>
      </w:r>
      <w:r w:rsidRPr="00D407C6">
        <w:rPr>
          <w:rFonts w:eastAsia="Calibri"/>
          <w:szCs w:val="28"/>
          <w:lang w:val="ru-RU"/>
        </w:rPr>
        <w:t>’</w:t>
      </w:r>
      <w:r>
        <w:rPr>
          <w:rFonts w:eastAsia="Calibri"/>
          <w:szCs w:val="28"/>
        </w:rPr>
        <w:t xml:space="preserve">язків між вітронектином та параметрами антропометрії у хворих на ГІМ залежно від ступеня тяжкості супутнього ожиріння не виявив відмінностей як за характером, так і за силою </w:t>
      </w:r>
      <w:r>
        <w:rPr>
          <w:rFonts w:eastAsia="Calibri"/>
          <w:szCs w:val="28"/>
          <w:lang w:val="ru-RU"/>
        </w:rPr>
        <w:t>зв</w:t>
      </w:r>
      <w:r w:rsidRPr="00D407C6">
        <w:rPr>
          <w:rFonts w:eastAsia="Calibri"/>
          <w:szCs w:val="28"/>
          <w:lang w:val="ru-RU"/>
        </w:rPr>
        <w:t>’</w:t>
      </w:r>
      <w:r>
        <w:rPr>
          <w:rFonts w:eastAsia="Calibri"/>
          <w:szCs w:val="28"/>
        </w:rPr>
        <w:t xml:space="preserve">язків між фактором, що вивчається, ІМТ та ОТ. Так отримано прямі кореляційні </w:t>
      </w:r>
      <w:r w:rsidRPr="00162F33">
        <w:rPr>
          <w:rFonts w:eastAsia="Calibri"/>
          <w:szCs w:val="28"/>
        </w:rPr>
        <w:t>зв’</w:t>
      </w:r>
      <w:r>
        <w:rPr>
          <w:rFonts w:eastAsia="Calibri"/>
          <w:szCs w:val="28"/>
        </w:rPr>
        <w:t xml:space="preserve">язки середньої сили між вітронектином та ІМТ </w:t>
      </w:r>
      <w:r w:rsidRPr="006670BC">
        <w:rPr>
          <w:rFonts w:eastAsia="Calibri"/>
          <w:szCs w:val="28"/>
        </w:rPr>
        <w:t>(</w:t>
      </w:r>
      <w:r w:rsidRPr="006670BC">
        <w:rPr>
          <w:rFonts w:eastAsia="Calibri"/>
          <w:szCs w:val="28"/>
          <w:lang w:val="ru-RU"/>
        </w:rPr>
        <w:t>r</w:t>
      </w:r>
      <w:r w:rsidRPr="006670BC">
        <w:rPr>
          <w:rFonts w:eastAsia="Calibri"/>
          <w:szCs w:val="28"/>
        </w:rPr>
        <w:t>=0,</w:t>
      </w:r>
      <w:r>
        <w:rPr>
          <w:rFonts w:eastAsia="Calibri"/>
          <w:szCs w:val="28"/>
        </w:rPr>
        <w:t>6</w:t>
      </w:r>
      <w:r w:rsidRPr="006670BC">
        <w:rPr>
          <w:rFonts w:eastAsia="Calibri"/>
          <w:szCs w:val="28"/>
        </w:rPr>
        <w:t>1; р&lt;0,05</w:t>
      </w:r>
      <w:r>
        <w:rPr>
          <w:rFonts w:eastAsia="Calibri"/>
          <w:szCs w:val="28"/>
        </w:rPr>
        <w:t xml:space="preserve">), ОТ </w:t>
      </w:r>
      <w:r w:rsidRPr="006670BC">
        <w:rPr>
          <w:rFonts w:eastAsia="Calibri"/>
          <w:szCs w:val="28"/>
        </w:rPr>
        <w:t>(</w:t>
      </w:r>
      <w:r w:rsidRPr="006670BC">
        <w:rPr>
          <w:rFonts w:eastAsia="Calibri"/>
          <w:szCs w:val="28"/>
          <w:lang w:val="ru-RU"/>
        </w:rPr>
        <w:t>r</w:t>
      </w:r>
      <w:r w:rsidR="00D52D9C">
        <w:rPr>
          <w:rFonts w:eastAsia="Calibri"/>
          <w:szCs w:val="28"/>
        </w:rPr>
        <w:t>=</w:t>
      </w:r>
      <w:r w:rsidRPr="006670BC">
        <w:rPr>
          <w:rFonts w:eastAsia="Calibri"/>
          <w:szCs w:val="28"/>
        </w:rPr>
        <w:t>0,</w:t>
      </w:r>
      <w:r>
        <w:rPr>
          <w:rFonts w:eastAsia="Calibri"/>
          <w:szCs w:val="28"/>
        </w:rPr>
        <w:t>54</w:t>
      </w:r>
      <w:r w:rsidRPr="006670BC">
        <w:rPr>
          <w:rFonts w:eastAsia="Calibri"/>
          <w:szCs w:val="28"/>
        </w:rPr>
        <w:t>; р&lt;0,05</w:t>
      </w:r>
      <w:r>
        <w:rPr>
          <w:rFonts w:eastAsia="Calibri"/>
          <w:szCs w:val="28"/>
        </w:rPr>
        <w:t>) у хворих з ГІМ та I ступенем ожиріння, а також прямі зв</w:t>
      </w:r>
      <w:r w:rsidRPr="00162F33">
        <w:rPr>
          <w:rFonts w:eastAsia="Calibri"/>
          <w:szCs w:val="28"/>
        </w:rPr>
        <w:t>’</w:t>
      </w:r>
      <w:r>
        <w:rPr>
          <w:rFonts w:eastAsia="Calibri"/>
          <w:szCs w:val="28"/>
        </w:rPr>
        <w:t xml:space="preserve">язки подібної сили між вітронектином та ІМТ </w:t>
      </w:r>
      <w:r w:rsidRPr="006670BC">
        <w:rPr>
          <w:rFonts w:eastAsia="Calibri"/>
          <w:szCs w:val="28"/>
        </w:rPr>
        <w:t>(</w:t>
      </w:r>
      <w:r w:rsidRPr="006670BC">
        <w:rPr>
          <w:rFonts w:eastAsia="Calibri"/>
          <w:szCs w:val="28"/>
          <w:lang w:val="ru-RU"/>
        </w:rPr>
        <w:t>r</w:t>
      </w:r>
      <w:r w:rsidR="00D52D9C">
        <w:rPr>
          <w:rFonts w:eastAsia="Calibri"/>
          <w:szCs w:val="28"/>
        </w:rPr>
        <w:t>=</w:t>
      </w:r>
      <w:r w:rsidRPr="006670BC">
        <w:rPr>
          <w:rFonts w:eastAsia="Calibri"/>
          <w:szCs w:val="28"/>
        </w:rPr>
        <w:t>0,</w:t>
      </w:r>
      <w:r>
        <w:rPr>
          <w:rFonts w:eastAsia="Calibri"/>
          <w:szCs w:val="28"/>
        </w:rPr>
        <w:t>59</w:t>
      </w:r>
      <w:r w:rsidR="00D52D9C">
        <w:rPr>
          <w:rFonts w:eastAsia="Calibri"/>
          <w:szCs w:val="28"/>
        </w:rPr>
        <w:t>; р</w:t>
      </w:r>
      <w:r w:rsidRPr="006670BC">
        <w:rPr>
          <w:rFonts w:eastAsia="Calibri"/>
          <w:szCs w:val="28"/>
        </w:rPr>
        <w:t>&lt;0,05</w:t>
      </w:r>
      <w:r>
        <w:rPr>
          <w:rFonts w:eastAsia="Calibri"/>
          <w:szCs w:val="28"/>
        </w:rPr>
        <w:t xml:space="preserve">), ОТ </w:t>
      </w:r>
      <w:r w:rsidRPr="006670BC">
        <w:rPr>
          <w:rFonts w:eastAsia="Calibri"/>
          <w:szCs w:val="28"/>
        </w:rPr>
        <w:t>(</w:t>
      </w:r>
      <w:r w:rsidRPr="006670BC">
        <w:rPr>
          <w:rFonts w:eastAsia="Calibri"/>
          <w:szCs w:val="28"/>
          <w:lang w:val="ru-RU"/>
        </w:rPr>
        <w:t>r</w:t>
      </w:r>
      <w:r w:rsidR="00D52D9C">
        <w:rPr>
          <w:rFonts w:eastAsia="Calibri"/>
          <w:szCs w:val="28"/>
        </w:rPr>
        <w:t>=</w:t>
      </w:r>
      <w:r w:rsidRPr="006670BC">
        <w:rPr>
          <w:rFonts w:eastAsia="Calibri"/>
          <w:szCs w:val="28"/>
        </w:rPr>
        <w:t>0,</w:t>
      </w:r>
      <w:r>
        <w:rPr>
          <w:rFonts w:eastAsia="Calibri"/>
          <w:szCs w:val="28"/>
        </w:rPr>
        <w:t>64</w:t>
      </w:r>
      <w:r w:rsidRPr="006670BC">
        <w:rPr>
          <w:rFonts w:eastAsia="Calibri"/>
          <w:szCs w:val="28"/>
        </w:rPr>
        <w:t>; р&lt;0,05</w:t>
      </w:r>
      <w:r>
        <w:rPr>
          <w:rFonts w:eastAsia="Calibri"/>
          <w:szCs w:val="28"/>
        </w:rPr>
        <w:t>) у хворих, що мали II</w:t>
      </w:r>
      <w:r w:rsidRPr="00162F33">
        <w:rPr>
          <w:rFonts w:eastAsia="Calibri"/>
          <w:szCs w:val="28"/>
        </w:rPr>
        <w:t>-</w:t>
      </w:r>
      <w:r>
        <w:rPr>
          <w:rFonts w:eastAsia="Calibri"/>
          <w:szCs w:val="28"/>
        </w:rPr>
        <w:t xml:space="preserve">III ступінь ожиріння. </w:t>
      </w:r>
    </w:p>
    <w:p w:rsidR="00D52D9C" w:rsidRDefault="00F407BB" w:rsidP="00F407BB">
      <w:pPr>
        <w:spacing w:after="0" w:line="360" w:lineRule="auto"/>
        <w:ind w:firstLine="708"/>
        <w:jc w:val="both"/>
        <w:rPr>
          <w:szCs w:val="28"/>
        </w:rPr>
      </w:pPr>
      <w:r>
        <w:rPr>
          <w:szCs w:val="28"/>
        </w:rPr>
        <w:t>Отримані дані свідчать про те, що зростання маси тіла у хворих з ГІМ та абдомінальним типом ожиріння супроводжується збільшенням активності маркера адгезії вітронектина. Такі результати можуть бути обумовлені тим, що дослідження останніх років показали здатність стромальної судинної фракції адипоцитарної тканини продукувати вітронектин з подальшим трансфером даного параметра до циркуляції, де він зв</w:t>
      </w:r>
      <w:r w:rsidRPr="00412A05">
        <w:rPr>
          <w:szCs w:val="28"/>
        </w:rPr>
        <w:t>’</w:t>
      </w:r>
      <w:r>
        <w:rPr>
          <w:szCs w:val="28"/>
        </w:rPr>
        <w:t>язується з РАІ-1, що забезпечує активну форму останнього α</w:t>
      </w:r>
      <w:r w:rsidRPr="00412A05">
        <w:rPr>
          <w:szCs w:val="28"/>
          <w:vertAlign w:val="subscript"/>
        </w:rPr>
        <w:t>v</w:t>
      </w:r>
      <w:r>
        <w:rPr>
          <w:szCs w:val="28"/>
        </w:rPr>
        <w:t>β</w:t>
      </w:r>
      <w:r w:rsidRPr="00412A05">
        <w:rPr>
          <w:szCs w:val="28"/>
          <w:vertAlign w:val="subscript"/>
        </w:rPr>
        <w:t xml:space="preserve">3 </w:t>
      </w:r>
      <w:r>
        <w:rPr>
          <w:szCs w:val="28"/>
        </w:rPr>
        <w:t xml:space="preserve">інтегрин-опосередкованим шляхом </w:t>
      </w:r>
      <w:r w:rsidRPr="00412A05">
        <w:rPr>
          <w:szCs w:val="28"/>
        </w:rPr>
        <w:t>[</w:t>
      </w:r>
      <w:r>
        <w:rPr>
          <w:szCs w:val="28"/>
        </w:rPr>
        <w:t>100</w:t>
      </w:r>
      <w:r w:rsidRPr="00412A05">
        <w:rPr>
          <w:szCs w:val="28"/>
        </w:rPr>
        <w:t>]</w:t>
      </w:r>
      <w:r>
        <w:rPr>
          <w:szCs w:val="28"/>
        </w:rPr>
        <w:t>.</w:t>
      </w:r>
    </w:p>
    <w:p w:rsidR="00F407BB" w:rsidRPr="007D68D6" w:rsidRDefault="00F407BB" w:rsidP="00F407BB">
      <w:pPr>
        <w:spacing w:after="0" w:line="360" w:lineRule="auto"/>
        <w:ind w:firstLine="708"/>
        <w:jc w:val="both"/>
        <w:rPr>
          <w:szCs w:val="28"/>
        </w:rPr>
      </w:pPr>
      <w:r>
        <w:rPr>
          <w:szCs w:val="28"/>
        </w:rPr>
        <w:t xml:space="preserve">Наступним етапом у дизайні дослідження було вивчення наявності та характеру </w:t>
      </w:r>
      <w:r w:rsidRPr="00412A05">
        <w:rPr>
          <w:szCs w:val="28"/>
        </w:rPr>
        <w:t>зв’</w:t>
      </w:r>
      <w:r>
        <w:rPr>
          <w:szCs w:val="28"/>
        </w:rPr>
        <w:t xml:space="preserve">язків між галектином-3, вітронектином та показниками кардіогемодинаміки у хворих з ГІМ та ожирінням. Знайдено прямі кореляційні </w:t>
      </w:r>
      <w:r w:rsidRPr="00412A05">
        <w:rPr>
          <w:szCs w:val="28"/>
        </w:rPr>
        <w:t>зв’</w:t>
      </w:r>
      <w:r>
        <w:rPr>
          <w:szCs w:val="28"/>
        </w:rPr>
        <w:t xml:space="preserve">язки між галектином-3 та параметрами КДО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57; р</w:t>
      </w:r>
      <w:r w:rsidRPr="006670BC">
        <w:rPr>
          <w:rFonts w:eastAsia="Calibri"/>
          <w:szCs w:val="28"/>
        </w:rPr>
        <w:t>&lt;0,05</w:t>
      </w:r>
      <w:r>
        <w:rPr>
          <w:rFonts w:eastAsia="Calibri"/>
          <w:szCs w:val="28"/>
        </w:rPr>
        <w:t xml:space="preserve">), КСО </w:t>
      </w:r>
      <w:r w:rsidRPr="006670BC">
        <w:rPr>
          <w:rFonts w:eastAsia="Calibri"/>
          <w:szCs w:val="28"/>
        </w:rPr>
        <w:t>(</w:t>
      </w:r>
      <w:r w:rsidRPr="006670BC">
        <w:rPr>
          <w:rFonts w:eastAsia="Calibri"/>
          <w:szCs w:val="28"/>
          <w:lang w:val="ru-RU"/>
        </w:rPr>
        <w:t>r</w:t>
      </w:r>
      <w:r w:rsidRPr="006670BC">
        <w:rPr>
          <w:rFonts w:eastAsia="Calibri"/>
          <w:szCs w:val="28"/>
        </w:rPr>
        <w:t>=0,</w:t>
      </w:r>
      <w:r>
        <w:rPr>
          <w:rFonts w:eastAsia="Calibri"/>
          <w:szCs w:val="28"/>
        </w:rPr>
        <w:t>64</w:t>
      </w:r>
      <w:r w:rsidRPr="006670BC">
        <w:rPr>
          <w:rFonts w:eastAsia="Calibri"/>
          <w:szCs w:val="28"/>
        </w:rPr>
        <w:t>; р&lt;0,05</w:t>
      </w:r>
      <w:r>
        <w:rPr>
          <w:rFonts w:eastAsia="Calibri"/>
          <w:szCs w:val="28"/>
        </w:rPr>
        <w:t xml:space="preserve">), ІММЛШ </w:t>
      </w:r>
      <w:r w:rsidRPr="006670BC">
        <w:rPr>
          <w:rFonts w:eastAsia="Calibri"/>
          <w:szCs w:val="28"/>
        </w:rPr>
        <w:t>(</w:t>
      </w:r>
      <w:r w:rsidRPr="006670BC">
        <w:rPr>
          <w:rFonts w:eastAsia="Calibri"/>
          <w:szCs w:val="28"/>
          <w:lang w:val="ru-RU"/>
        </w:rPr>
        <w:t>r</w:t>
      </w:r>
      <w:r w:rsidRPr="006670BC">
        <w:rPr>
          <w:rFonts w:eastAsia="Calibri"/>
          <w:szCs w:val="28"/>
        </w:rPr>
        <w:t xml:space="preserve"> = 0,</w:t>
      </w:r>
      <w:r>
        <w:rPr>
          <w:rFonts w:eastAsia="Calibri"/>
          <w:szCs w:val="28"/>
        </w:rPr>
        <w:t>59; р</w:t>
      </w:r>
      <w:r w:rsidRPr="006670BC">
        <w:rPr>
          <w:rFonts w:eastAsia="Calibri"/>
          <w:szCs w:val="28"/>
        </w:rPr>
        <w:t>&lt;0,05</w:t>
      </w:r>
      <w:r>
        <w:rPr>
          <w:rFonts w:eastAsia="Calibri"/>
          <w:szCs w:val="28"/>
        </w:rPr>
        <w:t>), Ea</w:t>
      </w:r>
      <w:r w:rsidRPr="007D68D6">
        <w:rPr>
          <w:rFonts w:eastAsia="Calibri"/>
          <w:szCs w:val="28"/>
        </w:rPr>
        <w:t>/</w:t>
      </w:r>
      <w:r>
        <w:rPr>
          <w:rFonts w:eastAsia="Calibri"/>
          <w:szCs w:val="28"/>
        </w:rPr>
        <w:t>Es</w:t>
      </w:r>
      <w:r w:rsidRPr="007D68D6">
        <w:rPr>
          <w:rFonts w:eastAsia="Calibri"/>
          <w:szCs w:val="28"/>
        </w:rPr>
        <w:t xml:space="preserve"> </w:t>
      </w:r>
      <w:r w:rsidRPr="006670BC">
        <w:rPr>
          <w:rFonts w:eastAsia="Calibri"/>
          <w:szCs w:val="28"/>
        </w:rPr>
        <w:t>(</w:t>
      </w:r>
      <w:r w:rsidRPr="006670BC">
        <w:rPr>
          <w:rFonts w:eastAsia="Calibri"/>
          <w:szCs w:val="28"/>
          <w:lang w:val="ru-RU"/>
        </w:rPr>
        <w:t>r</w:t>
      </w:r>
      <w:r w:rsidRPr="006670BC">
        <w:rPr>
          <w:rFonts w:eastAsia="Calibri"/>
          <w:szCs w:val="28"/>
        </w:rPr>
        <w:t xml:space="preserve"> = 0,</w:t>
      </w:r>
      <w:r>
        <w:rPr>
          <w:rFonts w:eastAsia="Calibri"/>
          <w:szCs w:val="28"/>
        </w:rPr>
        <w:t>72; р</w:t>
      </w:r>
      <w:r w:rsidRPr="006670BC">
        <w:rPr>
          <w:rFonts w:eastAsia="Calibri"/>
          <w:szCs w:val="28"/>
        </w:rPr>
        <w:t>&lt;0,05</w:t>
      </w:r>
      <w:r>
        <w:rPr>
          <w:rFonts w:eastAsia="Calibri"/>
          <w:szCs w:val="28"/>
        </w:rPr>
        <w:t>) та зв</w:t>
      </w:r>
      <w:r w:rsidRPr="007D68D6">
        <w:rPr>
          <w:rFonts w:eastAsia="Calibri"/>
          <w:szCs w:val="28"/>
        </w:rPr>
        <w:t>’</w:t>
      </w:r>
      <w:r>
        <w:rPr>
          <w:rFonts w:eastAsia="Calibri"/>
          <w:szCs w:val="28"/>
        </w:rPr>
        <w:t xml:space="preserve">язок зворотнього характеру з ФВ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38; р</w:t>
      </w:r>
      <w:r w:rsidRPr="006670BC">
        <w:rPr>
          <w:rFonts w:eastAsia="Calibri"/>
          <w:szCs w:val="28"/>
        </w:rPr>
        <w:t>&lt;0,05</w:t>
      </w:r>
      <w:r>
        <w:rPr>
          <w:rFonts w:eastAsia="Calibri"/>
          <w:szCs w:val="28"/>
        </w:rPr>
        <w:t xml:space="preserve">). </w:t>
      </w:r>
    </w:p>
    <w:p w:rsidR="00F407BB" w:rsidRDefault="00F407BB" w:rsidP="00F407BB">
      <w:pPr>
        <w:spacing w:after="0" w:line="360" w:lineRule="auto"/>
        <w:ind w:firstLine="708"/>
        <w:jc w:val="both"/>
        <w:rPr>
          <w:szCs w:val="28"/>
        </w:rPr>
      </w:pPr>
      <w:r>
        <w:rPr>
          <w:szCs w:val="28"/>
        </w:rPr>
        <w:t>Характер отриманих зв</w:t>
      </w:r>
      <w:r w:rsidRPr="004979C3">
        <w:rPr>
          <w:szCs w:val="28"/>
        </w:rPr>
        <w:t>’</w:t>
      </w:r>
      <w:r>
        <w:rPr>
          <w:szCs w:val="28"/>
        </w:rPr>
        <w:t>язків вказує на збільшення порожнин лівого шлуночка, ступеня гіпертрофії ЛШ, міокардіально-артеріальної жорсткості у відповідь на гіперактивність галектину-3 у хворих на ГІМ на тлі супутнього ожиріння. Такі результати можуть бути обумовлені залученням галектину-3 до регуляції зв</w:t>
      </w:r>
      <w:r w:rsidRPr="004979C3">
        <w:rPr>
          <w:szCs w:val="28"/>
        </w:rPr>
        <w:t>’</w:t>
      </w:r>
      <w:r>
        <w:rPr>
          <w:szCs w:val="28"/>
        </w:rPr>
        <w:t xml:space="preserve">язків </w:t>
      </w:r>
      <w:r>
        <w:rPr>
          <w:szCs w:val="28"/>
        </w:rPr>
        <w:lastRenderedPageBreak/>
        <w:t>клітина – екстрацелюлярний матрикс шляхом активації параметрів конфігурації позаклітинного матриксу – матриксної металопротеїнази – 3, фактору фіброзу моноцитарного хемоатрактантного протеїну-1 (МСР-1) та представлення системи цитокінів інтерлейкін-8 (ІЛ-8), які в свою чергу грають роль у процесах ремоделювання міокарда.</w:t>
      </w:r>
    </w:p>
    <w:p w:rsidR="00F407BB" w:rsidRPr="001C4ED2" w:rsidRDefault="00F407BB" w:rsidP="00F407BB">
      <w:pPr>
        <w:spacing w:after="0" w:line="360" w:lineRule="auto"/>
        <w:ind w:firstLine="708"/>
        <w:jc w:val="both"/>
        <w:rPr>
          <w:szCs w:val="28"/>
        </w:rPr>
      </w:pPr>
      <w:r>
        <w:rPr>
          <w:szCs w:val="28"/>
        </w:rPr>
        <w:t>Крім того, у дослідженні George M</w:t>
      </w:r>
      <w:r w:rsidRPr="008A06DC">
        <w:rPr>
          <w:szCs w:val="28"/>
        </w:rPr>
        <w:t>.</w:t>
      </w:r>
      <w:r>
        <w:rPr>
          <w:szCs w:val="28"/>
        </w:rPr>
        <w:t xml:space="preserve"> у хворих з ГКС висока експресія галектину-3 супроводжується зниженням ФВ ЛШ </w:t>
      </w:r>
      <w:r w:rsidRPr="008A06DC">
        <w:rPr>
          <w:szCs w:val="28"/>
        </w:rPr>
        <w:t>[101], а також як зростанням ступеня гіпертрофії міокарда ЛШ за даними</w:t>
      </w:r>
      <w:r>
        <w:rPr>
          <w:szCs w:val="28"/>
        </w:rPr>
        <w:t xml:space="preserve"> Yakar</w:t>
      </w:r>
      <w:r w:rsidRPr="008A06DC">
        <w:rPr>
          <w:szCs w:val="28"/>
        </w:rPr>
        <w:t xml:space="preserve"> </w:t>
      </w:r>
      <w:r>
        <w:rPr>
          <w:szCs w:val="28"/>
        </w:rPr>
        <w:t>Tuluce</w:t>
      </w:r>
      <w:r w:rsidRPr="008A06DC">
        <w:rPr>
          <w:szCs w:val="28"/>
        </w:rPr>
        <w:t xml:space="preserve"> [102]</w:t>
      </w:r>
      <w:r>
        <w:rPr>
          <w:szCs w:val="28"/>
        </w:rPr>
        <w:t xml:space="preserve">, так і міокардіального фіброзу </w:t>
      </w:r>
      <w:r w:rsidRPr="008A06DC">
        <w:rPr>
          <w:szCs w:val="28"/>
        </w:rPr>
        <w:t>[103]</w:t>
      </w:r>
      <w:r w:rsidRPr="001C4ED2">
        <w:rPr>
          <w:szCs w:val="28"/>
        </w:rPr>
        <w:t>.</w:t>
      </w:r>
    </w:p>
    <w:p w:rsidR="00F407BB" w:rsidRDefault="00F407BB" w:rsidP="00F407BB">
      <w:pPr>
        <w:spacing w:after="0" w:line="360" w:lineRule="auto"/>
        <w:ind w:firstLine="708"/>
        <w:jc w:val="both"/>
        <w:rPr>
          <w:szCs w:val="28"/>
        </w:rPr>
      </w:pPr>
      <w:r>
        <w:rPr>
          <w:szCs w:val="28"/>
        </w:rPr>
        <w:t>Дослідження зв</w:t>
      </w:r>
      <w:r w:rsidRPr="004979C3">
        <w:rPr>
          <w:szCs w:val="28"/>
        </w:rPr>
        <w:t>’</w:t>
      </w:r>
      <w:r>
        <w:rPr>
          <w:szCs w:val="28"/>
        </w:rPr>
        <w:t>язків між параметрами кардіогемодинаміки та рівнем вітронектину також мало результат. Знайдено прямі зв</w:t>
      </w:r>
      <w:r w:rsidRPr="004979C3">
        <w:rPr>
          <w:szCs w:val="28"/>
        </w:rPr>
        <w:t>’</w:t>
      </w:r>
      <w:r>
        <w:rPr>
          <w:szCs w:val="28"/>
        </w:rPr>
        <w:t xml:space="preserve">язки між вітронектином та КДО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48; р</w:t>
      </w:r>
      <w:r w:rsidRPr="006670BC">
        <w:rPr>
          <w:rFonts w:eastAsia="Calibri"/>
          <w:szCs w:val="28"/>
        </w:rPr>
        <w:t>&lt;0,05</w:t>
      </w:r>
      <w:r>
        <w:rPr>
          <w:rFonts w:eastAsia="Calibri"/>
          <w:szCs w:val="28"/>
        </w:rPr>
        <w:t xml:space="preserve">), КСО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44; р</w:t>
      </w:r>
      <w:r w:rsidRPr="006670BC">
        <w:rPr>
          <w:rFonts w:eastAsia="Calibri"/>
          <w:szCs w:val="28"/>
        </w:rPr>
        <w:t>&lt;0,05</w:t>
      </w:r>
      <w:r>
        <w:rPr>
          <w:rFonts w:eastAsia="Calibri"/>
          <w:szCs w:val="28"/>
        </w:rPr>
        <w:t xml:space="preserve">), КДР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56</w:t>
      </w:r>
      <w:r w:rsidRPr="006670BC">
        <w:rPr>
          <w:rFonts w:eastAsia="Calibri"/>
          <w:szCs w:val="28"/>
        </w:rPr>
        <w:t>; р&lt;0,05</w:t>
      </w:r>
      <w:r>
        <w:rPr>
          <w:rFonts w:eastAsia="Calibri"/>
          <w:szCs w:val="28"/>
        </w:rPr>
        <w:t xml:space="preserve">), Еа/Es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w:t>
      </w:r>
      <w:r w:rsidRPr="001C4ED2">
        <w:rPr>
          <w:rFonts w:eastAsia="Calibri"/>
          <w:szCs w:val="28"/>
        </w:rPr>
        <w:t>9</w:t>
      </w:r>
      <w:r>
        <w:rPr>
          <w:rFonts w:eastAsia="Calibri"/>
          <w:szCs w:val="28"/>
        </w:rPr>
        <w:t>; р</w:t>
      </w:r>
      <w:r w:rsidRPr="006670BC">
        <w:rPr>
          <w:rFonts w:eastAsia="Calibri"/>
          <w:szCs w:val="28"/>
        </w:rPr>
        <w:t>&lt;0,05</w:t>
      </w:r>
      <w:r>
        <w:rPr>
          <w:rFonts w:eastAsia="Calibri"/>
          <w:szCs w:val="28"/>
        </w:rPr>
        <w:t>)</w:t>
      </w:r>
      <w:r w:rsidRPr="001C4ED2">
        <w:rPr>
          <w:rFonts w:eastAsia="Calibri"/>
          <w:szCs w:val="28"/>
        </w:rPr>
        <w:t xml:space="preserve"> </w:t>
      </w:r>
      <w:r>
        <w:rPr>
          <w:rFonts w:eastAsia="Calibri"/>
          <w:szCs w:val="28"/>
        </w:rPr>
        <w:t>та зворотній зв</w:t>
      </w:r>
      <w:r w:rsidRPr="001C4ED2">
        <w:rPr>
          <w:rFonts w:eastAsia="Calibri"/>
          <w:szCs w:val="28"/>
        </w:rPr>
        <w:t>’</w:t>
      </w:r>
      <w:r>
        <w:rPr>
          <w:rFonts w:eastAsia="Calibri"/>
          <w:szCs w:val="28"/>
        </w:rPr>
        <w:t xml:space="preserve">язок з ФВ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41; р</w:t>
      </w:r>
      <w:r w:rsidRPr="006670BC">
        <w:rPr>
          <w:rFonts w:eastAsia="Calibri"/>
          <w:szCs w:val="28"/>
        </w:rPr>
        <w:t>&lt;0,05</w:t>
      </w:r>
      <w:r>
        <w:rPr>
          <w:rFonts w:eastAsia="Calibri"/>
          <w:szCs w:val="28"/>
        </w:rPr>
        <w:t xml:space="preserve">). </w:t>
      </w:r>
    </w:p>
    <w:p w:rsidR="00F407BB" w:rsidRPr="00F0150C" w:rsidRDefault="00F407BB" w:rsidP="00F407BB">
      <w:pPr>
        <w:spacing w:after="0" w:line="360" w:lineRule="auto"/>
        <w:ind w:firstLine="708"/>
        <w:jc w:val="both"/>
        <w:rPr>
          <w:szCs w:val="28"/>
        </w:rPr>
      </w:pPr>
      <w:r>
        <w:rPr>
          <w:szCs w:val="28"/>
        </w:rPr>
        <w:t>Такі результати свідчать на користь зростання об</w:t>
      </w:r>
      <w:r w:rsidRPr="00F0150C">
        <w:rPr>
          <w:szCs w:val="28"/>
        </w:rPr>
        <w:t>’єму і розміру ЛШ</w:t>
      </w:r>
      <w:r>
        <w:rPr>
          <w:szCs w:val="28"/>
        </w:rPr>
        <w:t xml:space="preserve"> </w:t>
      </w:r>
      <w:r w:rsidRPr="00F0150C">
        <w:rPr>
          <w:szCs w:val="28"/>
        </w:rPr>
        <w:t xml:space="preserve">зі зниженням інотропізму разом з наростанням міокардіально-артеріальної жорсткості у хворих на ГІМ з супутнім ожирінням. </w:t>
      </w:r>
      <w:r>
        <w:rPr>
          <w:szCs w:val="28"/>
        </w:rPr>
        <w:t xml:space="preserve">Отримані дані не суперечать результатам світової медичної спільноти. </w:t>
      </w:r>
    </w:p>
    <w:p w:rsidR="00F407BB" w:rsidRDefault="00F407BB" w:rsidP="00F407BB">
      <w:pPr>
        <w:spacing w:after="0" w:line="360" w:lineRule="auto"/>
        <w:ind w:firstLine="708"/>
        <w:jc w:val="both"/>
        <w:rPr>
          <w:szCs w:val="28"/>
        </w:rPr>
      </w:pPr>
      <w:r>
        <w:rPr>
          <w:szCs w:val="28"/>
        </w:rPr>
        <w:t>Вітронектин – це плазмовий протеїн гострої фази, який регулює клітинну адгезію та міграцію, а також взаємозв’язки між компонентами системи активатор плазміногена / система плазміна, а саме стосовно РАІ-1. Ця система грає головну роль у ремоделюванні тканин шляхом регуляції загоєння ураження після ІМ. Дослідження Pate G. та співавт. показали, що у вітронектин-негативних лабораторних тварин виявлено меншу дилятацію шлуночків та менш виражене порушення ФВ порівняно з вітронектин-позитивними тваринами (40% та 41% відповідно, p=0,01) [104]. Морфологічний аналіз визначив, що лабораторні тварини, які не мали вітронектину в сироватці крові, виявили значно меншу за площею зону некрозу.</w:t>
      </w:r>
    </w:p>
    <w:p w:rsidR="00F407BB" w:rsidRDefault="00F407BB" w:rsidP="00F407BB">
      <w:pPr>
        <w:spacing w:after="0" w:line="360" w:lineRule="auto"/>
        <w:ind w:firstLine="708"/>
        <w:jc w:val="both"/>
        <w:rPr>
          <w:szCs w:val="28"/>
        </w:rPr>
      </w:pPr>
      <w:r>
        <w:rPr>
          <w:szCs w:val="28"/>
        </w:rPr>
        <w:lastRenderedPageBreak/>
        <w:t>Аналіз взаємин між маркером ураження міокарда тропоніном I та адгезивним глікопротеїном екстрацелюлярного матриксу вітронектином показав наявність прямого зв’язку середньої сили (</w:t>
      </w:r>
      <w:r>
        <w:rPr>
          <w:rFonts w:eastAsia="Calibri"/>
          <w:szCs w:val="28"/>
          <w:lang w:val="ru-RU"/>
        </w:rPr>
        <w:t>r</w:t>
      </w:r>
      <w:r>
        <w:rPr>
          <w:rFonts w:eastAsia="Calibri"/>
          <w:szCs w:val="28"/>
        </w:rPr>
        <w:t>=0,64; р&lt;0,05</w:t>
      </w:r>
      <w:r>
        <w:rPr>
          <w:szCs w:val="28"/>
        </w:rPr>
        <w:t>), що свідчить про зростання концентрації тропоніну I при підвищенні рівнів сироваткового вітронектину. Тобто активність адгезивного маркера вітронектину може бути пов’язана з тяжкістю та глибиною ураження міокардіальної ділянки.</w:t>
      </w:r>
    </w:p>
    <w:p w:rsidR="00F407BB" w:rsidRPr="00F470A1" w:rsidRDefault="00F407BB" w:rsidP="00F407BB">
      <w:pPr>
        <w:spacing w:after="0" w:line="360" w:lineRule="auto"/>
        <w:ind w:firstLine="708"/>
        <w:jc w:val="both"/>
        <w:rPr>
          <w:szCs w:val="28"/>
        </w:rPr>
      </w:pPr>
      <w:r w:rsidRPr="00411BF8">
        <w:rPr>
          <w:szCs w:val="28"/>
        </w:rPr>
        <w:t xml:space="preserve">При проведенні оцінки звязків між параметром фіброгенезу галектином-3 та тропоніном </w:t>
      </w:r>
      <w:r>
        <w:rPr>
          <w:szCs w:val="28"/>
          <w:lang w:val="ru-RU"/>
        </w:rPr>
        <w:t>I</w:t>
      </w:r>
      <w:r w:rsidRPr="00411BF8">
        <w:rPr>
          <w:szCs w:val="28"/>
        </w:rPr>
        <w:t xml:space="preserve"> у хворих на ГІМ з наявністю супутнього ожиріння вірогідних кореля</w:t>
      </w:r>
      <w:r>
        <w:rPr>
          <w:szCs w:val="28"/>
        </w:rPr>
        <w:t>ційних звязків виявлено не було</w:t>
      </w:r>
      <w:r w:rsidRPr="00F470A1">
        <w:rPr>
          <w:szCs w:val="28"/>
        </w:rPr>
        <w:t>.</w:t>
      </w:r>
    </w:p>
    <w:p w:rsidR="00F407BB" w:rsidRDefault="00F407BB" w:rsidP="00F407BB">
      <w:pPr>
        <w:spacing w:after="0" w:line="360" w:lineRule="auto"/>
        <w:ind w:firstLine="708"/>
        <w:jc w:val="both"/>
        <w:rPr>
          <w:szCs w:val="28"/>
        </w:rPr>
      </w:pPr>
      <w:r>
        <w:rPr>
          <w:szCs w:val="28"/>
        </w:rPr>
        <w:t xml:space="preserve">Отримані у нашому дослідженні результати не суперечать даним світової медичної спільноти. Так у дослідженні </w:t>
      </w:r>
      <w:r w:rsidRPr="00113969">
        <w:rPr>
          <w:szCs w:val="28"/>
        </w:rPr>
        <w:t xml:space="preserve">[203] </w:t>
      </w:r>
      <w:r>
        <w:rPr>
          <w:szCs w:val="28"/>
        </w:rPr>
        <w:t>показано відсутність зв</w:t>
      </w:r>
      <w:r w:rsidRPr="00113969">
        <w:rPr>
          <w:szCs w:val="28"/>
        </w:rPr>
        <w:t>’</w:t>
      </w:r>
      <w:r>
        <w:rPr>
          <w:szCs w:val="28"/>
        </w:rPr>
        <w:t>язків міжактивністю маркера ураження міокарда тропоніном І та маркером фіброгенезу галектином-3.</w:t>
      </w:r>
    </w:p>
    <w:p w:rsidR="00F407BB" w:rsidRDefault="00F407BB" w:rsidP="00F407BB">
      <w:pPr>
        <w:spacing w:after="0" w:line="360" w:lineRule="auto"/>
        <w:ind w:firstLine="708"/>
        <w:jc w:val="both"/>
        <w:rPr>
          <w:szCs w:val="28"/>
        </w:rPr>
      </w:pPr>
      <w:r>
        <w:rPr>
          <w:szCs w:val="28"/>
        </w:rPr>
        <w:t xml:space="preserve">Оцінка кореляційних зв’язків у хворих з ГІМ та ожирінням між галектином-3 та віком також не виявила достовірних зв’язків (рис. </w:t>
      </w:r>
      <w:r w:rsidRPr="00F714E8">
        <w:rPr>
          <w:szCs w:val="28"/>
        </w:rPr>
        <w:t>5</w:t>
      </w:r>
      <w:r>
        <w:rPr>
          <w:szCs w:val="28"/>
        </w:rPr>
        <w:t>.7). Що стосується адгезивного глікопротеїну, з даним параметром отримано прямий кореляційний зв’язок слабкий за силою (r</w:t>
      </w:r>
      <w:r w:rsidRPr="00411BF8">
        <w:rPr>
          <w:szCs w:val="28"/>
        </w:rPr>
        <w:t>=0,34</w:t>
      </w:r>
      <w:r>
        <w:rPr>
          <w:szCs w:val="28"/>
        </w:rPr>
        <w:t>;</w:t>
      </w:r>
      <w:r w:rsidRPr="00411BF8">
        <w:rPr>
          <w:szCs w:val="28"/>
        </w:rPr>
        <w:t xml:space="preserve"> </w:t>
      </w:r>
      <w:r>
        <w:rPr>
          <w:szCs w:val="28"/>
        </w:rPr>
        <w:t>p</w:t>
      </w:r>
      <w:r w:rsidRPr="00411BF8">
        <w:rPr>
          <w:szCs w:val="28"/>
        </w:rPr>
        <w:t>&lt;0,05</w:t>
      </w:r>
      <w:r>
        <w:rPr>
          <w:szCs w:val="28"/>
        </w:rPr>
        <w:t xml:space="preserve">). Такі результати свідчать, що концентрація вітронектину зростає зі збільшенням віку хворих. </w:t>
      </w:r>
    </w:p>
    <w:p w:rsidR="00F407BB" w:rsidRDefault="00F407BB" w:rsidP="00F407BB">
      <w:pPr>
        <w:spacing w:after="0" w:line="360" w:lineRule="auto"/>
        <w:ind w:firstLine="708"/>
        <w:jc w:val="both"/>
        <w:rPr>
          <w:szCs w:val="28"/>
        </w:rPr>
      </w:pPr>
      <w:r>
        <w:rPr>
          <w:szCs w:val="28"/>
        </w:rPr>
        <w:t>Наступним етапом у дизайні дослідження було проведення аналізу наявності та характеру взаємин між галектином-3, вітронектином та показниками ліпідного профілю у хворих на ГІМ на тлі супутнього ожиріння. Знайдено прямі кореляційні зв’язки між концентрацією галектину-3 та рівнем ЗХС (r</w:t>
      </w:r>
      <w:r w:rsidRPr="00C65ED2">
        <w:rPr>
          <w:szCs w:val="28"/>
        </w:rPr>
        <w:t>=0,37</w:t>
      </w:r>
      <w:r>
        <w:rPr>
          <w:szCs w:val="28"/>
        </w:rPr>
        <w:t>;</w:t>
      </w:r>
      <w:r w:rsidRPr="00C65ED2">
        <w:rPr>
          <w:szCs w:val="28"/>
        </w:rPr>
        <w:t xml:space="preserve"> </w:t>
      </w:r>
      <w:r>
        <w:rPr>
          <w:szCs w:val="28"/>
        </w:rPr>
        <w:t>p</w:t>
      </w:r>
      <w:r w:rsidRPr="00C65ED2">
        <w:rPr>
          <w:szCs w:val="28"/>
        </w:rPr>
        <w:t>&lt;0,05</w:t>
      </w:r>
      <w:r>
        <w:rPr>
          <w:szCs w:val="28"/>
        </w:rPr>
        <w:t>), ЛПНЩ (r</w:t>
      </w:r>
      <w:r w:rsidRPr="00110267">
        <w:rPr>
          <w:szCs w:val="28"/>
        </w:rPr>
        <w:t>=0,3</w:t>
      </w:r>
      <w:r>
        <w:rPr>
          <w:szCs w:val="28"/>
        </w:rPr>
        <w:t>1;</w:t>
      </w:r>
      <w:r w:rsidRPr="00110267">
        <w:rPr>
          <w:szCs w:val="28"/>
        </w:rPr>
        <w:t xml:space="preserve"> </w:t>
      </w:r>
      <w:r>
        <w:rPr>
          <w:szCs w:val="28"/>
        </w:rPr>
        <w:t>p</w:t>
      </w:r>
      <w:r w:rsidRPr="00110267">
        <w:rPr>
          <w:szCs w:val="28"/>
        </w:rPr>
        <w:t>&lt;0,05</w:t>
      </w:r>
      <w:r>
        <w:rPr>
          <w:szCs w:val="28"/>
        </w:rPr>
        <w:t>), ТГ (r</w:t>
      </w:r>
      <w:r w:rsidRPr="00110267">
        <w:rPr>
          <w:szCs w:val="28"/>
        </w:rPr>
        <w:t>=0,3</w:t>
      </w:r>
      <w:r>
        <w:rPr>
          <w:szCs w:val="28"/>
        </w:rPr>
        <w:t>5;</w:t>
      </w:r>
      <w:r w:rsidRPr="00110267">
        <w:rPr>
          <w:szCs w:val="28"/>
        </w:rPr>
        <w:t xml:space="preserve"> </w:t>
      </w:r>
      <w:r>
        <w:rPr>
          <w:szCs w:val="28"/>
        </w:rPr>
        <w:t>p</w:t>
      </w:r>
      <w:r w:rsidRPr="00110267">
        <w:rPr>
          <w:szCs w:val="28"/>
        </w:rPr>
        <w:t>&lt;0,05</w:t>
      </w:r>
      <w:r>
        <w:rPr>
          <w:szCs w:val="28"/>
        </w:rPr>
        <w:t>) та зв’язок зворотнього характеру з ЛПВЩ (r=</w:t>
      </w:r>
      <w:r w:rsidRPr="00110267">
        <w:rPr>
          <w:szCs w:val="28"/>
        </w:rPr>
        <w:t>-0,3</w:t>
      </w:r>
      <w:r>
        <w:rPr>
          <w:szCs w:val="28"/>
        </w:rPr>
        <w:t>9;</w:t>
      </w:r>
      <w:r w:rsidRPr="00110267">
        <w:rPr>
          <w:szCs w:val="28"/>
        </w:rPr>
        <w:t xml:space="preserve"> </w:t>
      </w:r>
      <w:r>
        <w:rPr>
          <w:szCs w:val="28"/>
        </w:rPr>
        <w:t>p</w:t>
      </w:r>
      <w:r w:rsidRPr="00110267">
        <w:rPr>
          <w:szCs w:val="28"/>
        </w:rPr>
        <w:t>&lt;0,05</w:t>
      </w:r>
      <w:r>
        <w:rPr>
          <w:szCs w:val="28"/>
        </w:rPr>
        <w:t xml:space="preserve">), що вказує на зростання атерогенних фракцій ліпідограми у відповідь на галектинемію разом зі зниженням антиатерогенних компонентів ліпідного профілю. Дані дослідників стосовно взаємин між галектином-3 та показниками ліпідограми залишаються предметом дискусії. Група дослідників під керівництвом </w:t>
      </w:r>
      <w:r>
        <w:rPr>
          <w:szCs w:val="28"/>
        </w:rPr>
        <w:lastRenderedPageBreak/>
        <w:t>Weigert</w:t>
      </w:r>
      <w:r w:rsidRPr="00503FBC">
        <w:rPr>
          <w:szCs w:val="28"/>
        </w:rPr>
        <w:t xml:space="preserve"> </w:t>
      </w:r>
      <w:r>
        <w:rPr>
          <w:szCs w:val="28"/>
        </w:rPr>
        <w:t>J</w:t>
      </w:r>
      <w:r w:rsidRPr="00503FBC">
        <w:rPr>
          <w:szCs w:val="28"/>
        </w:rPr>
        <w:t xml:space="preserve">. </w:t>
      </w:r>
      <w:r>
        <w:rPr>
          <w:szCs w:val="28"/>
        </w:rPr>
        <w:t>не виявила кореляційних зв’язків між концентрацією галектину-3 та показниками ліпідного профілю</w:t>
      </w:r>
      <w:r w:rsidRPr="00F54FD6">
        <w:rPr>
          <w:szCs w:val="28"/>
        </w:rPr>
        <w:t>[</w:t>
      </w:r>
      <w:r w:rsidR="001262BE" w:rsidRPr="005E2904">
        <w:rPr>
          <w:szCs w:val="28"/>
        </w:rPr>
        <w:t>103</w:t>
      </w:r>
      <w:r w:rsidRPr="001262BE">
        <w:rPr>
          <w:szCs w:val="28"/>
        </w:rPr>
        <w:t>].</w:t>
      </w:r>
      <w:r>
        <w:rPr>
          <w:szCs w:val="28"/>
        </w:rPr>
        <w:t xml:space="preserve"> На відміну від попередників Winter</w:t>
      </w:r>
      <w:r w:rsidRPr="00503FBC">
        <w:rPr>
          <w:szCs w:val="28"/>
        </w:rPr>
        <w:t xml:space="preserve"> </w:t>
      </w:r>
      <w:r>
        <w:rPr>
          <w:szCs w:val="28"/>
        </w:rPr>
        <w:t>M</w:t>
      </w:r>
      <w:r w:rsidRPr="00503FBC">
        <w:rPr>
          <w:szCs w:val="28"/>
        </w:rPr>
        <w:t>.</w:t>
      </w:r>
      <w:r>
        <w:rPr>
          <w:szCs w:val="28"/>
        </w:rPr>
        <w:t>P</w:t>
      </w:r>
      <w:r w:rsidRPr="00503FBC">
        <w:rPr>
          <w:szCs w:val="28"/>
        </w:rPr>
        <w:t>.</w:t>
      </w:r>
      <w:r>
        <w:rPr>
          <w:szCs w:val="28"/>
        </w:rPr>
        <w:t xml:space="preserve"> проаналізував взаємини галектину-3 з про- та антиатерогенними параметрами ліпідограми, на основі яких було доведено зв’язок між дисліпідемією як індуктор формування атеросклеротичної бляшки на тлі існуючого імунозапалення та ініціатор розриву бляшки у пацієнтів з ГІМ </w:t>
      </w:r>
      <w:r w:rsidRPr="001262BE">
        <w:rPr>
          <w:szCs w:val="28"/>
        </w:rPr>
        <w:t>[</w:t>
      </w:r>
      <w:r w:rsidR="001262BE" w:rsidRPr="005E2904">
        <w:rPr>
          <w:szCs w:val="28"/>
        </w:rPr>
        <w:t>144</w:t>
      </w:r>
      <w:r w:rsidRPr="001262BE">
        <w:rPr>
          <w:szCs w:val="28"/>
        </w:rPr>
        <w:t>].</w:t>
      </w:r>
      <w:r>
        <w:rPr>
          <w:szCs w:val="28"/>
        </w:rPr>
        <w:t xml:space="preserve"> </w:t>
      </w:r>
      <w:r w:rsidRPr="00F54FD6">
        <w:rPr>
          <w:szCs w:val="28"/>
        </w:rPr>
        <w:t>Тобто, галектин-3 може розглядатись в якості маркера нестабільної атеросклеротичної бляшки.</w:t>
      </w:r>
    </w:p>
    <w:p w:rsidR="00F407BB" w:rsidRPr="00DD3717" w:rsidRDefault="00F407BB" w:rsidP="00F407BB">
      <w:pPr>
        <w:spacing w:after="0" w:line="360" w:lineRule="auto"/>
        <w:ind w:firstLine="720"/>
        <w:jc w:val="both"/>
        <w:rPr>
          <w:szCs w:val="28"/>
        </w:rPr>
      </w:pPr>
      <w:r w:rsidRPr="00F714E8">
        <w:rPr>
          <w:rFonts w:eastAsia="Calibri"/>
          <w:szCs w:val="28"/>
          <w:lang w:val="ru-RU"/>
        </w:rPr>
        <w:t xml:space="preserve">Дослідження виявило </w:t>
      </w:r>
      <w:r>
        <w:rPr>
          <w:rFonts w:eastAsia="Calibri"/>
          <w:szCs w:val="28"/>
        </w:rPr>
        <w:t xml:space="preserve">наявність зв’язків між параметрами ЯЖ та антропометричними показниками. Знайдено </w:t>
      </w:r>
      <w:r w:rsidRPr="00F714E8">
        <w:rPr>
          <w:szCs w:val="28"/>
        </w:rPr>
        <w:t xml:space="preserve">зворотні зв'язки між ІМТ та </w:t>
      </w:r>
      <w:r w:rsidRPr="001F4F88">
        <w:rPr>
          <w:szCs w:val="28"/>
          <w:lang w:val="ru-RU"/>
        </w:rPr>
        <w:t>PF</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0,86; </w:t>
      </w:r>
      <w:r w:rsidRPr="001F4F88">
        <w:rPr>
          <w:szCs w:val="28"/>
        </w:rPr>
        <w:t>p</w:t>
      </w:r>
      <w:r w:rsidRPr="00F714E8">
        <w:rPr>
          <w:szCs w:val="28"/>
        </w:rPr>
        <w:t xml:space="preserve">&lt;0,05), </w:t>
      </w:r>
      <w:r w:rsidRPr="001F4F88">
        <w:rPr>
          <w:szCs w:val="28"/>
          <w:lang w:val="ru-RU"/>
        </w:rPr>
        <w:t>GH</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0,84; </w:t>
      </w:r>
      <w:r w:rsidRPr="001F4F88">
        <w:rPr>
          <w:szCs w:val="28"/>
        </w:rPr>
        <w:t>p</w:t>
      </w:r>
      <w:r w:rsidRPr="00F714E8">
        <w:rPr>
          <w:szCs w:val="28"/>
        </w:rPr>
        <w:t xml:space="preserve">&lt;0,05), </w:t>
      </w:r>
      <w:r w:rsidRPr="001F4F88">
        <w:rPr>
          <w:szCs w:val="28"/>
        </w:rPr>
        <w:t>VT</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0,77; </w:t>
      </w:r>
      <w:r w:rsidRPr="001F4F88">
        <w:rPr>
          <w:szCs w:val="28"/>
        </w:rPr>
        <w:t>p</w:t>
      </w:r>
      <w:r w:rsidRPr="00F714E8">
        <w:rPr>
          <w:szCs w:val="28"/>
        </w:rPr>
        <w:t xml:space="preserve">&lt;0,05), </w:t>
      </w:r>
      <w:r w:rsidRPr="001F4F88">
        <w:rPr>
          <w:szCs w:val="28"/>
        </w:rPr>
        <w:t>BP</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0,71; </w:t>
      </w:r>
      <w:r w:rsidRPr="001F4F88">
        <w:rPr>
          <w:szCs w:val="28"/>
        </w:rPr>
        <w:t>p</w:t>
      </w:r>
      <w:r w:rsidRPr="00F714E8">
        <w:rPr>
          <w:szCs w:val="28"/>
        </w:rPr>
        <w:t xml:space="preserve">&lt;0,05), </w:t>
      </w:r>
      <w:r w:rsidRPr="001F4F88">
        <w:rPr>
          <w:szCs w:val="28"/>
        </w:rPr>
        <w:t>MH</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0,61; </w:t>
      </w:r>
      <w:r w:rsidRPr="001F4F88">
        <w:rPr>
          <w:szCs w:val="28"/>
        </w:rPr>
        <w:t>p</w:t>
      </w:r>
      <w:r w:rsidRPr="00F714E8">
        <w:rPr>
          <w:szCs w:val="28"/>
        </w:rPr>
        <w:t xml:space="preserve">&lt;0,05), </w:t>
      </w:r>
      <w:r w:rsidRPr="001F4F88">
        <w:rPr>
          <w:szCs w:val="28"/>
        </w:rPr>
        <w:t>SF</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0,55; </w:t>
      </w:r>
      <w:r w:rsidRPr="001F4F88">
        <w:rPr>
          <w:szCs w:val="28"/>
        </w:rPr>
        <w:t>p</w:t>
      </w:r>
      <w:r w:rsidRPr="00F714E8">
        <w:rPr>
          <w:szCs w:val="28"/>
        </w:rPr>
        <w:t xml:space="preserve">&lt;0,05), </w:t>
      </w:r>
      <w:r w:rsidRPr="001F4F88">
        <w:rPr>
          <w:szCs w:val="28"/>
        </w:rPr>
        <w:t>RP</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0,52; </w:t>
      </w:r>
      <w:r w:rsidRPr="001F4F88">
        <w:rPr>
          <w:szCs w:val="28"/>
        </w:rPr>
        <w:t>p</w:t>
      </w:r>
      <w:r w:rsidRPr="00F714E8">
        <w:rPr>
          <w:szCs w:val="28"/>
        </w:rPr>
        <w:t xml:space="preserve">&lt;0,05), </w:t>
      </w:r>
      <w:r w:rsidRPr="001F4F88">
        <w:rPr>
          <w:szCs w:val="28"/>
        </w:rPr>
        <w:t>RE</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0,31; </w:t>
      </w:r>
      <w:r w:rsidRPr="001F4F88">
        <w:rPr>
          <w:szCs w:val="28"/>
        </w:rPr>
        <w:t>p</w:t>
      </w:r>
      <w:r w:rsidRPr="00F714E8">
        <w:rPr>
          <w:szCs w:val="28"/>
        </w:rPr>
        <w:t xml:space="preserve">&lt;0,05). </w:t>
      </w:r>
    </w:p>
    <w:p w:rsidR="00F407BB" w:rsidRDefault="00F407BB" w:rsidP="00F407BB">
      <w:pPr>
        <w:spacing w:after="0" w:line="360" w:lineRule="auto"/>
        <w:ind w:firstLine="720"/>
        <w:jc w:val="both"/>
        <w:rPr>
          <w:rFonts w:eastAsia="Calibri"/>
          <w:szCs w:val="28"/>
        </w:rPr>
      </w:pPr>
      <w:r>
        <w:rPr>
          <w:szCs w:val="28"/>
        </w:rPr>
        <w:t>Зростання ІМТ супроводжується погіршенням показників ЯЖ, відповідальних за фізичний та емоційний компоненти. Т</w:t>
      </w:r>
      <w:r w:rsidRPr="001F4F88">
        <w:rPr>
          <w:szCs w:val="28"/>
        </w:rPr>
        <w:t>обто у хворих з ГІМ на тлі ожиріння спостерігається обмеження як фізичного, так і емоційного компоненту</w:t>
      </w:r>
      <w:r>
        <w:rPr>
          <w:szCs w:val="28"/>
        </w:rPr>
        <w:t xml:space="preserve"> пропорційно до збільшення ІМТ</w:t>
      </w:r>
      <w:r w:rsidRPr="001F4F88">
        <w:rPr>
          <w:szCs w:val="28"/>
        </w:rPr>
        <w:t xml:space="preserve">, результуючою чого є обмеження повсякденної діяльності пацієнта на тлі падіння соціальної активності, що може мати несприятливий вплив на комплаєнтність. </w:t>
      </w:r>
    </w:p>
    <w:p w:rsidR="00F407BB" w:rsidRDefault="00F407BB" w:rsidP="00F407BB">
      <w:pPr>
        <w:spacing w:after="0" w:line="360" w:lineRule="auto"/>
        <w:ind w:firstLine="708"/>
        <w:jc w:val="both"/>
        <w:rPr>
          <w:szCs w:val="28"/>
        </w:rPr>
      </w:pPr>
      <w:r>
        <w:rPr>
          <w:rFonts w:eastAsia="Calibri"/>
          <w:szCs w:val="28"/>
        </w:rPr>
        <w:t>Аналіз кореляційних зв’язків між рівнем вітронектину та параметрами ліпідного профілю не виявив достовірних взаємин, а саме знайдено прямий зв’язок між вітронектином та ЛПНЩ (</w:t>
      </w:r>
      <w:r>
        <w:rPr>
          <w:szCs w:val="28"/>
        </w:rPr>
        <w:t>r</w:t>
      </w:r>
      <w:r w:rsidRPr="00110267">
        <w:rPr>
          <w:szCs w:val="28"/>
        </w:rPr>
        <w:t>=0,</w:t>
      </w:r>
      <w:r>
        <w:rPr>
          <w:szCs w:val="28"/>
        </w:rPr>
        <w:t>12;</w:t>
      </w:r>
      <w:r w:rsidRPr="00110267">
        <w:rPr>
          <w:szCs w:val="28"/>
        </w:rPr>
        <w:t xml:space="preserve"> </w:t>
      </w:r>
      <w:r>
        <w:rPr>
          <w:szCs w:val="28"/>
        </w:rPr>
        <w:t>p</w:t>
      </w:r>
      <w:r w:rsidRPr="00D75A57">
        <w:rPr>
          <w:szCs w:val="28"/>
        </w:rPr>
        <w:t>&gt;</w:t>
      </w:r>
      <w:r w:rsidRPr="00110267">
        <w:rPr>
          <w:szCs w:val="28"/>
        </w:rPr>
        <w:t>0,05</w:t>
      </w:r>
      <w:r>
        <w:rPr>
          <w:rFonts w:eastAsia="Calibri"/>
          <w:szCs w:val="28"/>
        </w:rPr>
        <w:t>), ЗХС (</w:t>
      </w:r>
      <w:r>
        <w:rPr>
          <w:szCs w:val="28"/>
        </w:rPr>
        <w:t>r</w:t>
      </w:r>
      <w:r w:rsidRPr="00110267">
        <w:rPr>
          <w:szCs w:val="28"/>
        </w:rPr>
        <w:t>=0,</w:t>
      </w:r>
      <w:r>
        <w:rPr>
          <w:szCs w:val="28"/>
        </w:rPr>
        <w:t>16;</w:t>
      </w:r>
      <w:r w:rsidRPr="00110267">
        <w:rPr>
          <w:szCs w:val="28"/>
        </w:rPr>
        <w:t xml:space="preserve"> </w:t>
      </w:r>
      <w:r>
        <w:rPr>
          <w:szCs w:val="28"/>
        </w:rPr>
        <w:t>p</w:t>
      </w:r>
      <w:r w:rsidRPr="00D75A57">
        <w:rPr>
          <w:szCs w:val="28"/>
        </w:rPr>
        <w:t>&gt;</w:t>
      </w:r>
      <w:r w:rsidRPr="00110267">
        <w:rPr>
          <w:szCs w:val="28"/>
        </w:rPr>
        <w:t>0,05</w:t>
      </w:r>
      <w:r>
        <w:rPr>
          <w:szCs w:val="28"/>
        </w:rPr>
        <w:t>), ТГ (r</w:t>
      </w:r>
      <w:r w:rsidRPr="00110267">
        <w:rPr>
          <w:szCs w:val="28"/>
        </w:rPr>
        <w:t>=0,</w:t>
      </w:r>
      <w:r>
        <w:rPr>
          <w:szCs w:val="28"/>
        </w:rPr>
        <w:t>09;</w:t>
      </w:r>
      <w:r w:rsidRPr="00110267">
        <w:rPr>
          <w:szCs w:val="28"/>
        </w:rPr>
        <w:t xml:space="preserve"> </w:t>
      </w:r>
      <w:r>
        <w:rPr>
          <w:szCs w:val="28"/>
        </w:rPr>
        <w:t>p</w:t>
      </w:r>
      <w:r w:rsidRPr="00D75A57">
        <w:rPr>
          <w:szCs w:val="28"/>
        </w:rPr>
        <w:t>&gt;</w:t>
      </w:r>
      <w:r w:rsidRPr="00110267">
        <w:rPr>
          <w:szCs w:val="28"/>
        </w:rPr>
        <w:t>0,05</w:t>
      </w:r>
      <w:r>
        <w:rPr>
          <w:szCs w:val="28"/>
        </w:rPr>
        <w:t>) та ЛПВЩ (r</w:t>
      </w:r>
      <w:r w:rsidRPr="00110267">
        <w:rPr>
          <w:szCs w:val="28"/>
        </w:rPr>
        <w:t>=</w:t>
      </w:r>
      <w:r>
        <w:rPr>
          <w:szCs w:val="28"/>
        </w:rPr>
        <w:t xml:space="preserve"> -</w:t>
      </w:r>
      <w:r w:rsidRPr="00110267">
        <w:rPr>
          <w:szCs w:val="28"/>
        </w:rPr>
        <w:t>0,</w:t>
      </w:r>
      <w:r>
        <w:rPr>
          <w:szCs w:val="28"/>
        </w:rPr>
        <w:t>11;</w:t>
      </w:r>
      <w:r w:rsidRPr="00110267">
        <w:rPr>
          <w:szCs w:val="28"/>
        </w:rPr>
        <w:t xml:space="preserve"> </w:t>
      </w:r>
      <w:r>
        <w:rPr>
          <w:szCs w:val="28"/>
        </w:rPr>
        <w:t>p</w:t>
      </w:r>
      <w:r w:rsidRPr="00D75A57">
        <w:rPr>
          <w:szCs w:val="28"/>
        </w:rPr>
        <w:t>&gt;</w:t>
      </w:r>
      <w:r w:rsidRPr="00110267">
        <w:rPr>
          <w:szCs w:val="28"/>
        </w:rPr>
        <w:t>0,05</w:t>
      </w:r>
      <w:r>
        <w:rPr>
          <w:szCs w:val="28"/>
        </w:rPr>
        <w:t xml:space="preserve">). </w:t>
      </w:r>
    </w:p>
    <w:p w:rsidR="00F407BB" w:rsidRPr="00F54FD6" w:rsidRDefault="00F407BB" w:rsidP="00F407BB">
      <w:pPr>
        <w:spacing w:after="0" w:line="360" w:lineRule="auto"/>
        <w:ind w:firstLine="720"/>
        <w:jc w:val="both"/>
        <w:rPr>
          <w:szCs w:val="28"/>
        </w:rPr>
      </w:pPr>
      <w:r>
        <w:rPr>
          <w:szCs w:val="28"/>
        </w:rPr>
        <w:t>Отримано кореляції між концентрацією галектину-3 та рівнем креатиніну крові (r</w:t>
      </w:r>
      <w:r w:rsidRPr="00110267">
        <w:rPr>
          <w:szCs w:val="28"/>
        </w:rPr>
        <w:t>=0,</w:t>
      </w:r>
      <w:r>
        <w:rPr>
          <w:szCs w:val="28"/>
        </w:rPr>
        <w:t>41;</w:t>
      </w:r>
      <w:r w:rsidRPr="00110267">
        <w:rPr>
          <w:szCs w:val="28"/>
        </w:rPr>
        <w:t xml:space="preserve"> </w:t>
      </w:r>
      <w:r>
        <w:rPr>
          <w:szCs w:val="28"/>
        </w:rPr>
        <w:t>p</w:t>
      </w:r>
      <w:r w:rsidRPr="00110267">
        <w:rPr>
          <w:szCs w:val="28"/>
        </w:rPr>
        <w:t>&lt;0,05</w:t>
      </w:r>
      <w:r>
        <w:rPr>
          <w:szCs w:val="28"/>
        </w:rPr>
        <w:t>), що свідчить про зв’</w:t>
      </w:r>
      <w:r w:rsidRPr="00411BF8">
        <w:rPr>
          <w:szCs w:val="28"/>
        </w:rPr>
        <w:t xml:space="preserve">язок між функцією нирок і активністю галектину-3 та підтверджує опубліковані раніше відомості щодо позиції стосовно галектину-3 як маркера ураження нирок [141; 142]. </w:t>
      </w:r>
    </w:p>
    <w:p w:rsidR="00F407BB" w:rsidRPr="00F54FD6" w:rsidRDefault="00F407BB" w:rsidP="00F407BB">
      <w:pPr>
        <w:spacing w:after="0" w:line="360" w:lineRule="auto"/>
        <w:ind w:firstLine="720"/>
        <w:jc w:val="both"/>
        <w:rPr>
          <w:szCs w:val="28"/>
        </w:rPr>
      </w:pPr>
      <w:r w:rsidRPr="00F54FD6">
        <w:rPr>
          <w:szCs w:val="28"/>
        </w:rPr>
        <w:lastRenderedPageBreak/>
        <w:t>Рівень вітронектину корелював з кількістю лейкоцитів (</w:t>
      </w:r>
      <w:r>
        <w:rPr>
          <w:szCs w:val="28"/>
        </w:rPr>
        <w:t>r</w:t>
      </w:r>
      <w:r w:rsidRPr="00110267">
        <w:rPr>
          <w:szCs w:val="28"/>
        </w:rPr>
        <w:t>=0,</w:t>
      </w:r>
      <w:r>
        <w:rPr>
          <w:szCs w:val="28"/>
        </w:rPr>
        <w:t>39;</w:t>
      </w:r>
      <w:r w:rsidRPr="00110267">
        <w:rPr>
          <w:szCs w:val="28"/>
        </w:rPr>
        <w:t xml:space="preserve"> </w:t>
      </w:r>
      <w:r>
        <w:rPr>
          <w:szCs w:val="28"/>
        </w:rPr>
        <w:t>p</w:t>
      </w:r>
      <w:r w:rsidRPr="00110267">
        <w:rPr>
          <w:szCs w:val="28"/>
        </w:rPr>
        <w:t>&lt;0,05</w:t>
      </w:r>
      <w:r w:rsidRPr="00F54FD6">
        <w:rPr>
          <w:szCs w:val="28"/>
        </w:rPr>
        <w:t>) у хворих на ГІМ з супутнім ожирінням, що свідчить про ефект вітронектина як п</w:t>
      </w:r>
      <w:r>
        <w:rPr>
          <w:szCs w:val="28"/>
        </w:rPr>
        <w:t>араметра гострої фази запалення</w:t>
      </w:r>
      <w:r w:rsidRPr="00F54FD6">
        <w:rPr>
          <w:szCs w:val="28"/>
        </w:rPr>
        <w:t>.</w:t>
      </w:r>
    </w:p>
    <w:p w:rsidR="00F407BB" w:rsidRDefault="00F407BB" w:rsidP="00F407BB">
      <w:pPr>
        <w:spacing w:after="0" w:line="360" w:lineRule="auto"/>
        <w:ind w:firstLine="720"/>
        <w:jc w:val="both"/>
        <w:rPr>
          <w:szCs w:val="28"/>
        </w:rPr>
      </w:pPr>
      <w:r>
        <w:rPr>
          <w:szCs w:val="28"/>
        </w:rPr>
        <w:t xml:space="preserve">Таким чином, проведене дослідження виявило збільшення об’єму порожнин ЛШ зі зниженням його інотропної функції у відповідь на високу активність галектину-3 та вітронектину сироватки крові на тлі збільшення ІМТ та значення ОТ, а також зростання проатерогенних фракцій ліпідограми на тлі гіпергалектинемії. </w:t>
      </w:r>
    </w:p>
    <w:p w:rsidR="00F407BB" w:rsidRDefault="00F407BB" w:rsidP="00F407BB">
      <w:pPr>
        <w:tabs>
          <w:tab w:val="num" w:pos="330"/>
        </w:tabs>
        <w:spacing w:after="0" w:line="360" w:lineRule="auto"/>
        <w:ind w:firstLine="709"/>
        <w:jc w:val="both"/>
        <w:rPr>
          <w:iCs/>
          <w:szCs w:val="28"/>
        </w:rPr>
      </w:pPr>
      <w:r w:rsidRPr="00DC5C24">
        <w:rPr>
          <w:iCs/>
          <w:szCs w:val="28"/>
        </w:rPr>
        <w:t>Під час другого</w:t>
      </w:r>
      <w:r>
        <w:rPr>
          <w:iCs/>
          <w:szCs w:val="28"/>
        </w:rPr>
        <w:t xml:space="preserve"> клініко-діагностичного обстеження через 30 днів після після початку захворювання на ГІМ, крім загально прийнятих даних, пильну увагу приділено щодо інформованості пацієнтів про захворювання протягом 1 місяця після коронарної події та їх ставлення до лікування, тобто прихильність до рекомендацій лікаря. Отримані результати свідчать про невідповідність рекомендаціям Європейського Товариства Кардіологів щодо подвійної антитромбоцитарної терапії (ПАТ) у хворих зі </w:t>
      </w:r>
      <w:r>
        <w:rPr>
          <w:iCs/>
          <w:szCs w:val="28"/>
          <w:lang w:val="en-US"/>
        </w:rPr>
        <w:t>STEMI</w:t>
      </w:r>
      <w:r w:rsidRPr="00366244">
        <w:rPr>
          <w:iCs/>
          <w:szCs w:val="28"/>
        </w:rPr>
        <w:t xml:space="preserve"> </w:t>
      </w:r>
      <w:r w:rsidRPr="00766FBC">
        <w:rPr>
          <w:iCs/>
          <w:szCs w:val="28"/>
        </w:rPr>
        <w:t>[14</w:t>
      </w:r>
      <w:r>
        <w:rPr>
          <w:iCs/>
          <w:szCs w:val="28"/>
        </w:rPr>
        <w:t>8</w:t>
      </w:r>
      <w:r w:rsidRPr="00766FBC">
        <w:rPr>
          <w:iCs/>
          <w:szCs w:val="28"/>
        </w:rPr>
        <w:t>]</w:t>
      </w:r>
      <w:r>
        <w:rPr>
          <w:iCs/>
          <w:szCs w:val="28"/>
        </w:rPr>
        <w:t xml:space="preserve">, адже адекватне зниження агрегаційної функції за допомогою призначення комбінації ацетилсаліцилової кислоти (АСК) з інгібіторами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(клопідогрель, тикагрелор, прасугрель) є необхідним патогенетично обґрунтованим заходом профілактики ранніх та віддалених ускладнень </w:t>
      </w:r>
      <w:r w:rsidRPr="00A51172">
        <w:rPr>
          <w:iCs/>
          <w:szCs w:val="28"/>
        </w:rPr>
        <w:t>[14</w:t>
      </w:r>
      <w:r>
        <w:rPr>
          <w:iCs/>
          <w:szCs w:val="28"/>
        </w:rPr>
        <w:t>9</w:t>
      </w:r>
      <w:r w:rsidRPr="00A51172">
        <w:rPr>
          <w:iCs/>
          <w:szCs w:val="28"/>
        </w:rPr>
        <w:t>]</w:t>
      </w:r>
      <w:r>
        <w:rPr>
          <w:iCs/>
          <w:szCs w:val="28"/>
        </w:rPr>
        <w:t xml:space="preserve">. Сучасний представник групи інгібіторів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тромбоцитів, а саме, тикагрелор знижує ризик ішемічних подій, загальної смертності та смертності від серцево-судинних причин без підвищення рівня ризику геморагічних ускладнень при порівнянні з клопідогрелем та обумовлює найкраще співвідношення ефективність / безпека для тикагрелору. </w:t>
      </w:r>
    </w:p>
    <w:p w:rsidR="00F407BB" w:rsidRDefault="00F407BB" w:rsidP="00F407BB">
      <w:pPr>
        <w:tabs>
          <w:tab w:val="num" w:pos="330"/>
        </w:tabs>
        <w:spacing w:after="0" w:line="360" w:lineRule="auto"/>
        <w:ind w:firstLine="709"/>
        <w:jc w:val="both"/>
        <w:rPr>
          <w:iCs/>
          <w:szCs w:val="28"/>
        </w:rPr>
      </w:pPr>
      <w:r>
        <w:rPr>
          <w:iCs/>
          <w:szCs w:val="28"/>
        </w:rPr>
        <w:t xml:space="preserve">Крім того, відсутність залежності антитромбоцитарної активності від поліморфізму </w:t>
      </w:r>
      <w:r>
        <w:rPr>
          <w:iCs/>
          <w:szCs w:val="28"/>
          <w:lang w:val="en-US"/>
        </w:rPr>
        <w:t>CYP</w:t>
      </w:r>
      <w:r w:rsidRPr="00D06BF8">
        <w:rPr>
          <w:iCs/>
          <w:szCs w:val="28"/>
          <w:vertAlign w:val="subscript"/>
        </w:rPr>
        <w:t>2</w:t>
      </w:r>
      <w:r>
        <w:rPr>
          <w:iCs/>
          <w:szCs w:val="28"/>
          <w:lang w:val="en-US"/>
        </w:rPr>
        <w:t>C</w:t>
      </w:r>
      <w:r w:rsidRPr="00D06BF8">
        <w:rPr>
          <w:iCs/>
          <w:szCs w:val="28"/>
          <w:vertAlign w:val="subscript"/>
        </w:rPr>
        <w:t xml:space="preserve">19 </w:t>
      </w:r>
      <w:r>
        <w:rPr>
          <w:iCs/>
          <w:szCs w:val="28"/>
        </w:rPr>
        <w:t xml:space="preserve">у тикагрелора порівняно з клопідогрелем разом з відстроченим початком дії останнього обумовлюють розвиток швидкого й потужного антиагрегантного ефекту тикагрелору – нового представника інгібіторів </w:t>
      </w:r>
      <w:r>
        <w:rPr>
          <w:iCs/>
          <w:szCs w:val="28"/>
          <w:lang w:val="en-US"/>
        </w:rPr>
        <w:lastRenderedPageBreak/>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w:t>
      </w:r>
      <w:r w:rsidRPr="00D719B8">
        <w:rPr>
          <w:iCs/>
          <w:szCs w:val="28"/>
        </w:rPr>
        <w:t>[</w:t>
      </w:r>
      <w:r>
        <w:rPr>
          <w:iCs/>
          <w:szCs w:val="28"/>
        </w:rPr>
        <w:t>150</w:t>
      </w:r>
      <w:r w:rsidRPr="00D719B8">
        <w:rPr>
          <w:iCs/>
          <w:szCs w:val="28"/>
        </w:rPr>
        <w:t>]</w:t>
      </w:r>
      <w:r>
        <w:rPr>
          <w:iCs/>
          <w:szCs w:val="28"/>
        </w:rPr>
        <w:t xml:space="preserve">. Отримані результати дослідників узгоджуються з діючими рекомендаціями, згідно з якими тикагрелор є препаратом вибору для всіх пацієнтів з ГКС незалежно від як першорядної стратегії лікування, так і наявності елевації сегмента </w:t>
      </w:r>
      <w:r>
        <w:rPr>
          <w:iCs/>
          <w:szCs w:val="28"/>
          <w:lang w:val="en-US"/>
        </w:rPr>
        <w:t>ST</w:t>
      </w:r>
      <w:r w:rsidRPr="00D719B8">
        <w:rPr>
          <w:iCs/>
          <w:szCs w:val="28"/>
        </w:rPr>
        <w:t xml:space="preserve"> [</w:t>
      </w:r>
      <w:r>
        <w:rPr>
          <w:iCs/>
          <w:szCs w:val="28"/>
        </w:rPr>
        <w:t>149; 151; 152</w:t>
      </w:r>
      <w:r w:rsidRPr="00D719B8">
        <w:rPr>
          <w:iCs/>
          <w:szCs w:val="28"/>
        </w:rPr>
        <w:t>]</w:t>
      </w:r>
      <w:r>
        <w:rPr>
          <w:iCs/>
          <w:szCs w:val="28"/>
        </w:rPr>
        <w:t>.</w:t>
      </w:r>
    </w:p>
    <w:p w:rsidR="00F407BB" w:rsidRDefault="00F407BB" w:rsidP="00F407BB">
      <w:pPr>
        <w:tabs>
          <w:tab w:val="num" w:pos="330"/>
        </w:tabs>
        <w:spacing w:after="0" w:line="360" w:lineRule="auto"/>
        <w:ind w:firstLine="709"/>
        <w:jc w:val="both"/>
        <w:rPr>
          <w:iCs/>
          <w:szCs w:val="28"/>
        </w:rPr>
      </w:pPr>
      <w:r>
        <w:rPr>
          <w:iCs/>
          <w:szCs w:val="28"/>
        </w:rPr>
        <w:t xml:space="preserve">З іншого боку реальна клінічна практика показує, що витрати, пов’язані з необхідності самостійної купівлі лікарських засобів, значно знижують прихильність до лікування, і наша країна не є виключенням </w:t>
      </w:r>
      <w:r w:rsidRPr="007132E5">
        <w:rPr>
          <w:iCs/>
          <w:szCs w:val="28"/>
        </w:rPr>
        <w:t>[</w:t>
      </w:r>
      <w:r>
        <w:rPr>
          <w:iCs/>
          <w:szCs w:val="28"/>
        </w:rPr>
        <w:t>152</w:t>
      </w:r>
      <w:r w:rsidRPr="007132E5">
        <w:rPr>
          <w:iCs/>
          <w:szCs w:val="28"/>
        </w:rPr>
        <w:t>].</w:t>
      </w:r>
    </w:p>
    <w:p w:rsidR="00F407BB" w:rsidRDefault="00F407BB" w:rsidP="00F407BB">
      <w:pPr>
        <w:tabs>
          <w:tab w:val="num" w:pos="330"/>
        </w:tabs>
        <w:spacing w:after="0" w:line="360" w:lineRule="auto"/>
        <w:ind w:firstLine="709"/>
        <w:jc w:val="both"/>
        <w:rPr>
          <w:iCs/>
          <w:szCs w:val="28"/>
        </w:rPr>
      </w:pPr>
      <w:r>
        <w:rPr>
          <w:iCs/>
          <w:szCs w:val="28"/>
        </w:rPr>
        <w:t>Хворі на ГІМ з супутнім ожирінням, залучені у дослідження, протягом 1 доби захворювання були розподілені на 2 групи: в 1 групі було обрано інвазивну стратегію реперфузійної терапії, а саме проведення ПКВ (</w:t>
      </w:r>
      <w:r>
        <w:rPr>
          <w:iCs/>
          <w:szCs w:val="28"/>
          <w:lang w:val="en-US"/>
        </w:rPr>
        <w:t>n</w:t>
      </w:r>
      <w:r w:rsidRPr="005B4924">
        <w:rPr>
          <w:iCs/>
          <w:szCs w:val="28"/>
        </w:rPr>
        <w:t>=</w:t>
      </w:r>
      <w:r>
        <w:rPr>
          <w:iCs/>
          <w:szCs w:val="28"/>
        </w:rPr>
        <w:t>31), для 2 групи було обрано тактику первинного тромболізису (стрептокіназа 1,5 млн ОД) (внаслідок фінансових причин) (</w:t>
      </w:r>
      <w:r>
        <w:rPr>
          <w:iCs/>
          <w:szCs w:val="28"/>
          <w:lang w:val="en-US"/>
        </w:rPr>
        <w:t>n</w:t>
      </w:r>
      <w:r>
        <w:rPr>
          <w:iCs/>
          <w:szCs w:val="28"/>
        </w:rPr>
        <w:t xml:space="preserve">=44). </w:t>
      </w:r>
    </w:p>
    <w:p w:rsidR="00F407BB" w:rsidRDefault="00F407BB" w:rsidP="00F407BB">
      <w:pPr>
        <w:tabs>
          <w:tab w:val="num" w:pos="330"/>
        </w:tabs>
        <w:spacing w:after="0" w:line="360" w:lineRule="auto"/>
        <w:ind w:firstLine="709"/>
        <w:jc w:val="both"/>
        <w:rPr>
          <w:iCs/>
          <w:szCs w:val="28"/>
        </w:rPr>
      </w:pPr>
      <w:r>
        <w:rPr>
          <w:szCs w:val="28"/>
        </w:rPr>
        <w:t xml:space="preserve">Лікування хворих на ГІМ здійснювалося згідно Наказу </w:t>
      </w:r>
      <w:r>
        <w:rPr>
          <w:rFonts w:eastAsia="Lucida Sans Unicode"/>
          <w:szCs w:val="28"/>
          <w:lang w:eastAsia="ar-SA"/>
        </w:rPr>
        <w:t>МОЗ України №</w:t>
      </w:r>
      <w:r w:rsidRPr="0002159F">
        <w:rPr>
          <w:rFonts w:eastAsia="Lucida Sans Unicode"/>
          <w:szCs w:val="28"/>
          <w:lang w:eastAsia="ar-SA"/>
        </w:rPr>
        <w:t>455</w:t>
      </w:r>
      <w:r>
        <w:rPr>
          <w:rFonts w:eastAsia="Lucida Sans Unicode"/>
          <w:szCs w:val="28"/>
          <w:lang w:eastAsia="ar-SA"/>
        </w:rPr>
        <w:t xml:space="preserve"> </w:t>
      </w:r>
      <w:r>
        <w:rPr>
          <w:szCs w:val="28"/>
        </w:rPr>
        <w:t xml:space="preserve">Усі хворі отримували: тромболітичну терапію; </w:t>
      </w:r>
      <w:r w:rsidRPr="00B55C77">
        <w:rPr>
          <w:rFonts w:eastAsia="Times New Roman"/>
          <w:szCs w:val="28"/>
          <w:lang w:eastAsia="ru-RU"/>
        </w:rPr>
        <w:t>нітрати за умов наявності больовому синдрому та клінічних проявів гострої серцевої недостатності</w:t>
      </w:r>
      <w:r>
        <w:rPr>
          <w:rFonts w:eastAsia="Times New Roman"/>
          <w:szCs w:val="28"/>
          <w:lang w:eastAsia="ru-RU"/>
        </w:rPr>
        <w:t xml:space="preserve"> (нітрогліцерин 1 % - 1,0 мл </w:t>
      </w:r>
      <w:r w:rsidRPr="00B55C77">
        <w:rPr>
          <w:rFonts w:eastAsia="Times New Roman"/>
          <w:szCs w:val="28"/>
          <w:lang w:eastAsia="ru-RU"/>
        </w:rPr>
        <w:t>внутрішньовенно);</w:t>
      </w:r>
      <w:r>
        <w:rPr>
          <w:rFonts w:eastAsia="Times New Roman"/>
          <w:szCs w:val="28"/>
          <w:lang w:eastAsia="ru-RU"/>
        </w:rPr>
        <w:t xml:space="preserve"> наркотичні анальгетики (морфін 1 мл </w:t>
      </w:r>
      <w:r w:rsidRPr="00B55C77">
        <w:rPr>
          <w:rFonts w:eastAsia="Times New Roman"/>
          <w:szCs w:val="28"/>
          <w:lang w:eastAsia="ru-RU"/>
        </w:rPr>
        <w:t>внутрішньовенно);</w:t>
      </w:r>
      <w:r>
        <w:rPr>
          <w:rFonts w:eastAsia="Times New Roman"/>
          <w:szCs w:val="28"/>
          <w:lang w:eastAsia="ru-RU"/>
        </w:rPr>
        <w:t xml:space="preserve"> антиагреганти - </w:t>
      </w:r>
      <w:r w:rsidRPr="00B55C77">
        <w:rPr>
          <w:rFonts w:eastAsia="Times New Roman"/>
          <w:szCs w:val="28"/>
          <w:lang w:eastAsia="ru-RU"/>
        </w:rPr>
        <w:t>ацетилсаліцилова кислота (</w:t>
      </w:r>
      <w:r>
        <w:rPr>
          <w:rFonts w:eastAsia="Times New Roman"/>
          <w:szCs w:val="28"/>
          <w:lang w:eastAsia="ru-RU"/>
        </w:rPr>
        <w:t>навантажувальна доза 250 мг, потім 125</w:t>
      </w:r>
      <w:r w:rsidRPr="00B55C77">
        <w:rPr>
          <w:rFonts w:eastAsia="Times New Roman"/>
          <w:szCs w:val="28"/>
          <w:lang w:eastAsia="ru-RU"/>
        </w:rPr>
        <w:t xml:space="preserve">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і </w:t>
      </w:r>
      <w:r>
        <w:rPr>
          <w:szCs w:val="28"/>
        </w:rPr>
        <w:t>інгібітор Р2Y</w:t>
      </w:r>
      <w:r w:rsidRPr="008F5375">
        <w:rPr>
          <w:szCs w:val="28"/>
          <w:vertAlign w:val="subscript"/>
        </w:rPr>
        <w:t>I2</w:t>
      </w:r>
      <w:r>
        <w:rPr>
          <w:szCs w:val="28"/>
        </w:rPr>
        <w:t xml:space="preserve"> рецепторів - клопідогрель </w:t>
      </w:r>
      <w:r w:rsidRPr="00B55C77">
        <w:rPr>
          <w:rFonts w:eastAsia="Times New Roman"/>
          <w:szCs w:val="28"/>
          <w:lang w:eastAsia="ru-RU"/>
        </w:rPr>
        <w:t>(</w:t>
      </w:r>
      <w:r>
        <w:rPr>
          <w:rFonts w:eastAsia="Times New Roman"/>
          <w:szCs w:val="28"/>
          <w:lang w:eastAsia="ru-RU"/>
        </w:rPr>
        <w:t xml:space="preserve">навантажувальна </w:t>
      </w:r>
      <w:r w:rsidRPr="00B55C77">
        <w:rPr>
          <w:rFonts w:eastAsia="Times New Roman"/>
          <w:szCs w:val="28"/>
          <w:lang w:eastAsia="ru-RU"/>
        </w:rPr>
        <w:t>доз</w:t>
      </w:r>
      <w:r>
        <w:rPr>
          <w:rFonts w:eastAsia="Times New Roman"/>
          <w:szCs w:val="28"/>
          <w:lang w:eastAsia="ru-RU"/>
        </w:rPr>
        <w:t>а</w:t>
      </w:r>
      <w:r w:rsidRPr="00B55C77">
        <w:rPr>
          <w:rFonts w:eastAsia="Times New Roman"/>
          <w:szCs w:val="28"/>
          <w:lang w:eastAsia="ru-RU"/>
        </w:rPr>
        <w:t xml:space="preserve"> 300 мг</w:t>
      </w:r>
      <w:r>
        <w:rPr>
          <w:rFonts w:eastAsia="Times New Roman"/>
          <w:szCs w:val="28"/>
          <w:lang w:eastAsia="ru-RU"/>
        </w:rPr>
        <w:t>, потім 75 внутрішньо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 xml:space="preserve">еноксапарин (0,5 мг/кг </w:t>
      </w:r>
      <w:r>
        <w:rPr>
          <w:rFonts w:eastAsia="Times New Roman"/>
          <w:szCs w:val="28"/>
          <w:lang w:eastAsia="ru-RU"/>
        </w:rPr>
        <w:t>2 рази на день підшкірно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бета-блокатори (метопролол до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статини (аторвастатин 8</w:t>
      </w:r>
      <w:r w:rsidRPr="00B55C77">
        <w:rPr>
          <w:rFonts w:eastAsia="Times New Roman"/>
          <w:szCs w:val="28"/>
          <w:lang w:eastAsia="ru-RU"/>
        </w:rPr>
        <w:t xml:space="preserve">0 мг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діуретики (фуросемід 60-80 мг внутрішньовенно); </w:t>
      </w:r>
      <w:r w:rsidRPr="00B55C77">
        <w:rPr>
          <w:rFonts w:eastAsia="Times New Roman"/>
          <w:szCs w:val="28"/>
          <w:lang w:eastAsia="ru-RU"/>
        </w:rPr>
        <w:t>блокатор</w:t>
      </w:r>
      <w:r>
        <w:rPr>
          <w:rFonts w:eastAsia="Times New Roman"/>
          <w:szCs w:val="28"/>
          <w:lang w:eastAsia="ru-RU"/>
        </w:rPr>
        <w:t>и</w:t>
      </w:r>
      <w:r w:rsidRPr="00B55C77">
        <w:rPr>
          <w:rFonts w:eastAsia="Times New Roman"/>
          <w:szCs w:val="28"/>
          <w:lang w:eastAsia="ru-RU"/>
        </w:rPr>
        <w:t xml:space="preserve"> протонної помпи (пантопразол</w:t>
      </w:r>
      <w:r>
        <w:rPr>
          <w:rFonts w:eastAsia="Times New Roman"/>
          <w:szCs w:val="28"/>
          <w:lang w:eastAsia="ru-RU"/>
        </w:rPr>
        <w:t xml:space="preserve"> 40 мг</w:t>
      </w:r>
      <w:r w:rsidRPr="00955376">
        <w:rPr>
          <w:rFonts w:eastAsia="Times New Roman"/>
          <w:szCs w:val="28"/>
          <w:lang w:eastAsia="ru-RU"/>
        </w:rPr>
        <w:t xml:space="preserve">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при </w:t>
      </w:r>
      <w:r w:rsidRPr="00B55C77">
        <w:rPr>
          <w:rFonts w:eastAsia="Times New Roman"/>
          <w:szCs w:val="28"/>
          <w:lang w:eastAsia="ru-RU"/>
        </w:rPr>
        <w:t>фракці</w:t>
      </w:r>
      <w:r>
        <w:rPr>
          <w:rFonts w:eastAsia="Times New Roman"/>
          <w:szCs w:val="28"/>
          <w:lang w:eastAsia="ru-RU"/>
        </w:rPr>
        <w:t>ї</w:t>
      </w:r>
      <w:r w:rsidRPr="00B55C77">
        <w:rPr>
          <w:rFonts w:eastAsia="Times New Roman"/>
          <w:szCs w:val="28"/>
          <w:lang w:eastAsia="ru-RU"/>
        </w:rPr>
        <w:t xml:space="preserve"> викиду ≤ 40% </w:t>
      </w:r>
      <w:r>
        <w:rPr>
          <w:szCs w:val="28"/>
        </w:rPr>
        <w:t xml:space="preserve">конкурентний антагоніст альдостерону </w:t>
      </w:r>
      <w:r w:rsidRPr="00B55C77">
        <w:rPr>
          <w:rFonts w:eastAsia="Times New Roman"/>
          <w:szCs w:val="28"/>
          <w:lang w:eastAsia="ru-RU"/>
        </w:rPr>
        <w:t>(спіронолактон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w:t>
      </w:r>
      <w:r>
        <w:rPr>
          <w:szCs w:val="28"/>
        </w:rPr>
        <w:t xml:space="preserve">Проведення первинного перкутанного втручання було критерієм виключення. У </w:t>
      </w:r>
      <w:r>
        <w:rPr>
          <w:iCs/>
          <w:szCs w:val="28"/>
        </w:rPr>
        <w:t>100% випадків хворі</w:t>
      </w:r>
      <w:r w:rsidRPr="00C93DFD">
        <w:rPr>
          <w:iCs/>
          <w:szCs w:val="28"/>
        </w:rPr>
        <w:t xml:space="preserve"> на ГІМ, залучен</w:t>
      </w:r>
      <w:r>
        <w:rPr>
          <w:iCs/>
          <w:szCs w:val="28"/>
        </w:rPr>
        <w:t>і</w:t>
      </w:r>
      <w:r w:rsidRPr="00C93DFD">
        <w:rPr>
          <w:iCs/>
          <w:szCs w:val="28"/>
        </w:rPr>
        <w:t xml:space="preserve"> </w:t>
      </w:r>
      <w:r>
        <w:rPr>
          <w:iCs/>
          <w:szCs w:val="28"/>
        </w:rPr>
        <w:t>до</w:t>
      </w:r>
      <w:r w:rsidRPr="00C93DFD">
        <w:rPr>
          <w:iCs/>
          <w:szCs w:val="28"/>
        </w:rPr>
        <w:t xml:space="preserve"> дослідження</w:t>
      </w:r>
      <w:r>
        <w:rPr>
          <w:iCs/>
          <w:szCs w:val="28"/>
        </w:rPr>
        <w:t>,</w:t>
      </w:r>
      <w:r w:rsidRPr="00C93DFD">
        <w:rPr>
          <w:iCs/>
          <w:szCs w:val="28"/>
        </w:rPr>
        <w:t xml:space="preserve"> були проінформовані лікуючим</w:t>
      </w:r>
      <w:r w:rsidRPr="005B4924">
        <w:rPr>
          <w:iCs/>
          <w:szCs w:val="28"/>
        </w:rPr>
        <w:t xml:space="preserve"> лікарем-кардіологом у спеціалізованому відділенні</w:t>
      </w:r>
      <w:r>
        <w:rPr>
          <w:iCs/>
          <w:szCs w:val="28"/>
        </w:rPr>
        <w:t xml:space="preserve"> про необхідність дотримуватися рекомендацій щодо прийому препаратів після закінчення стаціонарного лікування</w:t>
      </w:r>
      <w:r w:rsidRPr="005B4924">
        <w:rPr>
          <w:iCs/>
          <w:szCs w:val="28"/>
        </w:rPr>
        <w:t xml:space="preserve">, при </w:t>
      </w:r>
      <w:r>
        <w:rPr>
          <w:iCs/>
          <w:szCs w:val="28"/>
        </w:rPr>
        <w:t xml:space="preserve">детальному </w:t>
      </w:r>
      <w:r>
        <w:rPr>
          <w:iCs/>
          <w:szCs w:val="28"/>
        </w:rPr>
        <w:lastRenderedPageBreak/>
        <w:t>опитуванні виявлено, що</w:t>
      </w:r>
      <w:r w:rsidRPr="005B4924">
        <w:rPr>
          <w:iCs/>
          <w:szCs w:val="28"/>
        </w:rPr>
        <w:t xml:space="preserve"> 73% пацієнтів з ГІМ також отримали ґрунтовну інформацію шляхом самоосвіти з використанням інтернет-ресурсів. </w:t>
      </w:r>
    </w:p>
    <w:p w:rsidR="00F407BB" w:rsidRDefault="00F407BB" w:rsidP="00F407BB">
      <w:pPr>
        <w:tabs>
          <w:tab w:val="num" w:pos="330"/>
        </w:tabs>
        <w:spacing w:after="0" w:line="360" w:lineRule="auto"/>
        <w:ind w:firstLine="709"/>
        <w:jc w:val="both"/>
        <w:rPr>
          <w:iCs/>
          <w:szCs w:val="28"/>
        </w:rPr>
      </w:pPr>
      <w:r>
        <w:rPr>
          <w:iCs/>
          <w:szCs w:val="28"/>
        </w:rPr>
        <w:t xml:space="preserve">Наступним етапом дослідження був аналіз динаміки вітронектину та галектину-3, а також змін параметрів ЯЖ у хворих після перенесеного ІМ при ожирінні. </w:t>
      </w:r>
      <w:r w:rsidRPr="005A6FE3">
        <w:rPr>
          <w:iCs/>
          <w:szCs w:val="28"/>
        </w:rPr>
        <w:t>Термін спостереження</w:t>
      </w:r>
      <w:r>
        <w:rPr>
          <w:iCs/>
          <w:szCs w:val="28"/>
        </w:rPr>
        <w:t xml:space="preserve"> складав 6 місяців. </w:t>
      </w:r>
    </w:p>
    <w:p w:rsidR="00F407BB" w:rsidRDefault="00F407BB" w:rsidP="00F407BB">
      <w:pPr>
        <w:tabs>
          <w:tab w:val="num" w:pos="330"/>
        </w:tabs>
        <w:spacing w:after="0" w:line="360" w:lineRule="auto"/>
        <w:ind w:firstLine="709"/>
        <w:jc w:val="both"/>
        <w:rPr>
          <w:iCs/>
          <w:szCs w:val="28"/>
        </w:rPr>
      </w:pPr>
      <w:r>
        <w:rPr>
          <w:iCs/>
          <w:szCs w:val="28"/>
        </w:rPr>
        <w:t>У хворих після проведеного ПКВ рівень вітронектину вірогідно знизився на 24,4%, у той час коли в групі хворих після проведеного тромболізису зафіксовано дещо менш виразну динаміку даного параметра, а саме зниження на 13,9%.</w:t>
      </w:r>
    </w:p>
    <w:p w:rsidR="00F407BB" w:rsidRDefault="00F407BB" w:rsidP="00F407BB">
      <w:pPr>
        <w:tabs>
          <w:tab w:val="num" w:pos="330"/>
        </w:tabs>
        <w:spacing w:after="0" w:line="360" w:lineRule="auto"/>
        <w:ind w:firstLine="709"/>
        <w:jc w:val="both"/>
        <w:rPr>
          <w:iCs/>
          <w:szCs w:val="28"/>
        </w:rPr>
      </w:pPr>
      <w:r>
        <w:rPr>
          <w:iCs/>
          <w:szCs w:val="28"/>
        </w:rPr>
        <w:t xml:space="preserve">За показником фіброгенезу галектином-3 отримано подібні зміни. У хворих після ПКВ  рівень галектину-3 був достовірно менше порівняно з вихідними даними на 56,8%. У групі хворих після використання фібринолітичної терапії концентрація галектину-3 зменшилась на 33,8% при порівнянні з концентрацією до лікування. </w:t>
      </w:r>
    </w:p>
    <w:p w:rsidR="00F407BB" w:rsidRDefault="00F407BB" w:rsidP="00F407BB">
      <w:pPr>
        <w:tabs>
          <w:tab w:val="num" w:pos="330"/>
        </w:tabs>
        <w:spacing w:after="0" w:line="360" w:lineRule="auto"/>
        <w:ind w:firstLine="709"/>
        <w:jc w:val="both"/>
        <w:rPr>
          <w:iCs/>
          <w:szCs w:val="28"/>
        </w:rPr>
      </w:pPr>
      <w:r>
        <w:rPr>
          <w:iCs/>
          <w:szCs w:val="28"/>
        </w:rPr>
        <w:t xml:space="preserve">Наступним етапом у дизайні нашого дослідження була оцінка змін гуморальних параметрів, а саме галектину-3 та вітронектину залежно від обраної комбінації препаратів у складі ПАТ (АСК + тикагрелор або АСК + клопідогрель). У групі хворих на ГІМ та ожиріння, які отримували тикагрелор у поєднанні з АСК достовірно знизився рівень галектину-3 на 35,1% та концентрація вітронектину на 24,7%. Подібні зміни отримано при аналізі динаміки показників, що вивчаються, на тлі ПАТ із застосуванням клопідогрелю. Так концентрація вітронектину у групі хворих після перенесеного ІМ при ожирінні, які отримували ПАТ з залученням АСК та клопідогрелю, знизилася вірогідно на 23,04% (p&lt;0,05). Аналіз динаміки показника фіброгенезу галектину-3 на тлі комбінації АСК та клопідогрелю у хворих після перенесеного ІМ за наявності супутнього ожиріння продемонстрував позитивні зміни у вигляді достовірного зниження даного параметра на 19,2%. </w:t>
      </w:r>
    </w:p>
    <w:p w:rsidR="00F407BB" w:rsidRDefault="00F407BB" w:rsidP="00F407BB">
      <w:pPr>
        <w:tabs>
          <w:tab w:val="num" w:pos="330"/>
        </w:tabs>
        <w:spacing w:after="0" w:line="360" w:lineRule="auto"/>
        <w:ind w:firstLine="709"/>
        <w:jc w:val="both"/>
        <w:rPr>
          <w:iCs/>
          <w:szCs w:val="28"/>
        </w:rPr>
      </w:pPr>
      <w:r>
        <w:rPr>
          <w:iCs/>
          <w:szCs w:val="28"/>
        </w:rPr>
        <w:t>За</w:t>
      </w:r>
      <w:r w:rsidRPr="008C7ADC">
        <w:rPr>
          <w:iCs/>
          <w:szCs w:val="28"/>
        </w:rPr>
        <w:t xml:space="preserve">стосування комбінації </w:t>
      </w:r>
      <w:r>
        <w:rPr>
          <w:iCs/>
          <w:szCs w:val="28"/>
        </w:rPr>
        <w:t>АСК</w:t>
      </w:r>
      <w:r w:rsidRPr="008C7ADC">
        <w:rPr>
          <w:iCs/>
          <w:szCs w:val="28"/>
        </w:rPr>
        <w:t xml:space="preserve"> </w:t>
      </w:r>
      <w:r>
        <w:rPr>
          <w:iCs/>
          <w:szCs w:val="28"/>
        </w:rPr>
        <w:t>та тикагрелор</w:t>
      </w:r>
      <w:r w:rsidRPr="008C7ADC">
        <w:rPr>
          <w:iCs/>
          <w:szCs w:val="28"/>
        </w:rPr>
        <w:t xml:space="preserve">у у складі </w:t>
      </w:r>
      <w:r>
        <w:rPr>
          <w:iCs/>
          <w:szCs w:val="28"/>
        </w:rPr>
        <w:t>ПАТ</w:t>
      </w:r>
      <w:r w:rsidRPr="008C7ADC">
        <w:rPr>
          <w:iCs/>
          <w:szCs w:val="28"/>
        </w:rPr>
        <w:t xml:space="preserve"> у хворих з ожирінням після перенесеного </w:t>
      </w:r>
      <w:r>
        <w:rPr>
          <w:iCs/>
          <w:szCs w:val="28"/>
        </w:rPr>
        <w:t>ГІМ</w:t>
      </w:r>
      <w:r w:rsidRPr="008C7ADC">
        <w:rPr>
          <w:iCs/>
          <w:szCs w:val="28"/>
        </w:rPr>
        <w:t>, порівняно з використанням клопідогрелю, сприяє більш виразному зниженню маркеру адгезії вітронектину та</w:t>
      </w:r>
      <w:r>
        <w:rPr>
          <w:iCs/>
          <w:szCs w:val="28"/>
        </w:rPr>
        <w:t xml:space="preserve"> фактору </w:t>
      </w:r>
      <w:r>
        <w:rPr>
          <w:iCs/>
          <w:szCs w:val="28"/>
        </w:rPr>
        <w:lastRenderedPageBreak/>
        <w:t xml:space="preserve">фіброгенезу галектину-3 у хворих високого ризику згідно балів </w:t>
      </w:r>
      <w:r>
        <w:rPr>
          <w:iCs/>
          <w:szCs w:val="28"/>
          <w:lang w:val="en-US"/>
        </w:rPr>
        <w:t>GRACE</w:t>
      </w:r>
      <w:r>
        <w:rPr>
          <w:iCs/>
          <w:szCs w:val="28"/>
        </w:rPr>
        <w:t>, що свідчить про можливість віддавати перевагу при лікуванні даної когорти хворих комбінації АСК та тикагрелору.</w:t>
      </w:r>
    </w:p>
    <w:p w:rsidR="00F407BB" w:rsidRPr="001004DD" w:rsidRDefault="00F407BB" w:rsidP="00F407BB">
      <w:pPr>
        <w:tabs>
          <w:tab w:val="num" w:pos="330"/>
        </w:tabs>
        <w:spacing w:after="0" w:line="360" w:lineRule="auto"/>
        <w:ind w:firstLine="709"/>
        <w:jc w:val="both"/>
        <w:rPr>
          <w:iCs/>
          <w:szCs w:val="28"/>
        </w:rPr>
      </w:pPr>
      <w:r>
        <w:rPr>
          <w:iCs/>
          <w:szCs w:val="28"/>
        </w:rPr>
        <w:t xml:space="preserve">Наступним етапом дослідження був аналіз розвитку повторних кардіоваскулярних подій протягом 6-місячного терміну спостереження. </w:t>
      </w:r>
    </w:p>
    <w:p w:rsidR="00F407BB" w:rsidRDefault="00F407BB" w:rsidP="00F407BB">
      <w:pPr>
        <w:tabs>
          <w:tab w:val="num" w:pos="330"/>
        </w:tabs>
        <w:spacing w:after="0" w:line="360" w:lineRule="auto"/>
        <w:ind w:firstLine="709"/>
        <w:jc w:val="both"/>
        <w:rPr>
          <w:iCs/>
          <w:szCs w:val="28"/>
        </w:rPr>
      </w:pPr>
      <w:r>
        <w:rPr>
          <w:iCs/>
          <w:szCs w:val="28"/>
        </w:rPr>
        <w:t xml:space="preserve">Спостереження за хворими з ожирінням після перенесеного ІМ протягом 6 місяців показало, що у 28 осіб розвинувся повторний ІМ та/або НС, що складає 37,56% всіх хворих. Аналіз балів шкали </w:t>
      </w:r>
      <w:r>
        <w:rPr>
          <w:iCs/>
          <w:szCs w:val="28"/>
          <w:lang w:val="en-US"/>
        </w:rPr>
        <w:t>GRACE</w:t>
      </w:r>
      <w:r w:rsidRPr="006530BC">
        <w:rPr>
          <w:iCs/>
          <w:szCs w:val="28"/>
        </w:rPr>
        <w:t xml:space="preserve"> </w:t>
      </w:r>
      <w:r>
        <w:rPr>
          <w:iCs/>
          <w:szCs w:val="28"/>
        </w:rPr>
        <w:t xml:space="preserve">у когорті хворих з повторними серцево-судинними катастрофами виявив, що усі хворі увійшли до групи високого ризику (бали за шкалою </w:t>
      </w:r>
      <w:r>
        <w:rPr>
          <w:iCs/>
          <w:szCs w:val="28"/>
          <w:lang w:val="en-US"/>
        </w:rPr>
        <w:t>GRACE</w:t>
      </w:r>
      <w:r>
        <w:rPr>
          <w:iCs/>
          <w:szCs w:val="28"/>
        </w:rPr>
        <w:t xml:space="preserve"> перевищували 136 балів).</w:t>
      </w:r>
    </w:p>
    <w:p w:rsidR="00F407BB" w:rsidRDefault="00F407BB" w:rsidP="00F407BB">
      <w:pPr>
        <w:tabs>
          <w:tab w:val="num" w:pos="330"/>
        </w:tabs>
        <w:spacing w:after="0" w:line="360" w:lineRule="auto"/>
        <w:ind w:firstLine="709"/>
        <w:jc w:val="both"/>
        <w:rPr>
          <w:iCs/>
          <w:szCs w:val="28"/>
        </w:rPr>
      </w:pPr>
      <w:r>
        <w:rPr>
          <w:iCs/>
          <w:szCs w:val="28"/>
        </w:rPr>
        <w:t xml:space="preserve">З урахуванням того факту, що до ПАТ увійшли комбінації АСК з тикагрелором або клопідогрелем, ми дослідили розвиток кардіоваскулярних подій у хворих з ожирінням через півроку після перенесеного ГКС з елевацією сегмента </w:t>
      </w:r>
      <w:r>
        <w:rPr>
          <w:iCs/>
          <w:szCs w:val="28"/>
          <w:lang w:val="en-US"/>
        </w:rPr>
        <w:t>ST</w:t>
      </w:r>
      <w:r>
        <w:rPr>
          <w:iCs/>
          <w:szCs w:val="28"/>
        </w:rPr>
        <w:t>. У групі хворих, які отримували ПАТ із залученням АСК та тикагрелору в 11 осіб зафіксовано повторний ІМ та/або НС, що складає 37,56%. У той час, коли в групі хворих, що отримували ПАТ у комбінації АСК з клопідогрелем, повторні серцево-судинні катастрофи виявлено у 17 осіб, що складає 22,8%. Тобто у групі хворих, які отримували лікування з використанням АСК з тикагрелором у складі ПАТ спостерігається нижчій рівень розвитку повторних коронарних подій, ніж у групі пацієнтів, що отримували АСК з клопідогрелем.</w:t>
      </w:r>
    </w:p>
    <w:p w:rsidR="00F407BB" w:rsidRDefault="00F407BB" w:rsidP="00F407BB">
      <w:pPr>
        <w:tabs>
          <w:tab w:val="num" w:pos="330"/>
        </w:tabs>
        <w:spacing w:after="0" w:line="360" w:lineRule="auto"/>
        <w:ind w:firstLine="709"/>
        <w:jc w:val="both"/>
        <w:rPr>
          <w:iCs/>
          <w:szCs w:val="28"/>
        </w:rPr>
      </w:pPr>
      <w:r>
        <w:rPr>
          <w:iCs/>
          <w:szCs w:val="28"/>
        </w:rPr>
        <w:t xml:space="preserve">Таким чином хворим з ожирінням після перенесеного ІМ, що увійшли до групи високого ризику за шкалою </w:t>
      </w:r>
      <w:r>
        <w:rPr>
          <w:iCs/>
          <w:szCs w:val="28"/>
          <w:lang w:val="en-US"/>
        </w:rPr>
        <w:t>GRACE</w:t>
      </w:r>
      <w:r>
        <w:rPr>
          <w:iCs/>
          <w:szCs w:val="28"/>
        </w:rPr>
        <w:t>, доцільно проводити лікування з залученням комбінації АСК та тикагрелору внаслідок більш виразного зменшення ризику виникнення повторних серцево-судинних катастроф, порівняно з комбінацією АСК та клопідогрелю.</w:t>
      </w:r>
    </w:p>
    <w:p w:rsidR="00F407BB" w:rsidRDefault="00F407BB" w:rsidP="00F407BB">
      <w:pPr>
        <w:tabs>
          <w:tab w:val="num" w:pos="330"/>
        </w:tabs>
        <w:spacing w:after="0" w:line="360" w:lineRule="auto"/>
        <w:ind w:firstLine="709"/>
        <w:jc w:val="both"/>
        <w:rPr>
          <w:iCs/>
          <w:szCs w:val="28"/>
        </w:rPr>
      </w:pPr>
      <w:r>
        <w:rPr>
          <w:iCs/>
          <w:szCs w:val="28"/>
        </w:rPr>
        <w:t xml:space="preserve">Також до дизайну нашого дослідження входила оцінка динаміки ЯЖ. Дослідження параметрів ЯЖ у хворих з ожирінням після перенесеного ІМ в </w:t>
      </w:r>
      <w:r>
        <w:rPr>
          <w:iCs/>
          <w:szCs w:val="28"/>
        </w:rPr>
        <w:lastRenderedPageBreak/>
        <w:t>залежності</w:t>
      </w:r>
      <w:r w:rsidRPr="0090084F">
        <w:rPr>
          <w:iCs/>
          <w:szCs w:val="28"/>
        </w:rPr>
        <w:t xml:space="preserve"> </w:t>
      </w:r>
      <w:r>
        <w:rPr>
          <w:iCs/>
          <w:szCs w:val="28"/>
        </w:rPr>
        <w:t>від обраного метода реперфузії міокарда показало наявність змін. У хворих за наявності коморбідного ожиріння після перенесеного ІМ, яким було виконано ПКВ, спостерігалося вірогідне зростання балів за шкалою фізичного функціонування (PF). У хворих, яким було проведено фібринолітичну терапію, також виявлено покращення фізичного функціонування у вигляді достовірного збільшення балів. Подібні результати отримані за параметром фізично-рольового функціонування (RP), який вірогідно зростав за кількістю балів як в групі після ПКВ, так і після проведеної тромболітичної терапії (p&lt;0,01). У хворих після перенесеного ІМ, яким було проведено ПКВ або терапію фібринолітиками, покращилась життєва активність (</w:t>
      </w:r>
      <w:r>
        <w:rPr>
          <w:iCs/>
          <w:szCs w:val="28"/>
          <w:lang w:val="en-US"/>
        </w:rPr>
        <w:t>VT</w:t>
      </w:r>
      <w:r>
        <w:rPr>
          <w:iCs/>
          <w:szCs w:val="28"/>
        </w:rPr>
        <w:t>)</w:t>
      </w:r>
      <w:r w:rsidRPr="001004DD">
        <w:rPr>
          <w:iCs/>
          <w:szCs w:val="28"/>
        </w:rPr>
        <w:t xml:space="preserve"> (</w:t>
      </w:r>
      <w:r>
        <w:rPr>
          <w:iCs/>
          <w:szCs w:val="28"/>
          <w:lang w:val="en-US"/>
        </w:rPr>
        <w:t>p</w:t>
      </w:r>
      <w:r w:rsidRPr="001004DD">
        <w:rPr>
          <w:iCs/>
          <w:szCs w:val="28"/>
        </w:rPr>
        <w:t>&lt;0,01). Позитивн</w:t>
      </w:r>
      <w:r>
        <w:rPr>
          <w:iCs/>
          <w:szCs w:val="28"/>
        </w:rPr>
        <w:t>і</w:t>
      </w:r>
      <w:r w:rsidRPr="001004DD">
        <w:rPr>
          <w:iCs/>
          <w:szCs w:val="28"/>
        </w:rPr>
        <w:t xml:space="preserve"> зм</w:t>
      </w:r>
      <w:r>
        <w:rPr>
          <w:iCs/>
          <w:szCs w:val="28"/>
        </w:rPr>
        <w:t>і</w:t>
      </w:r>
      <w:r w:rsidRPr="001004DD">
        <w:rPr>
          <w:iCs/>
          <w:szCs w:val="28"/>
        </w:rPr>
        <w:t>ни виявлено за показник</w:t>
      </w:r>
      <w:r>
        <w:rPr>
          <w:iCs/>
          <w:szCs w:val="28"/>
        </w:rPr>
        <w:t>ом соціального функціонування, кількість балів якого зростала на 79,9% та 55,8% відповідно в групі пацієнтів після ПКВ та на тлі проведення тромболітичної терапії. Параметри, що відображають емоційний компонент  ЯЖ, а саме емоційно-рольове (</w:t>
      </w:r>
      <w:r>
        <w:rPr>
          <w:iCs/>
          <w:szCs w:val="28"/>
          <w:lang w:val="en-US"/>
        </w:rPr>
        <w:t>RE</w:t>
      </w:r>
      <w:r>
        <w:rPr>
          <w:iCs/>
          <w:szCs w:val="28"/>
        </w:rPr>
        <w:t>) та ментальне функціонування</w:t>
      </w:r>
      <w:r w:rsidRPr="001004DD">
        <w:rPr>
          <w:iCs/>
          <w:szCs w:val="28"/>
        </w:rPr>
        <w:t xml:space="preserve"> (</w:t>
      </w:r>
      <w:r>
        <w:rPr>
          <w:iCs/>
          <w:szCs w:val="28"/>
          <w:lang w:val="en-US"/>
        </w:rPr>
        <w:t>MH</w:t>
      </w:r>
      <w:r w:rsidRPr="001004DD">
        <w:rPr>
          <w:iCs/>
          <w:szCs w:val="28"/>
        </w:rPr>
        <w:t>)</w:t>
      </w:r>
      <w:r>
        <w:rPr>
          <w:iCs/>
          <w:szCs w:val="28"/>
        </w:rPr>
        <w:t>, покращилися як при проведенні ПКВ, так і після фібринолітичної терапії.</w:t>
      </w:r>
    </w:p>
    <w:p w:rsidR="00F407BB" w:rsidRPr="00B55ADC" w:rsidRDefault="00F407BB" w:rsidP="00F407BB">
      <w:pPr>
        <w:spacing w:after="0" w:line="360" w:lineRule="auto"/>
        <w:ind w:firstLine="708"/>
        <w:jc w:val="both"/>
        <w:rPr>
          <w:szCs w:val="28"/>
        </w:rPr>
      </w:pPr>
      <w:r w:rsidRPr="00B55ADC">
        <w:rPr>
          <w:szCs w:val="28"/>
        </w:rPr>
        <w:t xml:space="preserve">На сьогоднішній день пошук нових маркерів та факторів ризику виникнення небажаних кардіоваскулярних наслідків після перенесеного ГІМ у хворих, що мають коморбідні метаболічні порушення, а саме ожиріння, є ключовим завданням сучасної </w:t>
      </w:r>
      <w:r>
        <w:rPr>
          <w:szCs w:val="28"/>
        </w:rPr>
        <w:t>медицини</w:t>
      </w:r>
      <w:r w:rsidRPr="00B55ADC">
        <w:rPr>
          <w:szCs w:val="28"/>
        </w:rPr>
        <w:t xml:space="preserve">. </w:t>
      </w:r>
    </w:p>
    <w:p w:rsidR="00F407BB" w:rsidRPr="00B55ADC" w:rsidRDefault="00F407BB" w:rsidP="00F407BB">
      <w:pPr>
        <w:spacing w:after="0" w:line="360" w:lineRule="auto"/>
        <w:ind w:firstLine="708"/>
        <w:jc w:val="both"/>
        <w:rPr>
          <w:szCs w:val="28"/>
        </w:rPr>
      </w:pPr>
      <w:r w:rsidRPr="00B55ADC">
        <w:rPr>
          <w:szCs w:val="28"/>
        </w:rPr>
        <w:t>У нашому дослідженні під час 6-місячного терміну спостереження за хворими після перенесеного ГІМ на тлі супутнього ожиріння було виявлено, що 37,56% хворих мали в анамнезі повторні події у вигляді нестабільної стенокардії (НС) та/або повторного ГІМ. У даній виборці НС було зіфіксовано у 43,18%, а повторний ГІМ – у 56,82% хворих. Крім того, рівень ІМТ перевищував 30 кг/м</w:t>
      </w:r>
      <w:r w:rsidRPr="00B55ADC">
        <w:rPr>
          <w:szCs w:val="28"/>
          <w:vertAlign w:val="superscript"/>
        </w:rPr>
        <w:t xml:space="preserve">2 </w:t>
      </w:r>
      <w:r w:rsidRPr="00B55ADC">
        <w:rPr>
          <w:szCs w:val="28"/>
        </w:rPr>
        <w:t xml:space="preserve">у всіх хворих, креатинін сироватки крові коливався в межах від 57 мкмоль/л до 276 мкмоль/л, розрахунок за шкалою </w:t>
      </w:r>
      <w:r w:rsidRPr="00B55ADC">
        <w:rPr>
          <w:szCs w:val="28"/>
          <w:lang w:val="en-US"/>
        </w:rPr>
        <w:t>GRACE</w:t>
      </w:r>
      <w:r>
        <w:rPr>
          <w:szCs w:val="28"/>
        </w:rPr>
        <w:t xml:space="preserve"> </w:t>
      </w:r>
      <w:r w:rsidRPr="00B55ADC">
        <w:rPr>
          <w:szCs w:val="28"/>
        </w:rPr>
        <w:t xml:space="preserve">перевищував 127 балів та становив у середньому </w:t>
      </w:r>
      <w:r w:rsidRPr="00B55ADC">
        <w:rPr>
          <w:szCs w:val="28"/>
        </w:rPr>
        <w:lastRenderedPageBreak/>
        <w:t>136,7±4,94 балів, а галектин-3 коливався в межах від 18,56 нг/мл до 33,74 нг/мл та складав в середньому 23,83±5,27 нг/мл.</w:t>
      </w:r>
    </w:p>
    <w:p w:rsidR="00F407BB" w:rsidRPr="00B55ADC" w:rsidRDefault="00F407BB" w:rsidP="00F407BB">
      <w:pPr>
        <w:tabs>
          <w:tab w:val="left" w:pos="8364"/>
        </w:tabs>
        <w:spacing w:after="0" w:line="360" w:lineRule="auto"/>
        <w:ind w:firstLine="708"/>
        <w:jc w:val="both"/>
        <w:rPr>
          <w:szCs w:val="28"/>
        </w:rPr>
      </w:pPr>
      <w:r w:rsidRPr="00B55ADC">
        <w:rPr>
          <w:szCs w:val="28"/>
        </w:rPr>
        <w:t xml:space="preserve">Згідно дизайну дослідження, наступний етап був присвячений аналізу предикторних властивостей показників. За допомогою </w:t>
      </w:r>
      <w:r w:rsidRPr="00B55ADC">
        <w:rPr>
          <w:szCs w:val="28"/>
          <w:lang w:val="en-US"/>
        </w:rPr>
        <w:t>ROC</w:t>
      </w:r>
      <w:r w:rsidRPr="00B55ADC">
        <w:rPr>
          <w:szCs w:val="28"/>
        </w:rPr>
        <w:t xml:space="preserve">-аналізу встановлено прогностичну цінність ОТ, ІМТ та креатиніну щодо повторних кардіоваскулярних подій у хворих після перенесеного ГІМ на тлі супутнього ожиріння протягом півроку спостереження. За даними </w:t>
      </w:r>
      <w:r w:rsidRPr="00B55ADC">
        <w:rPr>
          <w:szCs w:val="28"/>
          <w:lang w:val="en-US"/>
        </w:rPr>
        <w:t>ROC</w:t>
      </w:r>
      <w:r w:rsidRPr="00B55ADC">
        <w:rPr>
          <w:szCs w:val="28"/>
        </w:rPr>
        <w:t>-кривої ОТ виявив прогностичну інформативність при його рівні більш ніж 130 см</w:t>
      </w:r>
      <w:r>
        <w:rPr>
          <w:szCs w:val="28"/>
        </w:rPr>
        <w:t xml:space="preserve">. </w:t>
      </w:r>
      <w:r w:rsidRPr="00B55ADC">
        <w:rPr>
          <w:szCs w:val="28"/>
        </w:rPr>
        <w:t>Визначена висока специфічність параметра - 96%, проте чутливість склала лише 33,3%, що деяким чином знижує його цінність. Площа під кривою (</w:t>
      </w:r>
      <w:r w:rsidRPr="00B55ADC">
        <w:rPr>
          <w:szCs w:val="28"/>
          <w:lang w:val="en-US"/>
        </w:rPr>
        <w:t>AUC</w:t>
      </w:r>
      <w:r w:rsidRPr="00B55ADC">
        <w:rPr>
          <w:szCs w:val="28"/>
        </w:rPr>
        <w:t xml:space="preserve">) склала 0,65. </w:t>
      </w:r>
    </w:p>
    <w:p w:rsidR="00F407BB" w:rsidRPr="000A2A14" w:rsidRDefault="00F407BB" w:rsidP="00F407BB">
      <w:pPr>
        <w:spacing w:after="0" w:line="360" w:lineRule="auto"/>
        <w:ind w:firstLine="708"/>
        <w:jc w:val="both"/>
        <w:rPr>
          <w:szCs w:val="28"/>
        </w:rPr>
      </w:pPr>
      <w:r w:rsidRPr="00B55ADC">
        <w:rPr>
          <w:szCs w:val="28"/>
        </w:rPr>
        <w:t>Що стосується рівня ІМТ</w:t>
      </w:r>
      <w:r w:rsidRPr="00D57D17">
        <w:rPr>
          <w:szCs w:val="28"/>
        </w:rPr>
        <w:t xml:space="preserve">, </w:t>
      </w:r>
      <w:r w:rsidRPr="00B55ADC">
        <w:rPr>
          <w:szCs w:val="28"/>
        </w:rPr>
        <w:t xml:space="preserve">то даний параметр володів кращою прогностичною цінністю за рахунок чутливості 66,7% та специфічності 79,2%, </w:t>
      </w:r>
      <w:r w:rsidRPr="00B55ADC">
        <w:rPr>
          <w:szCs w:val="28"/>
          <w:lang w:val="en-US"/>
        </w:rPr>
        <w:t>AUC</w:t>
      </w:r>
      <w:r w:rsidRPr="00D57D17">
        <w:rPr>
          <w:szCs w:val="28"/>
        </w:rPr>
        <w:t xml:space="preserve"> </w:t>
      </w:r>
      <w:r w:rsidRPr="00B55ADC">
        <w:rPr>
          <w:szCs w:val="28"/>
        </w:rPr>
        <w:t xml:space="preserve">склала 0,704. Дані </w:t>
      </w:r>
      <w:r w:rsidRPr="00B55ADC">
        <w:rPr>
          <w:szCs w:val="28"/>
          <w:lang w:val="en-US"/>
        </w:rPr>
        <w:t>ROC</w:t>
      </w:r>
      <w:r w:rsidRPr="00B55ADC">
        <w:rPr>
          <w:szCs w:val="28"/>
        </w:rPr>
        <w:t>-аналізу показали, що при ІМТ&gt;34,13кг/м</w:t>
      </w:r>
      <w:r w:rsidRPr="00B55ADC">
        <w:rPr>
          <w:szCs w:val="28"/>
          <w:vertAlign w:val="superscript"/>
        </w:rPr>
        <w:t xml:space="preserve">2 </w:t>
      </w:r>
      <w:r w:rsidRPr="00B55ADC">
        <w:rPr>
          <w:szCs w:val="28"/>
        </w:rPr>
        <w:t>можна прогнозувати кардіоваскулярні події протягом 6 місяців після перенесеного ГІМ у хворих, що мають супутнє ожиріння</w:t>
      </w:r>
      <w:r>
        <w:rPr>
          <w:szCs w:val="28"/>
        </w:rPr>
        <w:t>.</w:t>
      </w:r>
      <w:r w:rsidRPr="000A2A14">
        <w:rPr>
          <w:szCs w:val="28"/>
        </w:rPr>
        <w:t xml:space="preserve"> </w:t>
      </w:r>
    </w:p>
    <w:p w:rsidR="00F407BB" w:rsidRPr="00B55ADC" w:rsidRDefault="00F407BB" w:rsidP="00F407BB">
      <w:pPr>
        <w:spacing w:after="0" w:line="360" w:lineRule="auto"/>
        <w:ind w:firstLine="708"/>
        <w:jc w:val="both"/>
        <w:rPr>
          <w:b/>
          <w:szCs w:val="28"/>
        </w:rPr>
      </w:pPr>
      <w:r w:rsidRPr="00B55ADC">
        <w:rPr>
          <w:szCs w:val="28"/>
        </w:rPr>
        <w:t xml:space="preserve">Дещо нижчим був показник специфічності креатиніну – 49,3%, але чутливість показала достатньо високий рівень у вигляді 75% у відношенні розвитку повторного ГІМ та/або НС протягом півроку після ГІМ, </w:t>
      </w:r>
      <w:r w:rsidRPr="00B55ADC">
        <w:rPr>
          <w:szCs w:val="28"/>
          <w:lang w:val="en-US"/>
        </w:rPr>
        <w:t>AUC</w:t>
      </w:r>
      <w:r w:rsidRPr="00B55ADC">
        <w:rPr>
          <w:szCs w:val="28"/>
        </w:rPr>
        <w:t xml:space="preserve"> склала 0,63. За даними </w:t>
      </w:r>
      <w:r w:rsidRPr="00B55ADC">
        <w:rPr>
          <w:szCs w:val="28"/>
          <w:lang w:val="en-US"/>
        </w:rPr>
        <w:t>ROC</w:t>
      </w:r>
      <w:r w:rsidRPr="00B55ADC">
        <w:rPr>
          <w:szCs w:val="28"/>
        </w:rPr>
        <w:t>-кривої креатинін виявив предикторні властивості при рівні &gt;85 мкмоль/</w:t>
      </w:r>
      <w:r w:rsidRPr="0039204D">
        <w:rPr>
          <w:szCs w:val="28"/>
        </w:rPr>
        <w:t>л.</w:t>
      </w:r>
    </w:p>
    <w:p w:rsidR="00F407BB" w:rsidRDefault="00F407BB" w:rsidP="00F407BB">
      <w:pPr>
        <w:spacing w:after="0" w:line="360" w:lineRule="auto"/>
        <w:jc w:val="both"/>
        <w:rPr>
          <w:szCs w:val="28"/>
        </w:rPr>
      </w:pPr>
      <w:r w:rsidRPr="00B55ADC">
        <w:rPr>
          <w:szCs w:val="28"/>
        </w:rPr>
        <w:tab/>
        <w:t xml:space="preserve">Дослідження виявило, що додавання до шкали </w:t>
      </w:r>
      <w:r w:rsidRPr="00B55ADC">
        <w:rPr>
          <w:szCs w:val="28"/>
          <w:lang w:val="en-US"/>
        </w:rPr>
        <w:t>GRACE</w:t>
      </w:r>
      <w:r w:rsidRPr="00B55ADC">
        <w:rPr>
          <w:szCs w:val="28"/>
        </w:rPr>
        <w:t xml:space="preserve"> показників концентрації галектину-3 </w:t>
      </w:r>
      <w:r>
        <w:rPr>
          <w:szCs w:val="28"/>
        </w:rPr>
        <w:t>протягом першої доби</w:t>
      </w:r>
      <w:r w:rsidRPr="00B55ADC">
        <w:rPr>
          <w:szCs w:val="28"/>
        </w:rPr>
        <w:t xml:space="preserve"> захворювання на ГІМ у хворих з ожирінням призвело до можливості прогнозувати високий ризик повторної коронарної події протягом 6-місячного терміну спостереження з чутливістю 94,4% та специфічністю 78,9% при рівні галектину-3 </w:t>
      </w:r>
      <w:r w:rsidRPr="00A548E2">
        <w:rPr>
          <w:szCs w:val="28"/>
        </w:rPr>
        <w:t>&gt;</w:t>
      </w:r>
      <w:r>
        <w:rPr>
          <w:szCs w:val="28"/>
        </w:rPr>
        <w:t>12,83 </w:t>
      </w:r>
      <w:r w:rsidRPr="00B55ADC">
        <w:rPr>
          <w:szCs w:val="28"/>
        </w:rPr>
        <w:t xml:space="preserve">нг/мл, </w:t>
      </w:r>
      <w:r w:rsidRPr="00B55ADC">
        <w:rPr>
          <w:szCs w:val="28"/>
          <w:lang w:val="en-US"/>
        </w:rPr>
        <w:t>AUC</w:t>
      </w:r>
      <w:r w:rsidRPr="00B55ADC">
        <w:rPr>
          <w:szCs w:val="28"/>
        </w:rPr>
        <w:t xml:space="preserve"> склала 0,83</w:t>
      </w:r>
      <w:r>
        <w:rPr>
          <w:szCs w:val="28"/>
        </w:rPr>
        <w:t xml:space="preserve">. </w:t>
      </w:r>
    </w:p>
    <w:p w:rsidR="00F407BB" w:rsidRDefault="00F407BB" w:rsidP="00F407BB">
      <w:pPr>
        <w:spacing w:after="0" w:line="360" w:lineRule="auto"/>
        <w:ind w:firstLine="708"/>
        <w:jc w:val="both"/>
        <w:rPr>
          <w:szCs w:val="28"/>
        </w:rPr>
      </w:pPr>
      <w:r>
        <w:rPr>
          <w:szCs w:val="28"/>
        </w:rPr>
        <w:t xml:space="preserve">За результатами дослідження Цілуйко В.Й. та співав. </w:t>
      </w:r>
      <w:r w:rsidRPr="00116718">
        <w:rPr>
          <w:szCs w:val="28"/>
        </w:rPr>
        <w:t>[</w:t>
      </w:r>
      <w:r>
        <w:rPr>
          <w:szCs w:val="28"/>
        </w:rPr>
        <w:t>147</w:t>
      </w:r>
      <w:r w:rsidRPr="00116718">
        <w:rPr>
          <w:szCs w:val="28"/>
        </w:rPr>
        <w:t>]</w:t>
      </w:r>
      <w:r>
        <w:rPr>
          <w:szCs w:val="28"/>
        </w:rPr>
        <w:t xml:space="preserve">, у хворих з інфарктом міокарда правого шлуночка визначений на другу добу рівень концентрації галектину-3 розцінювався як незалежний фактор ризику розвитку </w:t>
      </w:r>
      <w:r>
        <w:rPr>
          <w:szCs w:val="28"/>
        </w:rPr>
        <w:lastRenderedPageBreak/>
        <w:t xml:space="preserve">нестабільної стенокардії, повторного ІМ та серцево-судинної смертності в наступні 30 місяців після коронарної події. </w:t>
      </w:r>
    </w:p>
    <w:p w:rsidR="00F407BB" w:rsidRPr="00E42D1C" w:rsidRDefault="00F407BB" w:rsidP="00F407BB">
      <w:pPr>
        <w:spacing w:after="0" w:line="360" w:lineRule="auto"/>
        <w:ind w:firstLine="708"/>
        <w:jc w:val="both"/>
        <w:rPr>
          <w:szCs w:val="28"/>
        </w:rPr>
      </w:pPr>
      <w:r>
        <w:rPr>
          <w:szCs w:val="28"/>
        </w:rPr>
        <w:t xml:space="preserve">Найкращі результати щодо прогнозу повторних кардіоваскулярних подій у вигляді НС та/або ГІМ мав вітронектин, який при рівні </w:t>
      </w:r>
      <w:r w:rsidRPr="00E42D1C">
        <w:rPr>
          <w:szCs w:val="28"/>
        </w:rPr>
        <w:t>&gt;</w:t>
      </w:r>
      <w:r>
        <w:rPr>
          <w:szCs w:val="28"/>
        </w:rPr>
        <w:t>283,27 нг/мл володів як високою специфічністю (96%), так і чутливістю (86,7%), А</w:t>
      </w:r>
      <w:r>
        <w:rPr>
          <w:szCs w:val="28"/>
          <w:lang w:val="en-US"/>
        </w:rPr>
        <w:t>UC</w:t>
      </w:r>
      <w:r>
        <w:rPr>
          <w:szCs w:val="28"/>
        </w:rPr>
        <w:t xml:space="preserve"> склала 0,96.</w:t>
      </w:r>
    </w:p>
    <w:p w:rsidR="00F407BB" w:rsidRPr="000A2A14" w:rsidRDefault="00F407BB" w:rsidP="00F407BB">
      <w:pPr>
        <w:tabs>
          <w:tab w:val="num" w:pos="330"/>
        </w:tabs>
        <w:spacing w:after="0" w:line="360" w:lineRule="auto"/>
        <w:ind w:firstLine="709"/>
        <w:jc w:val="both"/>
        <w:rPr>
          <w:szCs w:val="28"/>
        </w:rPr>
      </w:pPr>
      <w:r>
        <w:rPr>
          <w:szCs w:val="28"/>
        </w:rPr>
        <w:tab/>
        <w:t>Таким чином, за результатами нашого дослідження в</w:t>
      </w:r>
      <w:r w:rsidRPr="00B55ADC">
        <w:rPr>
          <w:szCs w:val="28"/>
        </w:rPr>
        <w:t>становлено стійкий зв’язок між антропометричними показниками, а саме індексом маси тіла та об’ємом талії, та</w:t>
      </w:r>
      <w:r>
        <w:rPr>
          <w:szCs w:val="28"/>
        </w:rPr>
        <w:t xml:space="preserve"> </w:t>
      </w:r>
      <w:r w:rsidRPr="00B55ADC">
        <w:rPr>
          <w:szCs w:val="28"/>
        </w:rPr>
        <w:t xml:space="preserve">виникненням повторних кардіоваскулярних подій під час 6-місячного терміну спостереження за хворими на Q-позитивний інфаркт міокарда на тлі ожиріння. Функціональний стан нирок, визначений за допомогою креатинінемії, та галектинемія показали предикторні властивості щодо розвитку повторного </w:t>
      </w:r>
      <w:r>
        <w:rPr>
          <w:szCs w:val="28"/>
        </w:rPr>
        <w:t>ІМ та/або нестабільної стенокардії</w:t>
      </w:r>
      <w:r w:rsidRPr="00B55ADC">
        <w:rPr>
          <w:szCs w:val="28"/>
        </w:rPr>
        <w:t xml:space="preserve"> через 6 місяців після перенесеного </w:t>
      </w:r>
      <w:r>
        <w:rPr>
          <w:szCs w:val="28"/>
        </w:rPr>
        <w:t>ГКС</w:t>
      </w:r>
      <w:r w:rsidRPr="00B55ADC">
        <w:rPr>
          <w:szCs w:val="28"/>
        </w:rPr>
        <w:t xml:space="preserve"> з елевацією сегмента </w:t>
      </w:r>
      <w:r w:rsidRPr="00B55ADC">
        <w:rPr>
          <w:szCs w:val="28"/>
          <w:lang w:val="en-US"/>
        </w:rPr>
        <w:t>ST</w:t>
      </w:r>
      <w:r w:rsidRPr="00B55ADC">
        <w:rPr>
          <w:szCs w:val="28"/>
        </w:rPr>
        <w:t>.</w:t>
      </w:r>
      <w:r>
        <w:rPr>
          <w:szCs w:val="28"/>
        </w:rPr>
        <w:t xml:space="preserve"> </w:t>
      </w:r>
      <w:r w:rsidRPr="00B55ADC">
        <w:rPr>
          <w:szCs w:val="28"/>
        </w:rPr>
        <w:t xml:space="preserve">За допомогою </w:t>
      </w:r>
      <w:r w:rsidRPr="00B55ADC">
        <w:rPr>
          <w:szCs w:val="28"/>
          <w:lang w:val="en-US"/>
        </w:rPr>
        <w:t>ROC</w:t>
      </w:r>
      <w:r w:rsidRPr="00B55ADC">
        <w:rPr>
          <w:szCs w:val="28"/>
        </w:rPr>
        <w:t xml:space="preserve">-аналізу виявлено, що при рівні креатиніну сироватки крові &gt;85 мкмоль/л, </w:t>
      </w:r>
      <w:r>
        <w:rPr>
          <w:szCs w:val="28"/>
        </w:rPr>
        <w:t xml:space="preserve"> </w:t>
      </w:r>
      <w:r w:rsidRPr="00B55ADC">
        <w:rPr>
          <w:szCs w:val="28"/>
        </w:rPr>
        <w:t>галектину</w:t>
      </w:r>
      <w:r>
        <w:rPr>
          <w:szCs w:val="28"/>
        </w:rPr>
        <w:t> - 3</w:t>
      </w:r>
      <w:r w:rsidRPr="00B55ADC">
        <w:rPr>
          <w:szCs w:val="28"/>
        </w:rPr>
        <w:t xml:space="preserve">&gt;12,83 нг/мл, </w:t>
      </w:r>
      <w:r>
        <w:rPr>
          <w:szCs w:val="28"/>
        </w:rPr>
        <w:t>ІМТ</w:t>
      </w:r>
      <w:r w:rsidRPr="00B55ADC">
        <w:rPr>
          <w:szCs w:val="28"/>
        </w:rPr>
        <w:t>&gt;34,13 кг/м</w:t>
      </w:r>
      <w:r w:rsidRPr="00B55ADC">
        <w:rPr>
          <w:szCs w:val="28"/>
          <w:vertAlign w:val="superscript"/>
        </w:rPr>
        <w:t xml:space="preserve">2 </w:t>
      </w:r>
      <w:r w:rsidRPr="00B55ADC">
        <w:rPr>
          <w:szCs w:val="28"/>
        </w:rPr>
        <w:t xml:space="preserve">та </w:t>
      </w:r>
      <w:r>
        <w:rPr>
          <w:szCs w:val="28"/>
        </w:rPr>
        <w:t>ОТ</w:t>
      </w:r>
      <w:r w:rsidRPr="00B55ADC">
        <w:rPr>
          <w:szCs w:val="28"/>
        </w:rPr>
        <w:t>&gt;130 см</w:t>
      </w:r>
      <w:r>
        <w:rPr>
          <w:szCs w:val="28"/>
        </w:rPr>
        <w:t xml:space="preserve"> </w:t>
      </w:r>
      <w:r w:rsidRPr="00B55ADC">
        <w:rPr>
          <w:szCs w:val="28"/>
        </w:rPr>
        <w:t xml:space="preserve">можна прогнозувати кардіоваскулярні події протягом півроку після перенесеного </w:t>
      </w:r>
      <w:r>
        <w:rPr>
          <w:szCs w:val="28"/>
        </w:rPr>
        <w:t>ГІМ</w:t>
      </w:r>
      <w:r w:rsidRPr="00B55ADC">
        <w:rPr>
          <w:szCs w:val="28"/>
        </w:rPr>
        <w:t xml:space="preserve"> у хво</w:t>
      </w:r>
      <w:r>
        <w:rPr>
          <w:szCs w:val="28"/>
        </w:rPr>
        <w:t>рих, що мають супутнє ожиріння.</w:t>
      </w:r>
    </w:p>
    <w:p w:rsidR="00F407BB" w:rsidRDefault="00F407BB" w:rsidP="00F407BB">
      <w:pPr>
        <w:autoSpaceDE w:val="0"/>
        <w:autoSpaceDN w:val="0"/>
        <w:adjustRightInd w:val="0"/>
        <w:spacing w:after="0" w:line="360" w:lineRule="auto"/>
        <w:ind w:firstLine="708"/>
        <w:jc w:val="both"/>
        <w:rPr>
          <w:iCs/>
          <w:szCs w:val="28"/>
        </w:rPr>
      </w:pPr>
      <w:r w:rsidRPr="00BB408E">
        <w:rPr>
          <w:iCs/>
          <w:szCs w:val="28"/>
        </w:rPr>
        <w:t xml:space="preserve">Як приклад використання предикторних властивостей </w:t>
      </w:r>
      <w:r w:rsidRPr="000A2A14">
        <w:rPr>
          <w:iCs/>
          <w:szCs w:val="28"/>
        </w:rPr>
        <w:t>в</w:t>
      </w:r>
      <w:r>
        <w:rPr>
          <w:iCs/>
          <w:szCs w:val="28"/>
        </w:rPr>
        <w:t>і</w:t>
      </w:r>
      <w:r w:rsidRPr="000A2A14">
        <w:rPr>
          <w:iCs/>
          <w:szCs w:val="28"/>
        </w:rPr>
        <w:t>тронектин</w:t>
      </w:r>
      <w:r>
        <w:rPr>
          <w:iCs/>
          <w:szCs w:val="28"/>
        </w:rPr>
        <w:t>у</w:t>
      </w:r>
      <w:r w:rsidRPr="00BB408E">
        <w:rPr>
          <w:iCs/>
          <w:szCs w:val="28"/>
        </w:rPr>
        <w:t xml:space="preserve"> наводимо витяг з історії хвороби № </w:t>
      </w:r>
      <w:r>
        <w:rPr>
          <w:iCs/>
          <w:szCs w:val="28"/>
        </w:rPr>
        <w:t xml:space="preserve">2410. </w:t>
      </w:r>
      <w:r w:rsidRPr="000A2A14">
        <w:rPr>
          <w:iCs/>
          <w:szCs w:val="28"/>
        </w:rPr>
        <w:t>Хвор</w:t>
      </w:r>
      <w:r>
        <w:rPr>
          <w:iCs/>
          <w:szCs w:val="28"/>
        </w:rPr>
        <w:t>а К</w:t>
      </w:r>
      <w:r w:rsidRPr="000A2A14">
        <w:rPr>
          <w:iCs/>
          <w:szCs w:val="28"/>
        </w:rPr>
        <w:t xml:space="preserve">., </w:t>
      </w:r>
      <w:r>
        <w:rPr>
          <w:iCs/>
          <w:szCs w:val="28"/>
        </w:rPr>
        <w:t>67</w:t>
      </w:r>
      <w:r w:rsidRPr="000A2A14">
        <w:rPr>
          <w:iCs/>
          <w:szCs w:val="28"/>
        </w:rPr>
        <w:t xml:space="preserve"> років, перебува</w:t>
      </w:r>
      <w:r>
        <w:rPr>
          <w:iCs/>
          <w:szCs w:val="28"/>
        </w:rPr>
        <w:t>ла</w:t>
      </w:r>
      <w:r w:rsidRPr="000A2A14">
        <w:rPr>
          <w:iCs/>
          <w:szCs w:val="28"/>
        </w:rPr>
        <w:t xml:space="preserve">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 xml:space="preserve">з </w:t>
      </w:r>
      <w:r w:rsidRPr="000A2A14">
        <w:rPr>
          <w:szCs w:val="28"/>
          <w:lang w:eastAsia="ru-RU"/>
        </w:rPr>
        <w:t>02.04.2016</w:t>
      </w:r>
      <w:r>
        <w:rPr>
          <w:szCs w:val="28"/>
          <w:lang w:eastAsia="ru-RU"/>
        </w:rPr>
        <w:t>р</w:t>
      </w:r>
      <w:r w:rsidRPr="000A2A14">
        <w:rPr>
          <w:szCs w:val="28"/>
          <w:lang w:eastAsia="ru-RU"/>
        </w:rPr>
        <w:t>. по 12.04.2016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(01.04.16) повторн</w:t>
      </w:r>
      <w:r>
        <w:rPr>
          <w:iCs/>
          <w:szCs w:val="28"/>
        </w:rPr>
        <w:t>и</w:t>
      </w:r>
      <w:r w:rsidRPr="00965008">
        <w:rPr>
          <w:iCs/>
          <w:szCs w:val="28"/>
        </w:rPr>
        <w:t>й (2) задн</w:t>
      </w:r>
      <w:r>
        <w:rPr>
          <w:iCs/>
          <w:szCs w:val="28"/>
        </w:rPr>
        <w:t>і</w:t>
      </w:r>
      <w:r w:rsidRPr="00965008">
        <w:rPr>
          <w:iCs/>
          <w:szCs w:val="28"/>
        </w:rPr>
        <w:t>й 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w:t>
      </w:r>
      <w:r w:rsidRPr="00965008">
        <w:rPr>
          <w:iCs/>
          <w:szCs w:val="28"/>
        </w:rPr>
        <w:t>окарда, пост</w:t>
      </w:r>
      <w:r>
        <w:rPr>
          <w:iCs/>
          <w:szCs w:val="28"/>
        </w:rPr>
        <w:t>і</w:t>
      </w:r>
      <w:r w:rsidRPr="00965008">
        <w:rPr>
          <w:iCs/>
          <w:szCs w:val="28"/>
        </w:rPr>
        <w:t>нфарктн</w:t>
      </w:r>
      <w:r>
        <w:rPr>
          <w:iCs/>
          <w:szCs w:val="28"/>
        </w:rPr>
        <w:t>и</w:t>
      </w:r>
      <w:r w:rsidRPr="00965008">
        <w:rPr>
          <w:iCs/>
          <w:szCs w:val="28"/>
        </w:rPr>
        <w:t xml:space="preserve">й (2013) </w:t>
      </w:r>
      <w:r>
        <w:rPr>
          <w:iCs/>
          <w:szCs w:val="28"/>
        </w:rPr>
        <w:t>і</w:t>
      </w:r>
      <w:r w:rsidRPr="00965008">
        <w:rPr>
          <w:iCs/>
          <w:szCs w:val="28"/>
        </w:rPr>
        <w:t xml:space="preserve"> атеросклеротич</w:t>
      </w:r>
      <w:r>
        <w:rPr>
          <w:iCs/>
          <w:szCs w:val="28"/>
        </w:rPr>
        <w:t>н</w:t>
      </w:r>
      <w:r w:rsidRPr="00965008">
        <w:rPr>
          <w:iCs/>
          <w:szCs w:val="28"/>
        </w:rPr>
        <w:t>ий кард</w:t>
      </w:r>
      <w:r>
        <w:rPr>
          <w:iCs/>
          <w:szCs w:val="28"/>
        </w:rPr>
        <w:t>і</w:t>
      </w:r>
      <w:r w:rsidRPr="00965008">
        <w:rPr>
          <w:iCs/>
          <w:szCs w:val="28"/>
        </w:rPr>
        <w:t>осклероз, атеросклероз аорт</w:t>
      </w:r>
      <w:r>
        <w:rPr>
          <w:iCs/>
          <w:szCs w:val="28"/>
        </w:rPr>
        <w:t>и</w:t>
      </w:r>
      <w:r w:rsidRPr="00965008">
        <w:rPr>
          <w:iCs/>
          <w:szCs w:val="28"/>
        </w:rPr>
        <w:t xml:space="preserve">, </w:t>
      </w:r>
      <w:r>
        <w:rPr>
          <w:iCs/>
          <w:szCs w:val="28"/>
        </w:rPr>
        <w:t>вінцевих артерій</w:t>
      </w:r>
      <w:r w:rsidRPr="00965008">
        <w:rPr>
          <w:iCs/>
          <w:szCs w:val="28"/>
        </w:rPr>
        <w:t>, догосп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тенектеплазою</w:t>
      </w:r>
      <w:r w:rsidRPr="00965008">
        <w:rPr>
          <w:iCs/>
          <w:szCs w:val="28"/>
        </w:rPr>
        <w:t xml:space="preserve"> 01.04.2016.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3 ст., </w:t>
      </w:r>
      <w:r>
        <w:rPr>
          <w:iCs/>
          <w:szCs w:val="28"/>
        </w:rPr>
        <w:t>ризик дуже високий</w:t>
      </w:r>
      <w:r w:rsidRPr="00965008">
        <w:rPr>
          <w:iCs/>
          <w:szCs w:val="28"/>
        </w:rPr>
        <w:t>.</w:t>
      </w:r>
      <w:r>
        <w:rPr>
          <w:iCs/>
          <w:szCs w:val="28"/>
        </w:rPr>
        <w:t xml:space="preserve"> ГЛШН – серцева астма 02.04.2016р. Негоспітальна гіпостатична пневмонія клінічно. Ожиріння I ст. Пред’являла</w:t>
      </w:r>
      <w:r w:rsidRPr="00BB408E">
        <w:rPr>
          <w:iCs/>
          <w:szCs w:val="28"/>
        </w:rPr>
        <w:t xml:space="preserve"> скарги на </w:t>
      </w:r>
      <w:r w:rsidRPr="002611ED">
        <w:rPr>
          <w:szCs w:val="28"/>
        </w:rPr>
        <w:t>пекуч</w:t>
      </w:r>
      <w:r>
        <w:rPr>
          <w:szCs w:val="28"/>
        </w:rPr>
        <w:t xml:space="preserve">ий біль за грудиною з ірадіацією в між лопатковий простір, </w:t>
      </w:r>
      <w:r w:rsidRPr="002611ED">
        <w:rPr>
          <w:szCs w:val="28"/>
        </w:rPr>
        <w:t>повністю купован</w:t>
      </w:r>
      <w:r>
        <w:rPr>
          <w:szCs w:val="28"/>
        </w:rPr>
        <w:t>ий</w:t>
      </w:r>
      <w:r w:rsidRPr="002611ED">
        <w:rPr>
          <w:szCs w:val="28"/>
        </w:rPr>
        <w:t xml:space="preserve"> на догоспітальному етапі введенням </w:t>
      </w:r>
      <w:r>
        <w:rPr>
          <w:szCs w:val="28"/>
        </w:rPr>
        <w:t>морфіну</w:t>
      </w:r>
      <w:r w:rsidRPr="002611ED">
        <w:rPr>
          <w:szCs w:val="28"/>
        </w:rPr>
        <w:t>,</w:t>
      </w:r>
      <w:r>
        <w:rPr>
          <w:szCs w:val="28"/>
        </w:rPr>
        <w:t xml:space="preserve"> </w:t>
      </w:r>
      <w:r>
        <w:rPr>
          <w:szCs w:val="28"/>
        </w:rPr>
        <w:lastRenderedPageBreak/>
        <w:t>виражену</w:t>
      </w:r>
      <w:r w:rsidRPr="002611ED">
        <w:rPr>
          <w:szCs w:val="28"/>
        </w:rPr>
        <w:t xml:space="preserve"> загальну слабкість, задишку при фізичних навантаженнях</w:t>
      </w:r>
      <w:r>
        <w:rPr>
          <w:szCs w:val="28"/>
        </w:rPr>
        <w:t>, нудоту</w:t>
      </w:r>
      <w:r w:rsidRPr="00BB408E">
        <w:rPr>
          <w:iCs/>
          <w:szCs w:val="28"/>
        </w:rPr>
        <w:t xml:space="preserve">. З анамнезу відомо, що </w:t>
      </w:r>
      <w:r w:rsidRPr="002611ED">
        <w:rPr>
          <w:iCs/>
          <w:szCs w:val="28"/>
        </w:rPr>
        <w:t>гіпертонічною хворобою страждає</w:t>
      </w:r>
      <w:r>
        <w:rPr>
          <w:iCs/>
          <w:szCs w:val="28"/>
        </w:rPr>
        <w:t xml:space="preserve"> протягом 5 років з максимальними значеннями АТ 200/100 мм.рт.ст</w:t>
      </w:r>
      <w:r w:rsidRPr="002611ED">
        <w:rPr>
          <w:iCs/>
          <w:szCs w:val="28"/>
        </w:rPr>
        <w:t xml:space="preserve">. </w:t>
      </w:r>
      <w:r w:rsidRPr="00AA2240">
        <w:rPr>
          <w:iCs/>
          <w:szCs w:val="28"/>
        </w:rPr>
        <w:t>Раніше інсульти, порушення ритму заперечує. У 2013 році перенесла інфаркт міокарда, з приводу якого проходила курс стаціонарного лікування в Х</w:t>
      </w:r>
      <w:r>
        <w:rPr>
          <w:iCs/>
          <w:szCs w:val="28"/>
        </w:rPr>
        <w:t>М</w:t>
      </w:r>
      <w:r w:rsidRPr="00AA2240">
        <w:rPr>
          <w:iCs/>
          <w:szCs w:val="28"/>
        </w:rPr>
        <w:t>К</w:t>
      </w:r>
      <w:r>
        <w:rPr>
          <w:iCs/>
          <w:szCs w:val="28"/>
        </w:rPr>
        <w:t>Л</w:t>
      </w:r>
      <w:r w:rsidRPr="00AA2240">
        <w:rPr>
          <w:iCs/>
          <w:szCs w:val="28"/>
        </w:rPr>
        <w:t xml:space="preserve"> № 8. Згідно УЗД серця від 23.04.2013 - склеротичні зміни аорти, гіпокінезія задньої стінки лівого шлуночка, додаткова хорда лівого шлуночка. </w:t>
      </w:r>
      <w:r>
        <w:rPr>
          <w:iCs/>
          <w:szCs w:val="28"/>
        </w:rPr>
        <w:t>На</w:t>
      </w:r>
      <w:r w:rsidRPr="00AA2240">
        <w:rPr>
          <w:iCs/>
          <w:szCs w:val="28"/>
        </w:rPr>
        <w:t xml:space="preserve"> даний час регулярно ніяких гіпотензивних препаратів не приймає. При підвищенні цифр артеріального тиску приймає папазол. Протягом 01.04.2016 відчувала себе задовільно. Больовий синдром не турбував. Різке погіршення стану 01.04.2016, коли близько 22:00 з'явилися вище</w:t>
      </w:r>
      <w:r>
        <w:rPr>
          <w:iCs/>
          <w:szCs w:val="28"/>
        </w:rPr>
        <w:t>наведені</w:t>
      </w:r>
      <w:r w:rsidRPr="00AA2240">
        <w:rPr>
          <w:iCs/>
          <w:szCs w:val="28"/>
        </w:rPr>
        <w:t xml:space="preserve"> скарги.</w:t>
      </w:r>
      <w:r>
        <w:rPr>
          <w:iCs/>
          <w:szCs w:val="28"/>
        </w:rPr>
        <w:t xml:space="preserve"> </w:t>
      </w:r>
      <w:r w:rsidRPr="0068370C">
        <w:rPr>
          <w:iCs/>
          <w:szCs w:val="28"/>
        </w:rPr>
        <w:t xml:space="preserve">Для </w:t>
      </w:r>
      <w:r>
        <w:rPr>
          <w:iCs/>
          <w:szCs w:val="28"/>
        </w:rPr>
        <w:t>усунення</w:t>
      </w:r>
      <w:r w:rsidRPr="0068370C">
        <w:rPr>
          <w:iCs/>
          <w:szCs w:val="28"/>
        </w:rPr>
        <w:t xml:space="preserve"> больового синдрому</w:t>
      </w:r>
      <w:r>
        <w:rPr>
          <w:iCs/>
          <w:szCs w:val="28"/>
        </w:rPr>
        <w:t xml:space="preserve"> хвора самостійно </w:t>
      </w:r>
      <w:r w:rsidRPr="0068370C">
        <w:rPr>
          <w:iCs/>
          <w:szCs w:val="28"/>
        </w:rPr>
        <w:t xml:space="preserve">приймала валідол. </w:t>
      </w:r>
      <w:r>
        <w:rPr>
          <w:iCs/>
          <w:szCs w:val="28"/>
        </w:rPr>
        <w:t>У зв’</w:t>
      </w:r>
      <w:r w:rsidRPr="000A2A14">
        <w:rPr>
          <w:iCs/>
          <w:szCs w:val="28"/>
        </w:rPr>
        <w:t xml:space="preserve">язку з тим, що </w:t>
      </w:r>
      <w:r w:rsidRPr="0068370C">
        <w:rPr>
          <w:iCs/>
          <w:szCs w:val="28"/>
        </w:rPr>
        <w:t>больовий синдром зберігався</w:t>
      </w:r>
      <w:r>
        <w:rPr>
          <w:iCs/>
          <w:szCs w:val="28"/>
        </w:rPr>
        <w:t xml:space="preserve"> більше години,</w:t>
      </w:r>
      <w:r w:rsidRPr="0068370C">
        <w:rPr>
          <w:iCs/>
          <w:szCs w:val="28"/>
        </w:rPr>
        <w:t xml:space="preserve"> була викликана </w:t>
      </w:r>
      <w:r>
        <w:rPr>
          <w:iCs/>
          <w:szCs w:val="28"/>
        </w:rPr>
        <w:t>бригада швидкої допомоги</w:t>
      </w:r>
      <w:r w:rsidRPr="0068370C">
        <w:rPr>
          <w:iCs/>
          <w:szCs w:val="28"/>
        </w:rPr>
        <w:t>. Була н</w:t>
      </w:r>
      <w:r>
        <w:rPr>
          <w:iCs/>
          <w:szCs w:val="28"/>
        </w:rPr>
        <w:t>адана допомога - нітрогліцерин</w:t>
      </w:r>
      <w:r w:rsidRPr="0068370C">
        <w:rPr>
          <w:iCs/>
          <w:szCs w:val="28"/>
        </w:rPr>
        <w:t xml:space="preserve">, </w:t>
      </w:r>
      <w:r>
        <w:rPr>
          <w:iCs/>
          <w:szCs w:val="28"/>
        </w:rPr>
        <w:t>АСК</w:t>
      </w:r>
      <w:r w:rsidRPr="0068370C">
        <w:rPr>
          <w:iCs/>
          <w:szCs w:val="28"/>
        </w:rPr>
        <w:t>,</w:t>
      </w:r>
      <w:r>
        <w:rPr>
          <w:iCs/>
          <w:szCs w:val="28"/>
        </w:rPr>
        <w:t xml:space="preserve"> морфін в/в, гепарин 4000 од в/</w:t>
      </w:r>
      <w:r w:rsidRPr="0068370C">
        <w:rPr>
          <w:iCs/>
          <w:szCs w:val="28"/>
        </w:rPr>
        <w:t>в. Була зареєстрована ЕКГ, на якій виявлена субепікардіальн</w:t>
      </w:r>
      <w:r>
        <w:rPr>
          <w:iCs/>
          <w:szCs w:val="28"/>
        </w:rPr>
        <w:t>а</w:t>
      </w:r>
      <w:r w:rsidRPr="0068370C">
        <w:rPr>
          <w:iCs/>
          <w:szCs w:val="28"/>
        </w:rPr>
        <w:t xml:space="preserve"> ішемія в </w:t>
      </w:r>
      <w:r>
        <w:rPr>
          <w:iCs/>
          <w:szCs w:val="28"/>
        </w:rPr>
        <w:t>ділянці</w:t>
      </w:r>
      <w:r w:rsidRPr="0068370C">
        <w:rPr>
          <w:iCs/>
          <w:szCs w:val="28"/>
        </w:rPr>
        <w:t xml:space="preserve"> задньої стінки. Викликана спеціалізована бригада. Додатково введено атропін, </w:t>
      </w:r>
      <w:r>
        <w:rPr>
          <w:iCs/>
          <w:szCs w:val="28"/>
        </w:rPr>
        <w:t>тенектеплаза</w:t>
      </w:r>
      <w:r w:rsidRPr="0068370C">
        <w:rPr>
          <w:iCs/>
          <w:szCs w:val="28"/>
        </w:rPr>
        <w:t xml:space="preserve"> 6000 </w:t>
      </w:r>
      <w:r>
        <w:rPr>
          <w:iCs/>
          <w:szCs w:val="28"/>
        </w:rPr>
        <w:t>ОД в/</w:t>
      </w:r>
      <w:r w:rsidRPr="0068370C">
        <w:rPr>
          <w:iCs/>
          <w:szCs w:val="28"/>
        </w:rPr>
        <w:t>в, інгаляція кисню. Повторно зареєстрована ЕКГ.</w:t>
      </w:r>
      <w:r>
        <w:rPr>
          <w:iCs/>
          <w:szCs w:val="28"/>
        </w:rPr>
        <w:t xml:space="preserve"> </w:t>
      </w:r>
      <w:r w:rsidRPr="003D5DB7">
        <w:rPr>
          <w:iCs/>
          <w:szCs w:val="28"/>
        </w:rPr>
        <w:t>Об</w:t>
      </w:r>
      <w:r w:rsidRPr="00BB408E">
        <w:rPr>
          <w:iCs/>
          <w:szCs w:val="28"/>
        </w:rPr>
        <w:t>΄</w:t>
      </w:r>
      <w:r w:rsidRPr="003D5DB7">
        <w:rPr>
          <w:iCs/>
          <w:szCs w:val="28"/>
        </w:rPr>
        <w:t xml:space="preserve">єктивно: </w:t>
      </w:r>
      <w:r w:rsidRPr="002611ED">
        <w:rPr>
          <w:iCs/>
          <w:szCs w:val="28"/>
        </w:rPr>
        <w:t>Стан середньої тяжкості. У свідомості,</w:t>
      </w:r>
      <w:r>
        <w:rPr>
          <w:iCs/>
          <w:szCs w:val="28"/>
        </w:rPr>
        <w:t xml:space="preserve"> адинамічна та</w:t>
      </w:r>
      <w:r w:rsidRPr="002611ED">
        <w:rPr>
          <w:iCs/>
          <w:szCs w:val="28"/>
        </w:rPr>
        <w:t xml:space="preserve"> сонлив</w:t>
      </w:r>
      <w:r>
        <w:rPr>
          <w:iCs/>
          <w:szCs w:val="28"/>
        </w:rPr>
        <w:t>а</w:t>
      </w:r>
      <w:r w:rsidRPr="002611ED">
        <w:rPr>
          <w:iCs/>
          <w:szCs w:val="28"/>
        </w:rPr>
        <w:t xml:space="preserve"> після введення наркотичних анальгетиків. Підвищеного харчування</w:t>
      </w:r>
      <w:r>
        <w:rPr>
          <w:iCs/>
          <w:szCs w:val="28"/>
        </w:rPr>
        <w:t xml:space="preserve"> (ІМТ=33,21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деяк</w:t>
      </w:r>
      <w:r>
        <w:rPr>
          <w:iCs/>
          <w:szCs w:val="28"/>
        </w:rPr>
        <w:t xml:space="preserve">е </w:t>
      </w:r>
      <w:r w:rsidRPr="00CA568C">
        <w:rPr>
          <w:iCs/>
          <w:szCs w:val="28"/>
        </w:rPr>
        <w:t>вкорочення ясного легеневого звуку від кутів обох лопаток, аускультативно - на фоні ослабленого везикулярного дихання від кутів обох лопаток вислуховуються вологі хрипи</w:t>
      </w:r>
      <w:r w:rsidRPr="002611ED">
        <w:rPr>
          <w:iCs/>
          <w:szCs w:val="28"/>
        </w:rPr>
        <w:t>. ЧД</w:t>
      </w:r>
      <w:r>
        <w:rPr>
          <w:iCs/>
          <w:szCs w:val="28"/>
        </w:rPr>
        <w:t>Р</w:t>
      </w:r>
      <w:r w:rsidRPr="002611ED">
        <w:rPr>
          <w:iCs/>
          <w:szCs w:val="28"/>
        </w:rPr>
        <w:t xml:space="preserve"> - 18 </w:t>
      </w:r>
      <w:r>
        <w:rPr>
          <w:iCs/>
          <w:szCs w:val="28"/>
        </w:rPr>
        <w:t>на</w:t>
      </w:r>
      <w:r w:rsidRPr="002611ED">
        <w:rPr>
          <w:iCs/>
          <w:szCs w:val="28"/>
        </w:rPr>
        <w:t xml:space="preserve"> 1 хв. Сатурація кисню </w:t>
      </w:r>
      <w:r>
        <w:rPr>
          <w:iCs/>
          <w:szCs w:val="28"/>
        </w:rPr>
        <w:t>77</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160/90 мм рт. ст. ЧСС = 82 уд. в хв., PS = 82</w:t>
      </w:r>
      <w:r w:rsidRPr="002611ED">
        <w:rPr>
          <w:iCs/>
          <w:szCs w:val="28"/>
        </w:rPr>
        <w:t xml:space="preserve"> уд. в хв. Язик вологий, у кореня обкладений білуватим нальотом. Живіт м'який, безболісний, збільшений в розмірах за рахунок підшкірно-жирового шару. Печінка у краю </w:t>
      </w:r>
      <w:r w:rsidRPr="002611ED">
        <w:rPr>
          <w:iCs/>
          <w:szCs w:val="28"/>
        </w:rPr>
        <w:lastRenderedPageBreak/>
        <w:t xml:space="preserve">реберної дуги.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3D5DB7">
        <w:rPr>
          <w:iCs/>
          <w:szCs w:val="28"/>
        </w:rPr>
        <w:t>.</w:t>
      </w:r>
      <w:r>
        <w:rPr>
          <w:iCs/>
          <w:szCs w:val="28"/>
        </w:rPr>
        <w:t xml:space="preserve"> У хворої було визначено кількісний тропонін I (02.04.2016р – 1,23 нг/мл), вітронектин (02.04.2016р – 400,33 нг/мл; 05.05.2016р – 256,44 нг/мл), галектин-3 (02.04.2016р – 16,45 нг/мл; 05.05.2016р – 8,11 нг/мл). </w:t>
      </w:r>
      <w:r w:rsidRPr="00B04D6C">
        <w:rPr>
          <w:iCs/>
          <w:szCs w:val="28"/>
        </w:rPr>
        <w:t xml:space="preserve">Згідно результатів </w:t>
      </w:r>
      <w:r w:rsidRPr="00BB408E">
        <w:rPr>
          <w:iCs/>
          <w:szCs w:val="28"/>
        </w:rPr>
        <w:t>ROC</w:t>
      </w:r>
      <w:r w:rsidRPr="00B04D6C">
        <w:rPr>
          <w:iCs/>
          <w:szCs w:val="28"/>
        </w:rPr>
        <w:t xml:space="preserve"> кривої отримані дані свідчать на користь прогнозу </w:t>
      </w:r>
      <w:r>
        <w:rPr>
          <w:iCs/>
          <w:szCs w:val="28"/>
        </w:rPr>
        <w:t xml:space="preserve">розвитку повторних кардіоваскулярних подій протягом 6-місячного терміну спостереження за хворими, що перенесли ГІМ на тлі ожиріння. При проведенні діагностичних заходів також було зафіксовано синусовий ритм, субепікардіальну ішемію в ділянці задньої стінки </w:t>
      </w:r>
      <w:r w:rsidRPr="004E07FE">
        <w:rPr>
          <w:iCs/>
          <w:szCs w:val="28"/>
        </w:rPr>
        <w:t>(</w:t>
      </w:r>
      <w:r>
        <w:rPr>
          <w:iCs/>
          <w:szCs w:val="28"/>
        </w:rPr>
        <w:t>е</w:t>
      </w:r>
      <w:r w:rsidRPr="004E07FE">
        <w:rPr>
          <w:iCs/>
          <w:szCs w:val="28"/>
        </w:rPr>
        <w:t>левац</w:t>
      </w:r>
      <w:r>
        <w:rPr>
          <w:iCs/>
          <w:szCs w:val="28"/>
        </w:rPr>
        <w:t>і</w:t>
      </w:r>
      <w:r w:rsidRPr="004E07FE">
        <w:rPr>
          <w:iCs/>
          <w:szCs w:val="28"/>
        </w:rPr>
        <w:t xml:space="preserve">я сегмента ST до 3 </w:t>
      </w:r>
      <w:r>
        <w:rPr>
          <w:iCs/>
          <w:szCs w:val="28"/>
        </w:rPr>
        <w:t>мм в II, III, avF) та на Е</w:t>
      </w:r>
      <w:r w:rsidRPr="004E07FE">
        <w:rPr>
          <w:iCs/>
          <w:szCs w:val="28"/>
        </w:rPr>
        <w:t>КГ</w:t>
      </w:r>
      <w:r>
        <w:rPr>
          <w:iCs/>
          <w:szCs w:val="28"/>
        </w:rPr>
        <w:t xml:space="preserve"> від</w:t>
      </w:r>
      <w:r w:rsidRPr="004E07FE">
        <w:rPr>
          <w:iCs/>
          <w:szCs w:val="28"/>
        </w:rPr>
        <w:t xml:space="preserve"> 02.04.16 </w:t>
      </w:r>
      <w:r>
        <w:rPr>
          <w:iCs/>
          <w:szCs w:val="28"/>
        </w:rPr>
        <w:t>о</w:t>
      </w:r>
      <w:r w:rsidRPr="004E07FE">
        <w:rPr>
          <w:iCs/>
          <w:szCs w:val="28"/>
        </w:rPr>
        <w:t xml:space="preserve"> 06:50  – </w:t>
      </w:r>
      <w:r>
        <w:rPr>
          <w:iCs/>
          <w:szCs w:val="28"/>
        </w:rPr>
        <w:t>синусовий ритм</w:t>
      </w:r>
      <w:r w:rsidRPr="004E07FE">
        <w:rPr>
          <w:iCs/>
          <w:szCs w:val="28"/>
        </w:rPr>
        <w:t xml:space="preserve">, </w:t>
      </w:r>
      <w:r>
        <w:rPr>
          <w:iCs/>
          <w:szCs w:val="28"/>
        </w:rPr>
        <w:t>е</w:t>
      </w:r>
      <w:r w:rsidRPr="004E07FE">
        <w:rPr>
          <w:iCs/>
          <w:szCs w:val="28"/>
        </w:rPr>
        <w:t>волюц</w:t>
      </w:r>
      <w:r>
        <w:rPr>
          <w:iCs/>
          <w:szCs w:val="28"/>
        </w:rPr>
        <w:t>ію</w:t>
      </w:r>
      <w:r w:rsidRPr="004E07FE">
        <w:rPr>
          <w:iCs/>
          <w:szCs w:val="28"/>
        </w:rPr>
        <w:t xml:space="preserve"> зад</w:t>
      </w:r>
      <w:r>
        <w:rPr>
          <w:iCs/>
          <w:szCs w:val="28"/>
        </w:rPr>
        <w:t>нього Q-позитивного і</w:t>
      </w:r>
      <w:r w:rsidRPr="004E07FE">
        <w:rPr>
          <w:iCs/>
          <w:szCs w:val="28"/>
        </w:rPr>
        <w:t>нфаркта м</w:t>
      </w:r>
      <w:r>
        <w:rPr>
          <w:iCs/>
          <w:szCs w:val="28"/>
        </w:rPr>
        <w:t>і</w:t>
      </w:r>
      <w:r w:rsidRPr="004E07FE">
        <w:rPr>
          <w:iCs/>
          <w:szCs w:val="28"/>
        </w:rPr>
        <w:t>окарда</w:t>
      </w:r>
      <w:r>
        <w:rPr>
          <w:iCs/>
          <w:szCs w:val="28"/>
        </w:rPr>
        <w:t xml:space="preserve">. У клінічному аналізі крові від 02.04.2016р патологічних змін виявлено не було. </w:t>
      </w:r>
      <w:r w:rsidRPr="00FE128E">
        <w:rPr>
          <w:iCs/>
          <w:szCs w:val="28"/>
        </w:rPr>
        <w:t>УЗ</w:t>
      </w:r>
      <w:r>
        <w:rPr>
          <w:iCs/>
          <w:szCs w:val="28"/>
        </w:rPr>
        <w:t>Д</w:t>
      </w:r>
      <w:r w:rsidRPr="00FE128E">
        <w:rPr>
          <w:iCs/>
          <w:szCs w:val="28"/>
        </w:rPr>
        <w:t xml:space="preserve"> </w:t>
      </w:r>
      <w:r>
        <w:rPr>
          <w:iCs/>
          <w:szCs w:val="28"/>
        </w:rPr>
        <w:t xml:space="preserve">серця 02.04.2016р – </w:t>
      </w:r>
      <w:r w:rsidRPr="00FE128E">
        <w:rPr>
          <w:iCs/>
          <w:szCs w:val="28"/>
        </w:rPr>
        <w:t>акинез</w:t>
      </w:r>
      <w:r>
        <w:rPr>
          <w:iCs/>
          <w:szCs w:val="28"/>
        </w:rPr>
        <w:t>і</w:t>
      </w:r>
      <w:r w:rsidRPr="00FE128E">
        <w:rPr>
          <w:iCs/>
          <w:szCs w:val="28"/>
        </w:rPr>
        <w:t xml:space="preserve">я </w:t>
      </w:r>
      <w:r>
        <w:rPr>
          <w:iCs/>
          <w:szCs w:val="28"/>
        </w:rPr>
        <w:t>в задній стінці</w:t>
      </w:r>
      <w:r w:rsidRPr="00FE128E">
        <w:rPr>
          <w:iCs/>
          <w:szCs w:val="28"/>
        </w:rPr>
        <w:t>, г</w:t>
      </w:r>
      <w:r>
        <w:rPr>
          <w:iCs/>
          <w:szCs w:val="28"/>
        </w:rPr>
        <w:t>і</w:t>
      </w:r>
      <w:r w:rsidRPr="00FE128E">
        <w:rPr>
          <w:iCs/>
          <w:szCs w:val="28"/>
        </w:rPr>
        <w:t>пертроф</w:t>
      </w:r>
      <w:r>
        <w:rPr>
          <w:iCs/>
          <w:szCs w:val="28"/>
        </w:rPr>
        <w:t>і</w:t>
      </w:r>
      <w:r w:rsidRPr="00FE128E">
        <w:rPr>
          <w:iCs/>
          <w:szCs w:val="28"/>
        </w:rPr>
        <w:t>я м</w:t>
      </w:r>
      <w:r>
        <w:rPr>
          <w:iCs/>
          <w:szCs w:val="28"/>
        </w:rPr>
        <w:t>і</w:t>
      </w:r>
      <w:r w:rsidRPr="00FE128E">
        <w:rPr>
          <w:iCs/>
          <w:szCs w:val="28"/>
        </w:rPr>
        <w:t>окарда л</w:t>
      </w:r>
      <w:r>
        <w:rPr>
          <w:iCs/>
          <w:szCs w:val="28"/>
        </w:rPr>
        <w:t>і</w:t>
      </w:r>
      <w:r w:rsidRPr="00FE128E">
        <w:rPr>
          <w:iCs/>
          <w:szCs w:val="28"/>
        </w:rPr>
        <w:t xml:space="preserve">вого </w:t>
      </w:r>
      <w:r>
        <w:rPr>
          <w:iCs/>
          <w:szCs w:val="28"/>
        </w:rPr>
        <w:t xml:space="preserve">шлуночка, ФВ 20%. </w:t>
      </w:r>
      <w:r w:rsidRPr="0007570A">
        <w:rPr>
          <w:iCs/>
          <w:szCs w:val="28"/>
        </w:rPr>
        <w:t>Проведено лікування: тромболітична терапія (</w:t>
      </w:r>
      <w:r>
        <w:rPr>
          <w:iCs/>
          <w:szCs w:val="28"/>
        </w:rPr>
        <w:t>тенектеплаза</w:t>
      </w:r>
      <w:r w:rsidRPr="0007570A">
        <w:rPr>
          <w:iCs/>
          <w:szCs w:val="28"/>
        </w:rPr>
        <w:t xml:space="preserve"> </w:t>
      </w:r>
      <w:r>
        <w:rPr>
          <w:iCs/>
          <w:szCs w:val="28"/>
        </w:rPr>
        <w:t>6</w:t>
      </w:r>
      <w:r w:rsidRPr="0007570A">
        <w:rPr>
          <w:iCs/>
          <w:szCs w:val="28"/>
        </w:rPr>
        <w:t xml:space="preserve"> млн. ОД), ацетилсаліцилова кислота - навантажувальна доза 250 мг, потім 125 мг </w:t>
      </w:r>
      <w:r>
        <w:rPr>
          <w:iCs/>
          <w:szCs w:val="28"/>
        </w:rPr>
        <w:t>перорально</w:t>
      </w:r>
      <w:r w:rsidRPr="0007570A">
        <w:rPr>
          <w:iCs/>
          <w:szCs w:val="28"/>
        </w:rPr>
        <w:t xml:space="preserve">, </w:t>
      </w:r>
      <w:r>
        <w:rPr>
          <w:iCs/>
          <w:szCs w:val="28"/>
        </w:rPr>
        <w:t>тикагрелор</w:t>
      </w:r>
      <w:r w:rsidRPr="0007570A">
        <w:rPr>
          <w:iCs/>
          <w:szCs w:val="28"/>
        </w:rPr>
        <w:t xml:space="preserve"> - навантажувальна доза </w:t>
      </w:r>
      <w:r>
        <w:rPr>
          <w:iCs/>
          <w:szCs w:val="28"/>
        </w:rPr>
        <w:t>18</w:t>
      </w:r>
      <w:r w:rsidRPr="0007570A">
        <w:rPr>
          <w:iCs/>
          <w:szCs w:val="28"/>
        </w:rPr>
        <w:t xml:space="preserve">0 мг, потім </w:t>
      </w:r>
      <w:r>
        <w:rPr>
          <w:iCs/>
          <w:szCs w:val="28"/>
        </w:rPr>
        <w:t>90 мг двічі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внутрішньо; дигоксин 0,00025г</w:t>
      </w:r>
      <w:r w:rsidRPr="0007570A">
        <w:rPr>
          <w:iCs/>
          <w:szCs w:val="28"/>
        </w:rPr>
        <w:t xml:space="preserve">; 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Стало відомо, що через 4 місяці після перенесеного ІМ у хворої відбулась дестабілізація ІХС у вигляді НС, що стало причиною повторної госпіталізації хворої до спеціалізованого стаціонару. </w:t>
      </w:r>
    </w:p>
    <w:p w:rsidR="00F407BB" w:rsidRDefault="00F407BB" w:rsidP="00F407BB">
      <w:pPr>
        <w:autoSpaceDE w:val="0"/>
        <w:autoSpaceDN w:val="0"/>
        <w:adjustRightInd w:val="0"/>
        <w:spacing w:after="0" w:line="360" w:lineRule="auto"/>
        <w:ind w:firstLine="708"/>
        <w:jc w:val="both"/>
        <w:rPr>
          <w:iCs/>
          <w:szCs w:val="28"/>
        </w:rPr>
      </w:pPr>
      <w:r>
        <w:rPr>
          <w:iCs/>
          <w:szCs w:val="28"/>
        </w:rPr>
        <w:t xml:space="preserve">Щодо прогностичних властивостей галектину-3, </w:t>
      </w:r>
      <w:r w:rsidRPr="00BB408E">
        <w:rPr>
          <w:iCs/>
          <w:szCs w:val="28"/>
        </w:rPr>
        <w:t xml:space="preserve">наводимо витяг з історії хвороби № </w:t>
      </w:r>
      <w:r>
        <w:rPr>
          <w:iCs/>
          <w:szCs w:val="28"/>
        </w:rPr>
        <w:t xml:space="preserve">5461. </w:t>
      </w:r>
      <w:r w:rsidRPr="000A2A14">
        <w:rPr>
          <w:iCs/>
          <w:szCs w:val="28"/>
        </w:rPr>
        <w:t>Хвор</w:t>
      </w:r>
      <w:r>
        <w:rPr>
          <w:iCs/>
          <w:szCs w:val="28"/>
        </w:rPr>
        <w:t>ий М</w:t>
      </w:r>
      <w:r w:rsidRPr="000A2A14">
        <w:rPr>
          <w:iCs/>
          <w:szCs w:val="28"/>
        </w:rPr>
        <w:t xml:space="preserve">., </w:t>
      </w:r>
      <w:r>
        <w:rPr>
          <w:iCs/>
          <w:szCs w:val="28"/>
        </w:rPr>
        <w:t>56</w:t>
      </w:r>
      <w:r w:rsidRPr="000A2A14">
        <w:rPr>
          <w:iCs/>
          <w:szCs w:val="28"/>
        </w:rPr>
        <w:t xml:space="preserve"> років, перебував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з 04.09</w:t>
      </w:r>
      <w:r w:rsidRPr="000A2A14">
        <w:rPr>
          <w:szCs w:val="28"/>
          <w:lang w:eastAsia="ru-RU"/>
        </w:rPr>
        <w:t>.2016</w:t>
      </w:r>
      <w:r>
        <w:rPr>
          <w:szCs w:val="28"/>
          <w:lang w:eastAsia="ru-RU"/>
        </w:rPr>
        <w:t>р</w:t>
      </w:r>
      <w:r w:rsidRPr="000A2A14">
        <w:rPr>
          <w:szCs w:val="28"/>
          <w:lang w:eastAsia="ru-RU"/>
        </w:rPr>
        <w:t xml:space="preserve">. по </w:t>
      </w:r>
      <w:r>
        <w:rPr>
          <w:szCs w:val="28"/>
          <w:lang w:eastAsia="ru-RU"/>
        </w:rPr>
        <w:t>21.09</w:t>
      </w:r>
      <w:r w:rsidRPr="000A2A14">
        <w:rPr>
          <w:szCs w:val="28"/>
          <w:lang w:eastAsia="ru-RU"/>
        </w:rPr>
        <w:t>.2016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w:t>
      </w:r>
      <w:r>
        <w:rPr>
          <w:iCs/>
          <w:szCs w:val="28"/>
        </w:rPr>
        <w:t>04.09.</w:t>
      </w:r>
      <w:r w:rsidRPr="00965008">
        <w:rPr>
          <w:iCs/>
          <w:szCs w:val="28"/>
        </w:rPr>
        <w:t xml:space="preserve">16) </w:t>
      </w:r>
      <w:r>
        <w:rPr>
          <w:iCs/>
          <w:szCs w:val="28"/>
        </w:rPr>
        <w:t xml:space="preserve">передній </w:t>
      </w:r>
      <w:r w:rsidRPr="00965008">
        <w:rPr>
          <w:iCs/>
          <w:szCs w:val="28"/>
        </w:rPr>
        <w:t>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іокарда. Атеросклеротичний кардіосклероз, а</w:t>
      </w:r>
      <w:r w:rsidRPr="00965008">
        <w:rPr>
          <w:iCs/>
          <w:szCs w:val="28"/>
        </w:rPr>
        <w:t>теросклероз аорт</w:t>
      </w:r>
      <w:r>
        <w:rPr>
          <w:iCs/>
          <w:szCs w:val="28"/>
        </w:rPr>
        <w:t>и</w:t>
      </w:r>
      <w:r w:rsidRPr="00965008">
        <w:rPr>
          <w:iCs/>
          <w:szCs w:val="28"/>
        </w:rPr>
        <w:t xml:space="preserve">, </w:t>
      </w:r>
      <w:r>
        <w:rPr>
          <w:iCs/>
          <w:szCs w:val="28"/>
        </w:rPr>
        <w:t>вінцевих артерій</w:t>
      </w:r>
      <w:r w:rsidRPr="00965008">
        <w:rPr>
          <w:iCs/>
          <w:szCs w:val="28"/>
        </w:rPr>
        <w:t>, 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стрептокіназою</w:t>
      </w:r>
      <w:r w:rsidRPr="00965008">
        <w:rPr>
          <w:iCs/>
          <w:szCs w:val="28"/>
        </w:rPr>
        <w:t xml:space="preserve"> </w:t>
      </w:r>
      <w:r>
        <w:rPr>
          <w:iCs/>
          <w:szCs w:val="28"/>
        </w:rPr>
        <w:t>05.09</w:t>
      </w:r>
      <w:r w:rsidRPr="00965008">
        <w:rPr>
          <w:iCs/>
          <w:szCs w:val="28"/>
        </w:rPr>
        <w:t>.2016.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w:t>
      </w:r>
      <w:r>
        <w:rPr>
          <w:iCs/>
          <w:szCs w:val="28"/>
        </w:rPr>
        <w:t>2</w:t>
      </w:r>
      <w:r w:rsidRPr="00965008">
        <w:rPr>
          <w:iCs/>
          <w:szCs w:val="28"/>
        </w:rPr>
        <w:t xml:space="preserve"> </w:t>
      </w:r>
      <w:r w:rsidRPr="00965008">
        <w:rPr>
          <w:iCs/>
          <w:szCs w:val="28"/>
        </w:rPr>
        <w:lastRenderedPageBreak/>
        <w:t xml:space="preserve">ст., </w:t>
      </w:r>
      <w:r>
        <w:rPr>
          <w:iCs/>
          <w:szCs w:val="28"/>
        </w:rPr>
        <w:t>ризик дуже високий</w:t>
      </w:r>
      <w:r w:rsidRPr="00965008">
        <w:rPr>
          <w:iCs/>
          <w:szCs w:val="28"/>
        </w:rPr>
        <w:t>.</w:t>
      </w:r>
      <w:r>
        <w:rPr>
          <w:iCs/>
          <w:szCs w:val="28"/>
        </w:rPr>
        <w:t xml:space="preserve"> Ожиріння III ст. Хворий зазначав скарги на і</w:t>
      </w:r>
      <w:r w:rsidRPr="00553E75">
        <w:rPr>
          <w:iCs/>
          <w:szCs w:val="28"/>
        </w:rPr>
        <w:t xml:space="preserve">нтенсивного характера </w:t>
      </w:r>
      <w:r>
        <w:rPr>
          <w:iCs/>
          <w:szCs w:val="28"/>
        </w:rPr>
        <w:t>пекучий бі</w:t>
      </w:r>
      <w:r w:rsidRPr="00553E75">
        <w:rPr>
          <w:iCs/>
          <w:szCs w:val="28"/>
        </w:rPr>
        <w:t>ль за грудино</w:t>
      </w:r>
      <w:r>
        <w:rPr>
          <w:iCs/>
          <w:szCs w:val="28"/>
        </w:rPr>
        <w:t>ю</w:t>
      </w:r>
      <w:r w:rsidRPr="00553E75">
        <w:rPr>
          <w:iCs/>
          <w:szCs w:val="28"/>
        </w:rPr>
        <w:t xml:space="preserve">, </w:t>
      </w:r>
      <w:r>
        <w:rPr>
          <w:iCs/>
          <w:szCs w:val="28"/>
        </w:rPr>
        <w:t>який з’</w:t>
      </w:r>
      <w:r w:rsidRPr="000A2A14">
        <w:rPr>
          <w:iCs/>
          <w:szCs w:val="28"/>
        </w:rPr>
        <w:t>явився</w:t>
      </w:r>
      <w:r w:rsidRPr="00553E75">
        <w:rPr>
          <w:iCs/>
          <w:szCs w:val="28"/>
        </w:rPr>
        <w:t xml:space="preserve"> </w:t>
      </w:r>
      <w:r>
        <w:rPr>
          <w:iCs/>
          <w:szCs w:val="28"/>
        </w:rPr>
        <w:t xml:space="preserve">близько </w:t>
      </w:r>
      <w:r w:rsidRPr="00553E75">
        <w:rPr>
          <w:iCs/>
          <w:szCs w:val="28"/>
        </w:rPr>
        <w:t>02:00 04.09.16</w:t>
      </w:r>
      <w:r>
        <w:rPr>
          <w:iCs/>
          <w:szCs w:val="28"/>
        </w:rPr>
        <w:t>р. та не був усунутий</w:t>
      </w:r>
      <w:r w:rsidRPr="00553E75">
        <w:rPr>
          <w:iCs/>
          <w:szCs w:val="28"/>
        </w:rPr>
        <w:t xml:space="preserve"> на догосп</w:t>
      </w:r>
      <w:r>
        <w:rPr>
          <w:iCs/>
          <w:szCs w:val="28"/>
        </w:rPr>
        <w:t>і</w:t>
      </w:r>
      <w:r w:rsidRPr="00553E75">
        <w:rPr>
          <w:iCs/>
          <w:szCs w:val="28"/>
        </w:rPr>
        <w:t>тальном</w:t>
      </w:r>
      <w:r>
        <w:rPr>
          <w:iCs/>
          <w:szCs w:val="28"/>
        </w:rPr>
        <w:t>у</w:t>
      </w:r>
      <w:r w:rsidRPr="00553E75">
        <w:rPr>
          <w:iCs/>
          <w:szCs w:val="28"/>
        </w:rPr>
        <w:t xml:space="preserve"> </w:t>
      </w:r>
      <w:r>
        <w:rPr>
          <w:iCs/>
          <w:szCs w:val="28"/>
        </w:rPr>
        <w:t>е</w:t>
      </w:r>
      <w:r w:rsidRPr="00553E75">
        <w:rPr>
          <w:iCs/>
          <w:szCs w:val="28"/>
        </w:rPr>
        <w:t>тап</w:t>
      </w:r>
      <w:r>
        <w:rPr>
          <w:iCs/>
          <w:szCs w:val="28"/>
        </w:rPr>
        <w:t xml:space="preserve">і, також відмічав </w:t>
      </w:r>
      <w:r>
        <w:rPr>
          <w:szCs w:val="28"/>
        </w:rPr>
        <w:t>виражену</w:t>
      </w:r>
      <w:r w:rsidRPr="002611ED">
        <w:rPr>
          <w:szCs w:val="28"/>
        </w:rPr>
        <w:t xml:space="preserve"> загальну слабкість, задишку при </w:t>
      </w:r>
      <w:r>
        <w:rPr>
          <w:szCs w:val="28"/>
        </w:rPr>
        <w:t>незначному фізичному</w:t>
      </w:r>
      <w:r w:rsidRPr="002611ED">
        <w:rPr>
          <w:szCs w:val="28"/>
        </w:rPr>
        <w:t xml:space="preserve"> навантаженн</w:t>
      </w:r>
      <w:r>
        <w:rPr>
          <w:szCs w:val="28"/>
        </w:rPr>
        <w:t xml:space="preserve">ю. </w:t>
      </w:r>
      <w:r w:rsidRPr="00BB408E">
        <w:rPr>
          <w:iCs/>
          <w:szCs w:val="28"/>
        </w:rPr>
        <w:t xml:space="preserve">З анамнезу відомо, що </w:t>
      </w:r>
      <w:r>
        <w:rPr>
          <w:iCs/>
          <w:szCs w:val="28"/>
        </w:rPr>
        <w:t xml:space="preserve">хворий </w:t>
      </w:r>
      <w:r w:rsidRPr="002611ED">
        <w:rPr>
          <w:iCs/>
          <w:szCs w:val="28"/>
        </w:rPr>
        <w:t xml:space="preserve">страждає гіпертонічною хворобою </w:t>
      </w:r>
      <w:r>
        <w:rPr>
          <w:iCs/>
          <w:szCs w:val="28"/>
        </w:rPr>
        <w:t>протягом 5 років з максимальними значеннями АД 200/100 мм.рт.ст</w:t>
      </w:r>
      <w:r w:rsidRPr="002611ED">
        <w:rPr>
          <w:iCs/>
          <w:szCs w:val="28"/>
        </w:rPr>
        <w:t xml:space="preserve">. </w:t>
      </w:r>
      <w:r w:rsidRPr="00AA2240">
        <w:rPr>
          <w:iCs/>
          <w:szCs w:val="28"/>
        </w:rPr>
        <w:t>Раніше</w:t>
      </w:r>
      <w:r>
        <w:rPr>
          <w:iCs/>
          <w:szCs w:val="28"/>
        </w:rPr>
        <w:t xml:space="preserve"> інфаркти,</w:t>
      </w:r>
      <w:r w:rsidRPr="00AA2240">
        <w:rPr>
          <w:iCs/>
          <w:szCs w:val="28"/>
        </w:rPr>
        <w:t xml:space="preserve"> інсул</w:t>
      </w:r>
      <w:r>
        <w:rPr>
          <w:iCs/>
          <w:szCs w:val="28"/>
        </w:rPr>
        <w:t>ьти, порушення ритму заперечує, ніколи не лікувався в спеціалізованих кардіологічних стаціонарах. На даний час антигіпертензивну терапію не отримує</w:t>
      </w:r>
      <w:r w:rsidRPr="00AA2240">
        <w:rPr>
          <w:iCs/>
          <w:szCs w:val="28"/>
        </w:rPr>
        <w:t>.</w:t>
      </w:r>
      <w:r>
        <w:rPr>
          <w:iCs/>
          <w:szCs w:val="28"/>
        </w:rPr>
        <w:t xml:space="preserve"> </w:t>
      </w:r>
      <w:r w:rsidRPr="004E0C39">
        <w:rPr>
          <w:iCs/>
          <w:szCs w:val="28"/>
        </w:rPr>
        <w:t>Погіршення стану відзначається з 02:00 04.09.16, коли з'яв</w:t>
      </w:r>
      <w:r>
        <w:rPr>
          <w:iCs/>
          <w:szCs w:val="28"/>
        </w:rPr>
        <w:t>ився</w:t>
      </w:r>
      <w:r w:rsidRPr="004E0C39">
        <w:rPr>
          <w:iCs/>
          <w:szCs w:val="28"/>
        </w:rPr>
        <w:t xml:space="preserve"> </w:t>
      </w:r>
      <w:r>
        <w:rPr>
          <w:iCs/>
          <w:szCs w:val="28"/>
        </w:rPr>
        <w:t>давляче-пекучий біль</w:t>
      </w:r>
      <w:r w:rsidRPr="004E0C39">
        <w:rPr>
          <w:iCs/>
          <w:szCs w:val="28"/>
        </w:rPr>
        <w:t xml:space="preserve"> за груди</w:t>
      </w:r>
      <w:r>
        <w:rPr>
          <w:iCs/>
          <w:szCs w:val="28"/>
        </w:rPr>
        <w:t>ною з ір</w:t>
      </w:r>
      <w:r w:rsidRPr="004E0C39">
        <w:rPr>
          <w:iCs/>
          <w:szCs w:val="28"/>
        </w:rPr>
        <w:t xml:space="preserve">адіацією </w:t>
      </w:r>
      <w:r>
        <w:rPr>
          <w:iCs/>
          <w:szCs w:val="28"/>
        </w:rPr>
        <w:t>під</w:t>
      </w:r>
      <w:r w:rsidRPr="004E0C39">
        <w:rPr>
          <w:iCs/>
          <w:szCs w:val="28"/>
        </w:rPr>
        <w:t xml:space="preserve"> обидв</w:t>
      </w:r>
      <w:r>
        <w:rPr>
          <w:iCs/>
          <w:szCs w:val="28"/>
        </w:rPr>
        <w:t>і</w:t>
      </w:r>
      <w:r w:rsidRPr="004E0C39">
        <w:rPr>
          <w:iCs/>
          <w:szCs w:val="28"/>
        </w:rPr>
        <w:t xml:space="preserve"> лопатки, що супроводжув</w:t>
      </w:r>
      <w:r>
        <w:rPr>
          <w:iCs/>
          <w:szCs w:val="28"/>
        </w:rPr>
        <w:t>ався</w:t>
      </w:r>
      <w:r w:rsidRPr="004E0C39">
        <w:rPr>
          <w:iCs/>
          <w:szCs w:val="28"/>
        </w:rPr>
        <w:t xml:space="preserve"> холодним потом, почуттям нестачі повітря, різкої загальної слаб</w:t>
      </w:r>
      <w:r>
        <w:rPr>
          <w:iCs/>
          <w:szCs w:val="28"/>
        </w:rPr>
        <w:t>к</w:t>
      </w:r>
      <w:r w:rsidRPr="004E0C39">
        <w:rPr>
          <w:iCs/>
          <w:szCs w:val="28"/>
        </w:rPr>
        <w:t xml:space="preserve">ості. </w:t>
      </w:r>
      <w:r>
        <w:rPr>
          <w:iCs/>
          <w:szCs w:val="28"/>
        </w:rPr>
        <w:t>Самостійно жодних медикаментів не приймав</w:t>
      </w:r>
      <w:r w:rsidRPr="004E0C39">
        <w:rPr>
          <w:iCs/>
          <w:szCs w:val="28"/>
        </w:rPr>
        <w:t xml:space="preserve">. Визвана </w:t>
      </w:r>
      <w:r>
        <w:rPr>
          <w:iCs/>
          <w:szCs w:val="28"/>
        </w:rPr>
        <w:t xml:space="preserve">бригада швидкої медичної допомоги, </w:t>
      </w:r>
      <w:r w:rsidRPr="004E0C39">
        <w:rPr>
          <w:iCs/>
          <w:szCs w:val="28"/>
        </w:rPr>
        <w:t xml:space="preserve">зафіксовано АД 100/60 мм рт ст, надана допомога: </w:t>
      </w:r>
      <w:r>
        <w:rPr>
          <w:iCs/>
          <w:szCs w:val="28"/>
        </w:rPr>
        <w:t>клопідогрель</w:t>
      </w:r>
      <w:r w:rsidRPr="004E0C39">
        <w:rPr>
          <w:iCs/>
          <w:szCs w:val="28"/>
        </w:rPr>
        <w:t xml:space="preserve"> 300 мг, </w:t>
      </w:r>
      <w:r>
        <w:rPr>
          <w:iCs/>
          <w:szCs w:val="28"/>
        </w:rPr>
        <w:t>нитр</w:t>
      </w:r>
      <w:r w:rsidRPr="004E0C39">
        <w:rPr>
          <w:iCs/>
          <w:szCs w:val="28"/>
        </w:rPr>
        <w:t>о</w:t>
      </w:r>
      <w:r>
        <w:rPr>
          <w:iCs/>
          <w:szCs w:val="28"/>
        </w:rPr>
        <w:t>гліцерин</w:t>
      </w:r>
      <w:r w:rsidRPr="004E0C39">
        <w:rPr>
          <w:iCs/>
          <w:szCs w:val="28"/>
        </w:rPr>
        <w:t xml:space="preserve"> 2 таб</w:t>
      </w:r>
      <w:r>
        <w:rPr>
          <w:iCs/>
          <w:szCs w:val="28"/>
        </w:rPr>
        <w:t>летки перорально</w:t>
      </w:r>
      <w:r w:rsidRPr="004E0C39">
        <w:rPr>
          <w:iCs/>
          <w:szCs w:val="28"/>
        </w:rPr>
        <w:t>, ва</w:t>
      </w:r>
      <w:r>
        <w:rPr>
          <w:iCs/>
          <w:szCs w:val="28"/>
        </w:rPr>
        <w:t>лід</w:t>
      </w:r>
      <w:r w:rsidRPr="004E0C39">
        <w:rPr>
          <w:iCs/>
          <w:szCs w:val="28"/>
        </w:rPr>
        <w:t>ол 1 таб</w:t>
      </w:r>
      <w:r>
        <w:rPr>
          <w:iCs/>
          <w:szCs w:val="28"/>
        </w:rPr>
        <w:t>летка перорально</w:t>
      </w:r>
      <w:r w:rsidRPr="004E0C39">
        <w:rPr>
          <w:iCs/>
          <w:szCs w:val="28"/>
        </w:rPr>
        <w:t xml:space="preserve">, </w:t>
      </w:r>
      <w:r>
        <w:rPr>
          <w:iCs/>
          <w:szCs w:val="28"/>
        </w:rPr>
        <w:t xml:space="preserve">повторно зафіксовано </w:t>
      </w:r>
      <w:r w:rsidRPr="004E0C39">
        <w:rPr>
          <w:iCs/>
          <w:szCs w:val="28"/>
        </w:rPr>
        <w:t xml:space="preserve">АД 140/90 мм рт ст, пульс 96 </w:t>
      </w:r>
      <w:r>
        <w:rPr>
          <w:iCs/>
          <w:szCs w:val="28"/>
        </w:rPr>
        <w:t>ударів на хвилину</w:t>
      </w:r>
      <w:r w:rsidRPr="004E0C39">
        <w:rPr>
          <w:iCs/>
          <w:szCs w:val="28"/>
        </w:rPr>
        <w:t xml:space="preserve">. </w:t>
      </w:r>
      <w:r>
        <w:rPr>
          <w:iCs/>
          <w:szCs w:val="28"/>
        </w:rPr>
        <w:t>Е</w:t>
      </w:r>
      <w:r w:rsidRPr="004E0C39">
        <w:rPr>
          <w:iCs/>
          <w:szCs w:val="28"/>
        </w:rPr>
        <w:t xml:space="preserve">КГ не </w:t>
      </w:r>
      <w:r>
        <w:rPr>
          <w:iCs/>
          <w:szCs w:val="28"/>
        </w:rPr>
        <w:t>була виконана</w:t>
      </w:r>
      <w:r w:rsidRPr="004E0C39">
        <w:rPr>
          <w:iCs/>
          <w:szCs w:val="28"/>
        </w:rPr>
        <w:t xml:space="preserve">, </w:t>
      </w:r>
      <w:r>
        <w:rPr>
          <w:iCs/>
          <w:szCs w:val="28"/>
        </w:rPr>
        <w:t>больовий</w:t>
      </w:r>
      <w:r w:rsidRPr="004E0C39">
        <w:rPr>
          <w:iCs/>
          <w:szCs w:val="28"/>
        </w:rPr>
        <w:t xml:space="preserve"> синдром не </w:t>
      </w:r>
      <w:r>
        <w:rPr>
          <w:iCs/>
          <w:szCs w:val="28"/>
        </w:rPr>
        <w:t>був купований, хворого було доставлено до приймального відділення КЗОЗ «</w:t>
      </w:r>
      <w:r w:rsidRPr="00BB408E">
        <w:rPr>
          <w:iCs/>
          <w:szCs w:val="28"/>
        </w:rPr>
        <w:t>Харківськ</w:t>
      </w:r>
      <w:r>
        <w:rPr>
          <w:iCs/>
          <w:szCs w:val="28"/>
        </w:rPr>
        <w:t>а</w:t>
      </w:r>
      <w:r w:rsidRPr="00BB408E">
        <w:rPr>
          <w:iCs/>
          <w:szCs w:val="28"/>
        </w:rPr>
        <w:t xml:space="preserve"> міськ</w:t>
      </w:r>
      <w:r>
        <w:rPr>
          <w:iCs/>
          <w:szCs w:val="28"/>
        </w:rPr>
        <w:t>а</w:t>
      </w:r>
      <w:r w:rsidRPr="00BB408E">
        <w:rPr>
          <w:iCs/>
          <w:szCs w:val="28"/>
        </w:rPr>
        <w:t xml:space="preserve"> клінічн</w:t>
      </w:r>
      <w:r>
        <w:rPr>
          <w:iCs/>
          <w:szCs w:val="28"/>
        </w:rPr>
        <w:t xml:space="preserve">а лікарня № 27». </w:t>
      </w:r>
      <w:r w:rsidRPr="003D5DB7">
        <w:rPr>
          <w:iCs/>
          <w:szCs w:val="28"/>
        </w:rPr>
        <w:t>Об</w:t>
      </w:r>
      <w:r w:rsidRPr="00BB408E">
        <w:rPr>
          <w:iCs/>
          <w:szCs w:val="28"/>
        </w:rPr>
        <w:t>΄</w:t>
      </w:r>
      <w:r w:rsidRPr="003D5DB7">
        <w:rPr>
          <w:iCs/>
          <w:szCs w:val="28"/>
        </w:rPr>
        <w:t xml:space="preserve">єктивно: </w:t>
      </w:r>
      <w:r>
        <w:rPr>
          <w:iCs/>
          <w:szCs w:val="28"/>
        </w:rPr>
        <w:t>Загальний стан важкий</w:t>
      </w:r>
      <w:r w:rsidRPr="002611ED">
        <w:rPr>
          <w:iCs/>
          <w:szCs w:val="28"/>
        </w:rPr>
        <w:t xml:space="preserve">. У свідомості. </w:t>
      </w:r>
      <w:r>
        <w:rPr>
          <w:iCs/>
          <w:szCs w:val="28"/>
        </w:rPr>
        <w:t>Значно п</w:t>
      </w:r>
      <w:r w:rsidRPr="002611ED">
        <w:rPr>
          <w:iCs/>
          <w:szCs w:val="28"/>
        </w:rPr>
        <w:t>ідвищеного харчування</w:t>
      </w:r>
      <w:r>
        <w:rPr>
          <w:iCs/>
          <w:szCs w:val="28"/>
        </w:rPr>
        <w:t xml:space="preserve"> (ІМТ= 43,61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ясн</w:t>
      </w:r>
      <w:r>
        <w:rPr>
          <w:iCs/>
          <w:szCs w:val="28"/>
        </w:rPr>
        <w:t xml:space="preserve">ий </w:t>
      </w:r>
      <w:r w:rsidRPr="00CA568C">
        <w:rPr>
          <w:iCs/>
          <w:szCs w:val="28"/>
        </w:rPr>
        <w:t>легенев</w:t>
      </w:r>
      <w:r>
        <w:rPr>
          <w:iCs/>
          <w:szCs w:val="28"/>
        </w:rPr>
        <w:t>ий</w:t>
      </w:r>
      <w:r w:rsidRPr="00CA568C">
        <w:rPr>
          <w:iCs/>
          <w:szCs w:val="28"/>
        </w:rPr>
        <w:t xml:space="preserve"> звук, аускультативно - везикулярн</w:t>
      </w:r>
      <w:r>
        <w:rPr>
          <w:iCs/>
          <w:szCs w:val="28"/>
        </w:rPr>
        <w:t>е</w:t>
      </w:r>
      <w:r w:rsidRPr="00CA568C">
        <w:rPr>
          <w:iCs/>
          <w:szCs w:val="28"/>
        </w:rPr>
        <w:t xml:space="preserve"> дихання</w:t>
      </w:r>
      <w:r>
        <w:rPr>
          <w:iCs/>
          <w:szCs w:val="28"/>
        </w:rPr>
        <w:t>, ослаблене в задньо-базальних відділах</w:t>
      </w:r>
      <w:r w:rsidRPr="002611ED">
        <w:rPr>
          <w:iCs/>
          <w:szCs w:val="28"/>
        </w:rPr>
        <w:t>. ЧД</w:t>
      </w:r>
      <w:r>
        <w:rPr>
          <w:iCs/>
          <w:szCs w:val="28"/>
        </w:rPr>
        <w:t>Р</w:t>
      </w:r>
      <w:r w:rsidRPr="002611ED">
        <w:rPr>
          <w:iCs/>
          <w:szCs w:val="28"/>
        </w:rPr>
        <w:t xml:space="preserve"> - 1</w:t>
      </w:r>
      <w:r>
        <w:rPr>
          <w:iCs/>
          <w:szCs w:val="28"/>
        </w:rPr>
        <w:t>6</w:t>
      </w:r>
      <w:r w:rsidRPr="002611ED">
        <w:rPr>
          <w:iCs/>
          <w:szCs w:val="28"/>
        </w:rPr>
        <w:t xml:space="preserve"> </w:t>
      </w:r>
      <w:r>
        <w:rPr>
          <w:iCs/>
          <w:szCs w:val="28"/>
        </w:rPr>
        <w:t>на</w:t>
      </w:r>
      <w:r w:rsidRPr="002611ED">
        <w:rPr>
          <w:iCs/>
          <w:szCs w:val="28"/>
        </w:rPr>
        <w:t xml:space="preserve"> 1 хв. Сатурація кисню </w:t>
      </w:r>
      <w:r>
        <w:rPr>
          <w:iCs/>
          <w:szCs w:val="28"/>
        </w:rPr>
        <w:t>92</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140/90 мм рт. ст. ЧСС = 92 уд. на хв., PS = 92</w:t>
      </w:r>
      <w:r w:rsidRPr="002611ED">
        <w:rPr>
          <w:iCs/>
          <w:szCs w:val="28"/>
        </w:rPr>
        <w:t xml:space="preserve"> уд. </w:t>
      </w:r>
      <w:r>
        <w:rPr>
          <w:iCs/>
          <w:szCs w:val="28"/>
        </w:rPr>
        <w:t xml:space="preserve">на </w:t>
      </w:r>
      <w:r w:rsidRPr="002611ED">
        <w:rPr>
          <w:iCs/>
          <w:szCs w:val="28"/>
        </w:rPr>
        <w:t xml:space="preserve">хв. Язик вологий, у кореня обкладений білуватим нальотом. Живіт м'який, безболісний, </w:t>
      </w:r>
      <w:r>
        <w:rPr>
          <w:iCs/>
          <w:szCs w:val="28"/>
        </w:rPr>
        <w:t xml:space="preserve">значно </w:t>
      </w:r>
      <w:r w:rsidRPr="002611ED">
        <w:rPr>
          <w:iCs/>
          <w:szCs w:val="28"/>
        </w:rPr>
        <w:t xml:space="preserve">збільшений в розмірах за рахунок підшкірно-жирового шару. Печінка </w:t>
      </w:r>
      <w:r>
        <w:rPr>
          <w:iCs/>
          <w:szCs w:val="28"/>
        </w:rPr>
        <w:t>біля</w:t>
      </w:r>
      <w:r w:rsidRPr="002611ED">
        <w:rPr>
          <w:iCs/>
          <w:szCs w:val="28"/>
        </w:rPr>
        <w:t xml:space="preserve"> краю реберної дуги</w:t>
      </w:r>
      <w:r>
        <w:rPr>
          <w:iCs/>
          <w:szCs w:val="28"/>
        </w:rPr>
        <w:t xml:space="preserve"> (методом сукусії)</w:t>
      </w:r>
      <w:r w:rsidRPr="002611ED">
        <w:rPr>
          <w:iCs/>
          <w:szCs w:val="28"/>
        </w:rPr>
        <w:t xml:space="preserve">.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0A2A14">
        <w:rPr>
          <w:iCs/>
          <w:szCs w:val="28"/>
        </w:rPr>
        <w:t>.</w:t>
      </w:r>
      <w:r>
        <w:rPr>
          <w:iCs/>
          <w:szCs w:val="28"/>
        </w:rPr>
        <w:t xml:space="preserve"> У хворого було визначено </w:t>
      </w:r>
      <w:r>
        <w:rPr>
          <w:iCs/>
          <w:szCs w:val="28"/>
        </w:rPr>
        <w:lastRenderedPageBreak/>
        <w:t xml:space="preserve">кількісний тропонін I (04.09.2016р – 0,69 нг/мл), вітронектин (04.09.2016р – 397,16 нг/мл; 04.10.2016р – 255,8 нг/мл), галектин-3 (04.09.2016р – 31,87 нг/мл; 04.10.2016р – 14,43 нг/мл). </w:t>
      </w:r>
      <w:r w:rsidRPr="00B04D6C">
        <w:rPr>
          <w:iCs/>
          <w:szCs w:val="28"/>
        </w:rPr>
        <w:t>Згідно</w:t>
      </w:r>
      <w:r>
        <w:rPr>
          <w:iCs/>
          <w:szCs w:val="28"/>
        </w:rPr>
        <w:t xml:space="preserve"> </w:t>
      </w:r>
      <w:r w:rsidRPr="00B04D6C">
        <w:rPr>
          <w:iCs/>
          <w:szCs w:val="28"/>
        </w:rPr>
        <w:t xml:space="preserve">результатів </w:t>
      </w:r>
      <w:r w:rsidRPr="00BB408E">
        <w:rPr>
          <w:iCs/>
          <w:szCs w:val="28"/>
        </w:rPr>
        <w:t>ROC</w:t>
      </w:r>
      <w:r w:rsidRPr="00B04D6C">
        <w:rPr>
          <w:iCs/>
          <w:szCs w:val="28"/>
        </w:rPr>
        <w:t xml:space="preserve"> </w:t>
      </w:r>
      <w:r>
        <w:rPr>
          <w:iCs/>
          <w:szCs w:val="28"/>
        </w:rPr>
        <w:t>аналізу,</w:t>
      </w:r>
      <w:r w:rsidRPr="00B04D6C">
        <w:rPr>
          <w:iCs/>
          <w:szCs w:val="28"/>
        </w:rPr>
        <w:t xml:space="preserve"> отримані дані свідчать на користь прогнозу </w:t>
      </w:r>
      <w:r>
        <w:rPr>
          <w:iCs/>
          <w:szCs w:val="28"/>
        </w:rPr>
        <w:t xml:space="preserve">розвитку повторного інфаркту міокарда та/або нестабільної стенокардії протягом 6-місяців після перенесеного ГІМ на тлі ожиріння. На </w:t>
      </w:r>
      <w:r w:rsidRPr="004D1DE6">
        <w:rPr>
          <w:iCs/>
          <w:szCs w:val="28"/>
        </w:rPr>
        <w:t>Е</w:t>
      </w:r>
      <w:r w:rsidRPr="000A2A14">
        <w:rPr>
          <w:iCs/>
          <w:szCs w:val="28"/>
        </w:rPr>
        <w:t xml:space="preserve">КГ </w:t>
      </w:r>
      <w:r w:rsidRPr="004D1DE6">
        <w:rPr>
          <w:iCs/>
          <w:szCs w:val="28"/>
        </w:rPr>
        <w:t xml:space="preserve">від </w:t>
      </w:r>
      <w:r w:rsidRPr="000A2A14">
        <w:rPr>
          <w:iCs/>
          <w:szCs w:val="28"/>
        </w:rPr>
        <w:t xml:space="preserve">04.09.2016 </w:t>
      </w:r>
      <w:r w:rsidRPr="004D1DE6">
        <w:rPr>
          <w:iCs/>
          <w:szCs w:val="28"/>
        </w:rPr>
        <w:t>о</w:t>
      </w:r>
      <w:r w:rsidRPr="000A2A14">
        <w:rPr>
          <w:iCs/>
          <w:szCs w:val="28"/>
        </w:rPr>
        <w:t xml:space="preserve"> 03:33</w:t>
      </w:r>
      <w:r w:rsidRPr="000A2A14">
        <w:rPr>
          <w:b/>
          <w:iCs/>
          <w:szCs w:val="28"/>
        </w:rPr>
        <w:t xml:space="preserve"> </w:t>
      </w:r>
      <w:r w:rsidRPr="000A2A14">
        <w:rPr>
          <w:iCs/>
          <w:szCs w:val="28"/>
        </w:rPr>
        <w:t>– синусова тах</w:t>
      </w:r>
      <w:r>
        <w:rPr>
          <w:iCs/>
          <w:szCs w:val="28"/>
        </w:rPr>
        <w:t>і</w:t>
      </w:r>
      <w:r w:rsidRPr="000A2A14">
        <w:rPr>
          <w:iCs/>
          <w:szCs w:val="28"/>
        </w:rPr>
        <w:t>кард</w:t>
      </w:r>
      <w:r>
        <w:rPr>
          <w:iCs/>
          <w:szCs w:val="28"/>
        </w:rPr>
        <w:t>і</w:t>
      </w:r>
      <w:r w:rsidRPr="000A2A14">
        <w:rPr>
          <w:iCs/>
          <w:szCs w:val="28"/>
        </w:rPr>
        <w:t>я, блокада право</w:t>
      </w:r>
      <w:r>
        <w:rPr>
          <w:iCs/>
          <w:szCs w:val="28"/>
        </w:rPr>
        <w:t>ї</w:t>
      </w:r>
      <w:r w:rsidRPr="000A2A14">
        <w:rPr>
          <w:iCs/>
          <w:szCs w:val="28"/>
        </w:rPr>
        <w:t xml:space="preserve"> н</w:t>
      </w:r>
      <w:r>
        <w:rPr>
          <w:iCs/>
          <w:szCs w:val="28"/>
        </w:rPr>
        <w:t>і</w:t>
      </w:r>
      <w:r w:rsidRPr="000A2A14">
        <w:rPr>
          <w:iCs/>
          <w:szCs w:val="28"/>
        </w:rPr>
        <w:t>жки п</w:t>
      </w:r>
      <w:r>
        <w:rPr>
          <w:iCs/>
          <w:szCs w:val="28"/>
        </w:rPr>
        <w:t>учка</w:t>
      </w:r>
      <w:r w:rsidRPr="000A2A14">
        <w:rPr>
          <w:iCs/>
          <w:szCs w:val="28"/>
        </w:rPr>
        <w:t xml:space="preserve"> Г</w:t>
      </w:r>
      <w:r>
        <w:rPr>
          <w:iCs/>
          <w:szCs w:val="28"/>
        </w:rPr>
        <w:t>і</w:t>
      </w:r>
      <w:r w:rsidRPr="000A2A14">
        <w:rPr>
          <w:iCs/>
          <w:szCs w:val="28"/>
        </w:rPr>
        <w:t xml:space="preserve">са, </w:t>
      </w:r>
      <w:r>
        <w:rPr>
          <w:iCs/>
          <w:szCs w:val="28"/>
        </w:rPr>
        <w:t>е</w:t>
      </w:r>
      <w:r w:rsidRPr="000A2A14">
        <w:rPr>
          <w:iCs/>
          <w:szCs w:val="28"/>
        </w:rPr>
        <w:t>левац</w:t>
      </w:r>
      <w:r>
        <w:rPr>
          <w:iCs/>
          <w:szCs w:val="28"/>
        </w:rPr>
        <w:t>і</w:t>
      </w:r>
      <w:r w:rsidRPr="000A2A14">
        <w:rPr>
          <w:iCs/>
          <w:szCs w:val="28"/>
        </w:rPr>
        <w:t xml:space="preserve">я </w:t>
      </w:r>
      <w:r>
        <w:rPr>
          <w:iCs/>
          <w:szCs w:val="28"/>
        </w:rPr>
        <w:t xml:space="preserve">сегмента </w:t>
      </w:r>
      <w:r w:rsidRPr="004D1DE6">
        <w:rPr>
          <w:iCs/>
          <w:szCs w:val="28"/>
          <w:lang w:val="en-US"/>
        </w:rPr>
        <w:t>ST</w:t>
      </w:r>
      <w:r w:rsidRPr="000A2A14">
        <w:rPr>
          <w:iCs/>
          <w:szCs w:val="28"/>
        </w:rPr>
        <w:t xml:space="preserve"> до 5 мм по передн</w:t>
      </w:r>
      <w:r>
        <w:rPr>
          <w:iCs/>
          <w:szCs w:val="28"/>
        </w:rPr>
        <w:t>і</w:t>
      </w:r>
      <w:r w:rsidRPr="000A2A14">
        <w:rPr>
          <w:iCs/>
          <w:szCs w:val="28"/>
        </w:rPr>
        <w:t>й с</w:t>
      </w:r>
      <w:r>
        <w:rPr>
          <w:iCs/>
          <w:szCs w:val="28"/>
        </w:rPr>
        <w:t>тінці</w:t>
      </w:r>
      <w:r w:rsidRPr="000A2A14">
        <w:rPr>
          <w:iCs/>
          <w:szCs w:val="28"/>
        </w:rPr>
        <w:t xml:space="preserve"> </w:t>
      </w:r>
      <w:r>
        <w:rPr>
          <w:iCs/>
          <w:szCs w:val="28"/>
        </w:rPr>
        <w:t xml:space="preserve">у відведеннях </w:t>
      </w:r>
      <w:r w:rsidRPr="004D1DE6">
        <w:rPr>
          <w:iCs/>
          <w:szCs w:val="28"/>
          <w:lang w:val="en-US"/>
        </w:rPr>
        <w:t>V</w:t>
      </w:r>
      <w:r w:rsidRPr="000A2A14">
        <w:rPr>
          <w:iCs/>
          <w:szCs w:val="28"/>
        </w:rPr>
        <w:t>2-</w:t>
      </w:r>
      <w:r w:rsidRPr="004D1DE6">
        <w:rPr>
          <w:iCs/>
          <w:szCs w:val="28"/>
          <w:lang w:val="en-US"/>
        </w:rPr>
        <w:t>V</w:t>
      </w:r>
      <w:r w:rsidRPr="000A2A14">
        <w:rPr>
          <w:iCs/>
          <w:szCs w:val="28"/>
        </w:rPr>
        <w:t>5</w:t>
      </w:r>
      <w:r>
        <w:rPr>
          <w:iCs/>
          <w:szCs w:val="28"/>
        </w:rPr>
        <w:t xml:space="preserve">, на </w:t>
      </w:r>
      <w:r w:rsidRPr="004D1DE6">
        <w:rPr>
          <w:iCs/>
          <w:szCs w:val="28"/>
        </w:rPr>
        <w:t>Е</w:t>
      </w:r>
      <w:r w:rsidRPr="000A2A14">
        <w:rPr>
          <w:iCs/>
          <w:szCs w:val="28"/>
        </w:rPr>
        <w:t xml:space="preserve">КГ </w:t>
      </w:r>
      <w:r>
        <w:rPr>
          <w:iCs/>
          <w:szCs w:val="28"/>
        </w:rPr>
        <w:t xml:space="preserve">від </w:t>
      </w:r>
      <w:r w:rsidRPr="000A2A14">
        <w:rPr>
          <w:iCs/>
          <w:szCs w:val="28"/>
        </w:rPr>
        <w:t xml:space="preserve">04.09.2016 </w:t>
      </w:r>
      <w:r>
        <w:rPr>
          <w:iCs/>
          <w:szCs w:val="28"/>
        </w:rPr>
        <w:t>о</w:t>
      </w:r>
      <w:r w:rsidRPr="000A2A14">
        <w:rPr>
          <w:iCs/>
          <w:szCs w:val="28"/>
        </w:rPr>
        <w:t xml:space="preserve"> 17:58 – синусова тах</w:t>
      </w:r>
      <w:r>
        <w:rPr>
          <w:iCs/>
          <w:szCs w:val="28"/>
        </w:rPr>
        <w:t>і</w:t>
      </w:r>
      <w:r w:rsidRPr="000A2A14">
        <w:rPr>
          <w:iCs/>
          <w:szCs w:val="28"/>
        </w:rPr>
        <w:t>кард</w:t>
      </w:r>
      <w:r>
        <w:rPr>
          <w:iCs/>
          <w:szCs w:val="28"/>
        </w:rPr>
        <w:t>і</w:t>
      </w:r>
      <w:r w:rsidRPr="000A2A14">
        <w:rPr>
          <w:iCs/>
          <w:szCs w:val="28"/>
        </w:rPr>
        <w:t xml:space="preserve">я, </w:t>
      </w:r>
      <w:r>
        <w:rPr>
          <w:iCs/>
          <w:szCs w:val="28"/>
        </w:rPr>
        <w:t>початок</w:t>
      </w:r>
      <w:r w:rsidRPr="000A2A14">
        <w:rPr>
          <w:iCs/>
          <w:szCs w:val="28"/>
        </w:rPr>
        <w:t xml:space="preserve"> </w:t>
      </w:r>
      <w:r>
        <w:rPr>
          <w:iCs/>
          <w:szCs w:val="28"/>
        </w:rPr>
        <w:t>е</w:t>
      </w:r>
      <w:r w:rsidRPr="000A2A14">
        <w:rPr>
          <w:iCs/>
          <w:szCs w:val="28"/>
        </w:rPr>
        <w:t>волюц</w:t>
      </w:r>
      <w:r>
        <w:rPr>
          <w:iCs/>
          <w:szCs w:val="28"/>
        </w:rPr>
        <w:t>ії</w:t>
      </w:r>
      <w:r w:rsidRPr="000A2A14">
        <w:rPr>
          <w:iCs/>
          <w:szCs w:val="28"/>
        </w:rPr>
        <w:t xml:space="preserve"> передн</w:t>
      </w:r>
      <w:r>
        <w:rPr>
          <w:iCs/>
          <w:szCs w:val="28"/>
        </w:rPr>
        <w:t>ьо</w:t>
      </w:r>
      <w:r w:rsidRPr="000A2A14">
        <w:rPr>
          <w:iCs/>
          <w:szCs w:val="28"/>
        </w:rPr>
        <w:t xml:space="preserve">го трансмурального </w:t>
      </w:r>
      <w:r>
        <w:rPr>
          <w:iCs/>
          <w:szCs w:val="28"/>
        </w:rPr>
        <w:t>і</w:t>
      </w:r>
      <w:r w:rsidRPr="000A2A14">
        <w:rPr>
          <w:iCs/>
          <w:szCs w:val="28"/>
        </w:rPr>
        <w:t>нфаркт</w:t>
      </w:r>
      <w:r>
        <w:rPr>
          <w:iCs/>
          <w:szCs w:val="28"/>
        </w:rPr>
        <w:t>у</w:t>
      </w:r>
      <w:r w:rsidRPr="000A2A14">
        <w:rPr>
          <w:iCs/>
          <w:szCs w:val="28"/>
        </w:rPr>
        <w:t xml:space="preserve"> м</w:t>
      </w:r>
      <w:r>
        <w:rPr>
          <w:iCs/>
          <w:szCs w:val="28"/>
        </w:rPr>
        <w:t>і</w:t>
      </w:r>
      <w:r w:rsidRPr="000A2A14">
        <w:rPr>
          <w:iCs/>
          <w:szCs w:val="28"/>
        </w:rPr>
        <w:t xml:space="preserve">окарда. </w:t>
      </w:r>
      <w:r>
        <w:rPr>
          <w:iCs/>
          <w:szCs w:val="28"/>
        </w:rPr>
        <w:t xml:space="preserve">За даними УЗД - </w:t>
      </w:r>
      <w:r w:rsidRPr="004D1DE6">
        <w:rPr>
          <w:iCs/>
          <w:szCs w:val="28"/>
        </w:rPr>
        <w:t>ак</w:t>
      </w:r>
      <w:r>
        <w:rPr>
          <w:iCs/>
          <w:szCs w:val="28"/>
        </w:rPr>
        <w:t>і</w:t>
      </w:r>
      <w:r w:rsidRPr="004D1DE6">
        <w:rPr>
          <w:iCs/>
          <w:szCs w:val="28"/>
        </w:rPr>
        <w:t>нез</w:t>
      </w:r>
      <w:r>
        <w:rPr>
          <w:iCs/>
          <w:szCs w:val="28"/>
        </w:rPr>
        <w:t>і</w:t>
      </w:r>
      <w:r w:rsidRPr="004D1DE6">
        <w:rPr>
          <w:iCs/>
          <w:szCs w:val="28"/>
        </w:rPr>
        <w:t xml:space="preserve">я в </w:t>
      </w:r>
      <w:r>
        <w:rPr>
          <w:iCs/>
          <w:szCs w:val="28"/>
        </w:rPr>
        <w:t>перетинково-верхівковій ділянці</w:t>
      </w:r>
      <w:r w:rsidRPr="004D1DE6">
        <w:rPr>
          <w:iCs/>
          <w:szCs w:val="28"/>
        </w:rPr>
        <w:t>, г</w:t>
      </w:r>
      <w:r>
        <w:rPr>
          <w:iCs/>
          <w:szCs w:val="28"/>
        </w:rPr>
        <w:t>і</w:t>
      </w:r>
      <w:r w:rsidRPr="004D1DE6">
        <w:rPr>
          <w:iCs/>
          <w:szCs w:val="28"/>
        </w:rPr>
        <w:t>пертроф</w:t>
      </w:r>
      <w:r>
        <w:rPr>
          <w:iCs/>
          <w:szCs w:val="28"/>
        </w:rPr>
        <w:t>і</w:t>
      </w:r>
      <w:r w:rsidRPr="004D1DE6">
        <w:rPr>
          <w:iCs/>
          <w:szCs w:val="28"/>
        </w:rPr>
        <w:t>я м</w:t>
      </w:r>
      <w:r>
        <w:rPr>
          <w:iCs/>
          <w:szCs w:val="28"/>
        </w:rPr>
        <w:t>і</w:t>
      </w:r>
      <w:r w:rsidRPr="004D1DE6">
        <w:rPr>
          <w:iCs/>
          <w:szCs w:val="28"/>
        </w:rPr>
        <w:t>окарда л</w:t>
      </w:r>
      <w:r>
        <w:rPr>
          <w:iCs/>
          <w:szCs w:val="28"/>
        </w:rPr>
        <w:t>і</w:t>
      </w:r>
      <w:r w:rsidRPr="004D1DE6">
        <w:rPr>
          <w:iCs/>
          <w:szCs w:val="28"/>
        </w:rPr>
        <w:t xml:space="preserve">вого </w:t>
      </w:r>
      <w:r>
        <w:rPr>
          <w:iCs/>
          <w:szCs w:val="28"/>
        </w:rPr>
        <w:t>шлуно</w:t>
      </w:r>
      <w:r w:rsidRPr="004D1DE6">
        <w:rPr>
          <w:iCs/>
          <w:szCs w:val="28"/>
        </w:rPr>
        <w:t xml:space="preserve">чка. ФВ – </w:t>
      </w:r>
      <w:r>
        <w:rPr>
          <w:iCs/>
          <w:szCs w:val="28"/>
        </w:rPr>
        <w:t>38</w:t>
      </w:r>
      <w:r w:rsidRPr="004D1DE6">
        <w:rPr>
          <w:iCs/>
          <w:szCs w:val="28"/>
        </w:rPr>
        <w:t xml:space="preserve"> %.</w:t>
      </w:r>
      <w:r>
        <w:rPr>
          <w:iCs/>
          <w:szCs w:val="28"/>
        </w:rPr>
        <w:t xml:space="preserve"> </w:t>
      </w:r>
      <w:r w:rsidRPr="0007570A">
        <w:rPr>
          <w:iCs/>
          <w:szCs w:val="28"/>
        </w:rPr>
        <w:t>Проведено лікування: тромболітична терапія (</w:t>
      </w:r>
      <w:r>
        <w:rPr>
          <w:iCs/>
          <w:szCs w:val="28"/>
        </w:rPr>
        <w:t>стрептокіназа</w:t>
      </w:r>
      <w:r w:rsidRPr="0007570A">
        <w:rPr>
          <w:iCs/>
          <w:szCs w:val="28"/>
        </w:rPr>
        <w:t xml:space="preserve"> </w:t>
      </w:r>
      <w:r>
        <w:rPr>
          <w:iCs/>
          <w:szCs w:val="28"/>
        </w:rPr>
        <w:t>1,5</w:t>
      </w:r>
      <w:r w:rsidRPr="0007570A">
        <w:rPr>
          <w:iCs/>
          <w:szCs w:val="28"/>
        </w:rPr>
        <w:t xml:space="preserve"> млн. ОД), </w:t>
      </w:r>
      <w:r>
        <w:rPr>
          <w:iCs/>
          <w:szCs w:val="28"/>
        </w:rPr>
        <w:t xml:space="preserve">промедол 1% - 1.0 в/в стр., нітрогліцерин 1% - 2мл на </w:t>
      </w:r>
      <w:r w:rsidRPr="004D1DE6">
        <w:rPr>
          <w:iCs/>
          <w:szCs w:val="28"/>
        </w:rPr>
        <w:t xml:space="preserve">200 мл </w:t>
      </w:r>
      <w:r>
        <w:rPr>
          <w:iCs/>
          <w:szCs w:val="28"/>
        </w:rPr>
        <w:t>0</w:t>
      </w:r>
      <w:r w:rsidRPr="000A2A14">
        <w:rPr>
          <w:iCs/>
          <w:szCs w:val="28"/>
        </w:rPr>
        <w:t>,</w:t>
      </w:r>
      <w:r>
        <w:rPr>
          <w:iCs/>
          <w:szCs w:val="28"/>
        </w:rPr>
        <w:t xml:space="preserve">9% розчину NaCl </w:t>
      </w:r>
      <w:r w:rsidRPr="004D1DE6">
        <w:rPr>
          <w:iCs/>
          <w:szCs w:val="28"/>
        </w:rPr>
        <w:t>в/в к</w:t>
      </w:r>
      <w:r>
        <w:rPr>
          <w:iCs/>
          <w:szCs w:val="28"/>
        </w:rPr>
        <w:t>р</w:t>
      </w:r>
      <w:r w:rsidRPr="004D1DE6">
        <w:rPr>
          <w:iCs/>
          <w:szCs w:val="28"/>
        </w:rPr>
        <w:t>апельно</w:t>
      </w:r>
      <w:r>
        <w:rPr>
          <w:iCs/>
          <w:szCs w:val="28"/>
        </w:rPr>
        <w:t>,</w:t>
      </w:r>
      <w:r w:rsidRPr="004D1DE6">
        <w:rPr>
          <w:iCs/>
          <w:szCs w:val="28"/>
        </w:rPr>
        <w:t xml:space="preserve"> </w:t>
      </w:r>
      <w:r>
        <w:rPr>
          <w:iCs/>
          <w:szCs w:val="28"/>
        </w:rPr>
        <w:t>АСК</w:t>
      </w:r>
      <w:r w:rsidRPr="0007570A">
        <w:rPr>
          <w:iCs/>
          <w:szCs w:val="28"/>
        </w:rPr>
        <w:t xml:space="preserve"> - навантажувальна доза 250 мг, потім 125 мг </w:t>
      </w:r>
      <w:r>
        <w:rPr>
          <w:iCs/>
          <w:szCs w:val="28"/>
        </w:rPr>
        <w:t>перорально</w:t>
      </w:r>
      <w:r w:rsidRPr="0007570A">
        <w:rPr>
          <w:iCs/>
          <w:szCs w:val="28"/>
        </w:rPr>
        <w:t xml:space="preserve">, </w:t>
      </w:r>
      <w:r>
        <w:rPr>
          <w:iCs/>
          <w:szCs w:val="28"/>
        </w:rPr>
        <w:t>клопідогрель</w:t>
      </w:r>
      <w:r w:rsidRPr="0007570A">
        <w:rPr>
          <w:iCs/>
          <w:szCs w:val="28"/>
        </w:rPr>
        <w:t xml:space="preserve"> - навантажувальна доза </w:t>
      </w:r>
      <w:r>
        <w:rPr>
          <w:iCs/>
          <w:szCs w:val="28"/>
        </w:rPr>
        <w:t>300</w:t>
      </w:r>
      <w:r w:rsidRPr="0007570A">
        <w:rPr>
          <w:iCs/>
          <w:szCs w:val="28"/>
        </w:rPr>
        <w:t xml:space="preserve"> мг, потім </w:t>
      </w:r>
      <w:r>
        <w:rPr>
          <w:iCs/>
          <w:szCs w:val="28"/>
        </w:rPr>
        <w:t>75 мг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 xml:space="preserve">внутрішньо; метопролол 12.5 мг 2 рази на день перорально; </w:t>
      </w:r>
      <w:r w:rsidRPr="0007570A">
        <w:rPr>
          <w:iCs/>
          <w:szCs w:val="28"/>
        </w:rPr>
        <w:t xml:space="preserve">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Було встановлено, що через 5 місяців після перенесеного ІМ у хворого виник ангінозний біль тривалістю 25 хвилин, з ірадіацією в ліву руку, що стало причиною для екстреної госпіталізації хворого до спеціалізованого стаціонару з діагнозом гострого повторного інфаркту міокарда.</w:t>
      </w:r>
    </w:p>
    <w:p w:rsidR="008637A2" w:rsidRDefault="00F407BB" w:rsidP="00F407BB">
      <w:pPr>
        <w:autoSpaceDE w:val="0"/>
        <w:autoSpaceDN w:val="0"/>
        <w:adjustRightInd w:val="0"/>
        <w:spacing w:after="0" w:line="360" w:lineRule="auto"/>
        <w:ind w:firstLine="708"/>
        <w:jc w:val="both"/>
        <w:rPr>
          <w:iCs/>
          <w:szCs w:val="28"/>
        </w:rPr>
      </w:pPr>
      <w:r w:rsidRPr="00BB408E">
        <w:rPr>
          <w:iCs/>
          <w:szCs w:val="28"/>
        </w:rPr>
        <w:t xml:space="preserve">Тобто об’єктивно та інструментальними методами підтверджено предикторність рівня </w:t>
      </w:r>
      <w:r>
        <w:rPr>
          <w:iCs/>
          <w:szCs w:val="28"/>
        </w:rPr>
        <w:t>вітронектину</w:t>
      </w:r>
      <w:r w:rsidRPr="00BB408E">
        <w:rPr>
          <w:iCs/>
          <w:szCs w:val="28"/>
        </w:rPr>
        <w:t>˃</w:t>
      </w:r>
      <w:r>
        <w:rPr>
          <w:iCs/>
          <w:szCs w:val="28"/>
        </w:rPr>
        <w:t>283,27 </w:t>
      </w:r>
      <w:r w:rsidRPr="00BB408E">
        <w:rPr>
          <w:iCs/>
          <w:szCs w:val="28"/>
        </w:rPr>
        <w:t xml:space="preserve">нг/мл </w:t>
      </w:r>
      <w:r>
        <w:rPr>
          <w:iCs/>
          <w:szCs w:val="28"/>
        </w:rPr>
        <w:t>та галектину-3</w:t>
      </w:r>
      <w:r w:rsidRPr="000A2A14">
        <w:rPr>
          <w:iCs/>
          <w:szCs w:val="28"/>
        </w:rPr>
        <w:t>&gt;</w:t>
      </w:r>
      <w:r>
        <w:rPr>
          <w:iCs/>
          <w:szCs w:val="28"/>
        </w:rPr>
        <w:t>12,83 </w:t>
      </w:r>
      <w:r w:rsidRPr="000A2A14">
        <w:rPr>
          <w:iCs/>
          <w:szCs w:val="28"/>
        </w:rPr>
        <w:t xml:space="preserve">нг/мл </w:t>
      </w:r>
      <w:r w:rsidRPr="00BB408E">
        <w:rPr>
          <w:iCs/>
          <w:szCs w:val="28"/>
        </w:rPr>
        <w:t xml:space="preserve">у відношенні </w:t>
      </w:r>
      <w:r>
        <w:rPr>
          <w:iCs/>
          <w:szCs w:val="28"/>
        </w:rPr>
        <w:t>розвитку повторних кардіоваскулярних подій протягом 6 місяців після перенесеного ГІМ на тлі супутнього ожиріння</w:t>
      </w:r>
      <w:r w:rsidRPr="00BB408E">
        <w:rPr>
          <w:iCs/>
          <w:szCs w:val="28"/>
        </w:rPr>
        <w:t>, що надає можливість застосовувати його з метою удосконалення діагностики.</w:t>
      </w:r>
      <w:r>
        <w:rPr>
          <w:iCs/>
          <w:szCs w:val="28"/>
        </w:rPr>
        <w:t xml:space="preserve"> </w:t>
      </w:r>
    </w:p>
    <w:p w:rsidR="008637A2" w:rsidRDefault="008637A2">
      <w:pPr>
        <w:rPr>
          <w:iCs/>
          <w:szCs w:val="28"/>
        </w:rPr>
      </w:pPr>
      <w:r>
        <w:rPr>
          <w:iCs/>
          <w:szCs w:val="28"/>
        </w:rPr>
        <w:br w:type="page"/>
      </w:r>
    </w:p>
    <w:p w:rsidR="008637A2" w:rsidRPr="003E7AD9" w:rsidRDefault="008637A2" w:rsidP="008637A2">
      <w:pPr>
        <w:spacing w:after="0" w:line="360" w:lineRule="auto"/>
        <w:ind w:firstLine="567"/>
        <w:jc w:val="center"/>
        <w:rPr>
          <w:b/>
          <w:szCs w:val="28"/>
        </w:rPr>
      </w:pPr>
      <w:r w:rsidRPr="003E7AD9">
        <w:rPr>
          <w:b/>
          <w:szCs w:val="28"/>
        </w:rPr>
        <w:lastRenderedPageBreak/>
        <w:t>ВИСНОВКИ</w:t>
      </w:r>
    </w:p>
    <w:p w:rsidR="008637A2" w:rsidRPr="001370AD" w:rsidRDefault="008637A2" w:rsidP="008637A2">
      <w:pPr>
        <w:pStyle w:val="a3"/>
        <w:numPr>
          <w:ilvl w:val="0"/>
          <w:numId w:val="18"/>
        </w:numPr>
        <w:spacing w:after="0" w:line="360" w:lineRule="auto"/>
        <w:ind w:left="0" w:firstLine="567"/>
        <w:jc w:val="both"/>
      </w:pPr>
      <w:r>
        <w:t xml:space="preserve">У дисертаційній роботі наведено вирішення актуального питання внутрішньої медицини, а саме </w:t>
      </w:r>
      <w:r w:rsidRPr="001370AD">
        <w:rPr>
          <w:rFonts w:eastAsia="Calibri"/>
          <w:szCs w:val="28"/>
        </w:rPr>
        <w:t xml:space="preserve">підвищення ефективності діагностики і лікування хворих на </w:t>
      </w:r>
      <w:r w:rsidRPr="001370AD">
        <w:rPr>
          <w:szCs w:val="28"/>
        </w:rPr>
        <w:t xml:space="preserve">гострий інфаркт міокарда </w:t>
      </w:r>
      <w:r w:rsidRPr="001370AD">
        <w:rPr>
          <w:rFonts w:eastAsia="Calibri"/>
          <w:szCs w:val="28"/>
        </w:rPr>
        <w:t xml:space="preserve">з супутнім ожирінням на підставі оцінки активності вітронектину та галектину-3, а також дослідження їх прогностичного значення у розвитку несприятливого перебігу </w:t>
      </w:r>
      <w:r w:rsidRPr="001370AD">
        <w:rPr>
          <w:szCs w:val="28"/>
        </w:rPr>
        <w:t>гострого інфаркту міокарда</w:t>
      </w:r>
      <w:r w:rsidRPr="001370AD">
        <w:rPr>
          <w:rFonts w:eastAsia="Calibri"/>
          <w:szCs w:val="28"/>
        </w:rPr>
        <w:t>.</w:t>
      </w:r>
    </w:p>
    <w:p w:rsidR="008637A2" w:rsidRPr="001370AD" w:rsidRDefault="008637A2" w:rsidP="008637A2">
      <w:pPr>
        <w:pStyle w:val="a3"/>
        <w:numPr>
          <w:ilvl w:val="0"/>
          <w:numId w:val="18"/>
        </w:numPr>
        <w:spacing w:after="0" w:line="360" w:lineRule="auto"/>
        <w:ind w:left="0" w:firstLine="567"/>
        <w:jc w:val="both"/>
      </w:pPr>
      <w:r w:rsidRPr="00F95F78">
        <w:t xml:space="preserve"> </w:t>
      </w:r>
      <w:r w:rsidRPr="004D0619">
        <w:t>У хворих на гострий інфаркт міокарда спостерігається зростання рівня галектину-3 на 32,4% та концентрації вітронектину на 25,9% ра</w:t>
      </w:r>
      <w:r>
        <w:t>зом зі збільшенням проатерогенн</w:t>
      </w:r>
      <w:r w:rsidRPr="003F7174">
        <w:t>и</w:t>
      </w:r>
      <w:r w:rsidRPr="004D0619">
        <w:t>х ліпопротеїдів низької щільності</w:t>
      </w:r>
      <w:r>
        <w:t>, за умов співставних рівнів креатиніну</w:t>
      </w:r>
      <w:r w:rsidRPr="004D0619">
        <w:t xml:space="preserve"> </w:t>
      </w:r>
      <w:r>
        <w:t>при зниженні якості життя за рахунок рольового функціонування, обумовленого фізичним станом,</w:t>
      </w:r>
      <w:r w:rsidRPr="004D0619">
        <w:t xml:space="preserve"> </w:t>
      </w:r>
      <w:r>
        <w:t xml:space="preserve">за </w:t>
      </w:r>
      <w:r w:rsidRPr="004D0619">
        <w:t xml:space="preserve">наявності ожиріння, мультисудинного ураження </w:t>
      </w:r>
      <w:r>
        <w:t>коронарних артерій</w:t>
      </w:r>
      <w:r w:rsidRPr="004D0619">
        <w:t xml:space="preserve"> та ускладненого перебігу госпітального періода кардіоваскулярної події. </w:t>
      </w:r>
      <w:r>
        <w:t xml:space="preserve">Наявність гіпергалектинемії </w:t>
      </w:r>
      <w:r w:rsidRPr="007C4F21">
        <w:t xml:space="preserve">та вітронектинемії </w:t>
      </w:r>
      <w:r>
        <w:t>у хворих на гострий інфаркт міокарда та ожиріння супроводжується збільшенням балів шкали Генсіні, що характеризують тяжкість атеросклеротичного ураження коронарних судин.</w:t>
      </w:r>
    </w:p>
    <w:p w:rsidR="008637A2" w:rsidRDefault="008637A2" w:rsidP="008637A2">
      <w:pPr>
        <w:pStyle w:val="a3"/>
        <w:numPr>
          <w:ilvl w:val="0"/>
          <w:numId w:val="18"/>
        </w:numPr>
        <w:spacing w:after="0" w:line="360" w:lineRule="auto"/>
        <w:ind w:left="0" w:firstLine="567"/>
        <w:jc w:val="both"/>
      </w:pPr>
      <w:r>
        <w:t>У хворих з гострим інфарктом міокарда та ожирінням визначається збільшення розмірів і об</w:t>
      </w:r>
      <w:r w:rsidRPr="00FF5121">
        <w:t>’</w:t>
      </w:r>
      <w:r>
        <w:t>ємів лівого шлуночка та зниження його контрактильності разом зі зростанням ступеня гіпертрофії лівого шлуночка</w:t>
      </w:r>
      <w:r w:rsidRPr="007C4F21">
        <w:t xml:space="preserve"> </w:t>
      </w:r>
      <w:r>
        <w:t xml:space="preserve">та параметрів, відповідальних за міокардіально-артеріальну жорсткість, за умов ускладненого перебігу госпітального періоду інфаркту міокарда та мультисудинного ураження коронарних артерій. </w:t>
      </w:r>
    </w:p>
    <w:p w:rsidR="008637A2" w:rsidRDefault="008637A2" w:rsidP="008637A2">
      <w:pPr>
        <w:pStyle w:val="a3"/>
        <w:numPr>
          <w:ilvl w:val="0"/>
          <w:numId w:val="18"/>
        </w:numPr>
        <w:spacing w:after="0" w:line="360" w:lineRule="auto"/>
        <w:ind w:left="0" w:firstLine="567"/>
        <w:jc w:val="both"/>
      </w:pPr>
      <w:r>
        <w:t>Зростання індексу маси тіла та прогресування ожиріння абдомінального типу у хворих на гострий інфаркт міокарда супроводжується гіпервітронектинемією та гіпергалектинемією, що взаєм</w:t>
      </w:r>
      <w:r w:rsidRPr="003F7174">
        <w:t>опов’язані</w:t>
      </w:r>
      <w:r>
        <w:t xml:space="preserve"> зі збільшенням кінцевого систолічного (</w:t>
      </w:r>
      <w:r w:rsidRPr="005865AE">
        <w:rPr>
          <w:rFonts w:eastAsia="Calibri"/>
          <w:szCs w:val="28"/>
          <w:lang w:val="ru-RU"/>
        </w:rPr>
        <w:t>r</w:t>
      </w:r>
      <w:r w:rsidRPr="005865AE">
        <w:rPr>
          <w:rFonts w:eastAsia="Calibri"/>
          <w:szCs w:val="28"/>
        </w:rPr>
        <w:t>=0,44</w:t>
      </w:r>
      <w:r>
        <w:rPr>
          <w:rFonts w:eastAsia="Calibri"/>
          <w:szCs w:val="28"/>
        </w:rPr>
        <w:t>, p&lt;0,05</w:t>
      </w:r>
      <w:r w:rsidRPr="005865AE">
        <w:rPr>
          <w:rFonts w:eastAsia="Calibri"/>
          <w:szCs w:val="28"/>
        </w:rPr>
        <w:t xml:space="preserve"> та </w:t>
      </w:r>
      <w:r>
        <w:t>r=</w:t>
      </w:r>
      <w:r w:rsidRPr="0058538F">
        <w:t>0,64</w:t>
      </w:r>
      <w:r w:rsidRPr="009E19DB">
        <w:t xml:space="preserve">, </w:t>
      </w:r>
      <w:r>
        <w:rPr>
          <w:lang w:val="en-US"/>
        </w:rPr>
        <w:t>p</w:t>
      </w:r>
      <w:r w:rsidRPr="009E19DB">
        <w:t>&lt;0,05</w:t>
      </w:r>
      <w:r>
        <w:t xml:space="preserve"> відповідно) та кінцевого діастолічного (</w:t>
      </w:r>
      <w:r w:rsidRPr="005865AE">
        <w:rPr>
          <w:rFonts w:eastAsia="Calibri"/>
          <w:szCs w:val="28"/>
          <w:lang w:val="ru-RU"/>
        </w:rPr>
        <w:t>r</w:t>
      </w:r>
      <w:r w:rsidRPr="005865AE">
        <w:rPr>
          <w:rFonts w:eastAsia="Calibri"/>
          <w:szCs w:val="28"/>
        </w:rPr>
        <w:t>=0,48</w:t>
      </w:r>
      <w:r>
        <w:rPr>
          <w:rFonts w:eastAsia="Calibri"/>
          <w:szCs w:val="28"/>
        </w:rPr>
        <w:t>; p&lt;</w:t>
      </w:r>
      <w:r w:rsidRPr="007D54F8">
        <w:rPr>
          <w:rFonts w:eastAsia="Calibri"/>
          <w:szCs w:val="28"/>
        </w:rPr>
        <w:t>0,05</w:t>
      </w:r>
      <w:r w:rsidRPr="005865AE">
        <w:rPr>
          <w:rFonts w:eastAsia="Calibri"/>
          <w:szCs w:val="28"/>
        </w:rPr>
        <w:t xml:space="preserve"> та </w:t>
      </w:r>
      <w:r w:rsidRPr="0058538F">
        <w:t>r=</w:t>
      </w:r>
      <w:r>
        <w:t xml:space="preserve">0,57; </w:t>
      </w:r>
      <w:r>
        <w:rPr>
          <w:rFonts w:eastAsia="Calibri"/>
          <w:szCs w:val="28"/>
        </w:rPr>
        <w:t>p&lt;</w:t>
      </w:r>
      <w:r w:rsidRPr="007D54F8">
        <w:rPr>
          <w:rFonts w:eastAsia="Calibri"/>
          <w:szCs w:val="28"/>
        </w:rPr>
        <w:t>0,05</w:t>
      </w:r>
      <w:r w:rsidRPr="005865AE">
        <w:rPr>
          <w:rFonts w:eastAsia="Calibri"/>
          <w:szCs w:val="28"/>
        </w:rPr>
        <w:t xml:space="preserve"> </w:t>
      </w:r>
      <w:r>
        <w:t xml:space="preserve">відповідно) об’ємів та зниженням контрактильності </w:t>
      </w:r>
      <w:r w:rsidRPr="009E19DB">
        <w:t xml:space="preserve">        </w:t>
      </w:r>
      <w:r>
        <w:t>(</w:t>
      </w:r>
      <w:r>
        <w:rPr>
          <w:rFonts w:eastAsia="Calibri"/>
          <w:szCs w:val="28"/>
          <w:lang w:val="ru-RU"/>
        </w:rPr>
        <w:t>r</w:t>
      </w:r>
      <w:r w:rsidRPr="005865AE">
        <w:rPr>
          <w:rFonts w:eastAsia="Calibri"/>
          <w:szCs w:val="28"/>
        </w:rPr>
        <w:t>=</w:t>
      </w:r>
      <w:r>
        <w:t>-</w:t>
      </w:r>
      <w:r>
        <w:rPr>
          <w:rFonts w:eastAsia="Calibri"/>
          <w:szCs w:val="28"/>
        </w:rPr>
        <w:lastRenderedPageBreak/>
        <w:t>0,4</w:t>
      </w:r>
      <w:r w:rsidRPr="009E19DB">
        <w:rPr>
          <w:rFonts w:eastAsia="Calibri"/>
          <w:szCs w:val="28"/>
        </w:rPr>
        <w:t>1</w:t>
      </w:r>
      <w:r>
        <w:rPr>
          <w:rFonts w:eastAsia="Calibri"/>
          <w:szCs w:val="28"/>
        </w:rPr>
        <w:t>; p&lt;</w:t>
      </w:r>
      <w:r w:rsidRPr="007D54F8">
        <w:rPr>
          <w:rFonts w:eastAsia="Calibri"/>
          <w:szCs w:val="28"/>
        </w:rPr>
        <w:t>0,05</w:t>
      </w:r>
      <w:r w:rsidRPr="005865AE">
        <w:rPr>
          <w:rFonts w:eastAsia="Calibri"/>
          <w:szCs w:val="28"/>
        </w:rPr>
        <w:t xml:space="preserve"> </w:t>
      </w:r>
      <w:r>
        <w:rPr>
          <w:rFonts w:eastAsia="Calibri"/>
          <w:szCs w:val="28"/>
        </w:rPr>
        <w:t xml:space="preserve">та </w:t>
      </w:r>
      <w:r>
        <w:t>r=-</w:t>
      </w:r>
      <w:r w:rsidRPr="0058538F">
        <w:t>0,38</w:t>
      </w:r>
      <w:r>
        <w:t xml:space="preserve">; </w:t>
      </w:r>
      <w:r>
        <w:rPr>
          <w:rFonts w:eastAsia="Calibri"/>
          <w:szCs w:val="28"/>
        </w:rPr>
        <w:t>p&lt;</w:t>
      </w:r>
      <w:r w:rsidRPr="007D54F8">
        <w:rPr>
          <w:rFonts w:eastAsia="Calibri"/>
          <w:szCs w:val="28"/>
        </w:rPr>
        <w:t>0,05</w:t>
      </w:r>
      <w:r w:rsidRPr="005865AE">
        <w:rPr>
          <w:rFonts w:eastAsia="Calibri"/>
          <w:szCs w:val="28"/>
        </w:rPr>
        <w:t xml:space="preserve"> </w:t>
      </w:r>
      <w:r>
        <w:t>відповідно) разом зі збільшенням ліпопротеїдів низької щільності при зниженні ліпопротеїдів високої щільності за умов високої активності галектину - 3.</w:t>
      </w:r>
    </w:p>
    <w:p w:rsidR="008637A2" w:rsidRDefault="008637A2" w:rsidP="008637A2">
      <w:pPr>
        <w:pStyle w:val="a3"/>
        <w:numPr>
          <w:ilvl w:val="0"/>
          <w:numId w:val="18"/>
        </w:numPr>
        <w:spacing w:after="0" w:line="360" w:lineRule="auto"/>
        <w:ind w:left="0" w:firstLine="567"/>
        <w:jc w:val="both"/>
      </w:pPr>
      <w:r>
        <w:t>Застосування ацетилсаліцилової кислоти у комбінації як з тикагрелором, так і з клопідогрелем у складі подвійної антитромбоцитарної терапії після перенесеного гострого інфаркту міокарда у хворих з ожирінням сприяло виразному зниженню маркеру адгезії вітронектину та галектину-3, а також супроводжується більш значним зниженням ризику кардіоваскулярних подій за умов проведеного первинного перкутанного втручання як метода реперфузії та при залученні до лікування ацетилсаліцилової кислоти з тикагрелором</w:t>
      </w:r>
      <w:r w:rsidRPr="007D4C2D">
        <w:t xml:space="preserve"> </w:t>
      </w:r>
      <w:r>
        <w:t xml:space="preserve">в групі високого ризику у віддаленому постінфарктному періоді. </w:t>
      </w:r>
    </w:p>
    <w:p w:rsidR="008637A2" w:rsidRDefault="008637A2" w:rsidP="008637A2">
      <w:pPr>
        <w:pStyle w:val="a3"/>
        <w:numPr>
          <w:ilvl w:val="0"/>
          <w:numId w:val="18"/>
        </w:numPr>
        <w:spacing w:after="0" w:line="360" w:lineRule="auto"/>
        <w:ind w:left="0" w:firstLine="567"/>
        <w:jc w:val="both"/>
      </w:pPr>
      <w:r>
        <w:t>Рівні галектину</w:t>
      </w:r>
      <w:r w:rsidRPr="00F95F78">
        <w:t xml:space="preserve"> &gt;12,83</w:t>
      </w:r>
      <w:r>
        <w:t> </w:t>
      </w:r>
      <w:r w:rsidRPr="00F95F78">
        <w:t>нг/мл</w:t>
      </w:r>
      <w:r>
        <w:t xml:space="preserve"> та вітронектину </w:t>
      </w:r>
      <w:r w:rsidRPr="00F95F78">
        <w:t>&gt;</w:t>
      </w:r>
      <w:r>
        <w:t>283,26 нг/мл разом з показниками</w:t>
      </w:r>
      <w:r w:rsidRPr="00F95F78">
        <w:t xml:space="preserve"> об'єму талії &gt;</w:t>
      </w:r>
      <w:r>
        <w:t xml:space="preserve">130 см, індексу маси тіла </w:t>
      </w:r>
      <w:r w:rsidRPr="00F95F78">
        <w:t>&gt;</w:t>
      </w:r>
      <w:r>
        <w:t>34,12 кг/м</w:t>
      </w:r>
      <w:r w:rsidRPr="009829B2">
        <w:rPr>
          <w:vertAlign w:val="superscript"/>
        </w:rPr>
        <w:t>2</w:t>
      </w:r>
      <w:r w:rsidRPr="00F95F78">
        <w:t>, креатиніну &gt;</w:t>
      </w:r>
      <w:r>
        <w:t>85 мкмоль/л можливо розглядати в якості предикторів виникнення повторних серцево-судинних подій протягом 6 місяців після перенесеного інфаркту міокарда у хворих з ожирінням.</w:t>
      </w:r>
    </w:p>
    <w:p w:rsidR="008637A2" w:rsidRDefault="008637A2">
      <w:pPr>
        <w:rPr>
          <w:b/>
        </w:rPr>
      </w:pPr>
      <w:r>
        <w:rPr>
          <w:b/>
        </w:rPr>
        <w:br w:type="page"/>
      </w:r>
    </w:p>
    <w:p w:rsidR="008637A2" w:rsidRPr="003E7AD9" w:rsidRDefault="008637A2" w:rsidP="008637A2">
      <w:pPr>
        <w:pStyle w:val="a3"/>
        <w:spacing w:after="0" w:line="360" w:lineRule="auto"/>
        <w:ind w:left="0" w:firstLine="567"/>
        <w:jc w:val="center"/>
        <w:rPr>
          <w:b/>
        </w:rPr>
      </w:pPr>
      <w:r w:rsidRPr="003E7AD9">
        <w:rPr>
          <w:b/>
        </w:rPr>
        <w:lastRenderedPageBreak/>
        <w:t>ПРАКТИЧНІ РЕКОМЕНДАЦІЇ</w:t>
      </w:r>
    </w:p>
    <w:p w:rsidR="008637A2" w:rsidRDefault="008637A2" w:rsidP="008637A2">
      <w:pPr>
        <w:pStyle w:val="a3"/>
        <w:spacing w:after="0" w:line="360" w:lineRule="auto"/>
        <w:ind w:left="0" w:firstLine="567"/>
        <w:jc w:val="both"/>
      </w:pPr>
      <w:r>
        <w:t>1.</w:t>
      </w:r>
      <w:r>
        <w:tab/>
        <w:t>Рекомендується використання рівня вітронектину як маркера прогнозу повторних кардіоваскулярних подій протягом 6-місячного терміну спостереження за хворими, що перенесли гострий інфаркт міокарда на тлі супутнього ожиріння при рівні &gt;283,26 нг/мл.</w:t>
      </w:r>
    </w:p>
    <w:p w:rsidR="008637A2" w:rsidRDefault="008637A2" w:rsidP="008637A2">
      <w:pPr>
        <w:pStyle w:val="a3"/>
        <w:spacing w:after="0" w:line="360" w:lineRule="auto"/>
        <w:ind w:left="0" w:firstLine="567"/>
        <w:jc w:val="both"/>
      </w:pPr>
      <w:r>
        <w:t>2.</w:t>
      </w:r>
      <w:r>
        <w:tab/>
        <w:t>Для прогнозування виникнення повторних кардіоваскулярних катастроф рекомендується визначати рівень галектину-3, зростання якого вище 12,83 нг/мл при рівнях об’єму талії &gt;130 см, індексу маси тіла &gt;34,13 кг/м</w:t>
      </w:r>
      <w:r w:rsidRPr="00A606D9">
        <w:rPr>
          <w:vertAlign w:val="superscript"/>
        </w:rPr>
        <w:t>2</w:t>
      </w:r>
      <w:r>
        <w:t xml:space="preserve">, креатиніну сироватки крові &gt;85 мкмоль/л виявляє предикторні властивості у хворих на гострий інфаркт міокарда з ожирінням протягом півроку спостереження. </w:t>
      </w:r>
    </w:p>
    <w:p w:rsidR="008637A2" w:rsidRDefault="008637A2" w:rsidP="008637A2">
      <w:pPr>
        <w:pStyle w:val="a3"/>
        <w:spacing w:after="0" w:line="360" w:lineRule="auto"/>
        <w:ind w:left="0" w:firstLine="567"/>
        <w:jc w:val="both"/>
      </w:pPr>
      <w:r>
        <w:t xml:space="preserve">3. </w:t>
      </w:r>
      <w:r>
        <w:tab/>
        <w:t>При призначенні подвійної антитромбоцитарної терапії хворим на гострий інфаркт міокарда групи високого ризику повторних серцево-судинних подій та ожиріння перевагу слід віддавати комбінації ацетилсаліцилової кислоти та тикагрелору у складі стандартної терапії внаслідок більш виразного зниження ризику виникнення кардіоваскулярних подій у віддаленому постінфарктному періоді на тлі ожиріння, порівняно з клопідогрелем.</w:t>
      </w:r>
    </w:p>
    <w:p w:rsidR="00F407BB" w:rsidRDefault="00F407BB">
      <w:pPr>
        <w:rPr>
          <w:iCs/>
          <w:szCs w:val="28"/>
        </w:rPr>
      </w:pPr>
      <w:r>
        <w:rPr>
          <w:iCs/>
          <w:szCs w:val="28"/>
        </w:rPr>
        <w:br w:type="page"/>
      </w:r>
    </w:p>
    <w:p w:rsidR="005E2904" w:rsidRPr="005E2904" w:rsidRDefault="005E2904" w:rsidP="005E2904">
      <w:pPr>
        <w:spacing w:after="0" w:line="360" w:lineRule="auto"/>
        <w:ind w:firstLine="851"/>
        <w:jc w:val="center"/>
        <w:rPr>
          <w:b/>
        </w:rPr>
      </w:pPr>
      <w:r w:rsidRPr="005E2904">
        <w:rPr>
          <w:b/>
        </w:rPr>
        <w:lastRenderedPageBreak/>
        <w:t>СПИСОК ЛІТЕРАТУРНИХ ДЖЕРЕЛ</w:t>
      </w:r>
    </w:p>
    <w:p w:rsidR="005E2904" w:rsidRPr="00C861A6" w:rsidRDefault="005E2904" w:rsidP="005E2904">
      <w:pPr>
        <w:pStyle w:val="a3"/>
        <w:numPr>
          <w:ilvl w:val="0"/>
          <w:numId w:val="19"/>
        </w:numPr>
        <w:spacing w:after="0" w:line="360" w:lineRule="auto"/>
        <w:ind w:left="0" w:firstLine="567"/>
        <w:jc w:val="both"/>
      </w:pPr>
      <w:r w:rsidRPr="00C861A6">
        <w:t>Коваленко ВМ, Корнацький ВМ, редактори. Проблеми здоров’я і медичної допомоги та модель покращання в сучасних умовах. Інститут кардіології ім. акад. М. Д. Стражеска НАМН України. Київ; 2016. 261 с.</w:t>
      </w:r>
    </w:p>
    <w:p w:rsidR="005E2904" w:rsidRPr="00C861A6" w:rsidRDefault="005E2904" w:rsidP="005E2904">
      <w:pPr>
        <w:pStyle w:val="a3"/>
        <w:numPr>
          <w:ilvl w:val="0"/>
          <w:numId w:val="19"/>
        </w:numPr>
        <w:spacing w:after="0" w:line="360" w:lineRule="auto"/>
        <w:ind w:left="0" w:firstLine="567"/>
        <w:jc w:val="both"/>
      </w:pPr>
      <w:r w:rsidRPr="00C861A6">
        <w:t>Коваленко</w:t>
      </w:r>
      <w:r w:rsidRPr="00C861A6">
        <w:rPr>
          <w:lang w:val="en-US"/>
        </w:rPr>
        <w:t> </w:t>
      </w:r>
      <w:r w:rsidRPr="00C861A6">
        <w:t>ВМ, Дорогой</w:t>
      </w:r>
      <w:r w:rsidRPr="00C861A6">
        <w:rPr>
          <w:lang w:val="en-US"/>
        </w:rPr>
        <w:t> </w:t>
      </w:r>
      <w:r w:rsidRPr="00C861A6">
        <w:t xml:space="preserve">АП. Серцево-судинні хвороби: медично-соціальне значення та стратегія розвитку кардіології в Україні. Укр. кардіол. журн. 2016;Дод. 3 Матеріали </w:t>
      </w:r>
      <w:r w:rsidRPr="00C03927">
        <w:t>XVII</w:t>
      </w:r>
      <w:r w:rsidRPr="00C861A6">
        <w:t xml:space="preserve"> Національного конгресу кардіологів України:5-14.</w:t>
      </w:r>
    </w:p>
    <w:p w:rsidR="005E2904" w:rsidRPr="00C861A6" w:rsidRDefault="005E2904" w:rsidP="005E2904">
      <w:pPr>
        <w:pStyle w:val="a3"/>
        <w:numPr>
          <w:ilvl w:val="0"/>
          <w:numId w:val="19"/>
        </w:numPr>
        <w:spacing w:after="0" w:line="360" w:lineRule="auto"/>
        <w:ind w:left="0" w:firstLine="567"/>
        <w:jc w:val="both"/>
      </w:pPr>
      <w:r w:rsidRPr="00C861A6">
        <w:t>Теренда</w:t>
      </w:r>
      <w:r w:rsidRPr="00C861A6">
        <w:rPr>
          <w:lang w:val="en-US"/>
        </w:rPr>
        <w:t> </w:t>
      </w:r>
      <w:r w:rsidRPr="00C861A6">
        <w:t>НО, Панчишин</w:t>
      </w:r>
      <w:r w:rsidRPr="00C861A6">
        <w:rPr>
          <w:lang w:val="en-US"/>
        </w:rPr>
        <w:t> </w:t>
      </w:r>
      <w:r w:rsidRPr="00C861A6">
        <w:t>НЯ, Литвинова</w:t>
      </w:r>
      <w:r w:rsidRPr="00C861A6">
        <w:rPr>
          <w:lang w:val="en-US"/>
        </w:rPr>
        <w:t> </w:t>
      </w:r>
      <w:r w:rsidRPr="00C861A6">
        <w:t>ОН, Петрашик</w:t>
      </w:r>
      <w:r w:rsidRPr="00C861A6">
        <w:rPr>
          <w:lang w:val="en-US"/>
        </w:rPr>
        <w:t> </w:t>
      </w:r>
      <w:r w:rsidRPr="00C861A6">
        <w:t>ЮМ.</w:t>
      </w:r>
      <w:r w:rsidRPr="0052259B">
        <w:t xml:space="preserve"> </w:t>
      </w:r>
      <w:r w:rsidRPr="00C861A6">
        <w:t>Фактори ризику в розвитку інфаркту міокарда та шляхи їх корекції. Україна. Здоров’я Нації. 2017;(3):266-9.</w:t>
      </w:r>
    </w:p>
    <w:p w:rsidR="005E2904" w:rsidRPr="00C861A6" w:rsidRDefault="005E2904" w:rsidP="005E2904">
      <w:pPr>
        <w:pStyle w:val="a3"/>
        <w:numPr>
          <w:ilvl w:val="0"/>
          <w:numId w:val="19"/>
        </w:numPr>
        <w:spacing w:after="0" w:line="360" w:lineRule="auto"/>
        <w:ind w:left="0" w:firstLine="567"/>
        <w:jc w:val="both"/>
        <w:rPr>
          <w:b/>
        </w:rPr>
      </w:pPr>
      <w:r w:rsidRPr="00C861A6">
        <w:t>Єрмак</w:t>
      </w:r>
      <w:r w:rsidRPr="00C861A6">
        <w:rPr>
          <w:lang w:val="en-US"/>
        </w:rPr>
        <w:t> </w:t>
      </w:r>
      <w:r w:rsidRPr="00C861A6">
        <w:t xml:space="preserve">ОС, Кравчун ПГ, Риндіна НГ, Ринчак ПІ. Копептин, MRproADM і показники кардіогемодинаміки у хворих на гострий інфаркт міокарда залежно від наявності ожиріння. </w:t>
      </w:r>
      <w:r w:rsidRPr="00C03927">
        <w:t>Буковин</w:t>
      </w:r>
      <w:r w:rsidRPr="00C861A6">
        <w:t xml:space="preserve">. </w:t>
      </w:r>
      <w:r w:rsidRPr="00C03927">
        <w:t>мед</w:t>
      </w:r>
      <w:r w:rsidRPr="00C861A6">
        <w:t xml:space="preserve">. </w:t>
      </w:r>
      <w:r>
        <w:t>віс</w:t>
      </w:r>
      <w:r w:rsidRPr="00C861A6">
        <w:t>н. 2015;</w:t>
      </w:r>
      <w:r w:rsidRPr="00C861A6">
        <w:rPr>
          <w:lang w:val="en-US"/>
        </w:rPr>
        <w:t>19</w:t>
      </w:r>
      <w:r w:rsidRPr="00C861A6">
        <w:t>(</w:t>
      </w:r>
      <w:r w:rsidRPr="00C861A6">
        <w:rPr>
          <w:lang w:val="en-US"/>
        </w:rPr>
        <w:t>1</w:t>
      </w:r>
      <w:r w:rsidRPr="00C861A6">
        <w:t>):65-8.</w:t>
      </w:r>
    </w:p>
    <w:p w:rsidR="005E2904" w:rsidRPr="00465F54" w:rsidRDefault="005E2904" w:rsidP="005E2904">
      <w:pPr>
        <w:pStyle w:val="Default"/>
        <w:numPr>
          <w:ilvl w:val="0"/>
          <w:numId w:val="19"/>
        </w:numPr>
        <w:spacing w:line="360" w:lineRule="auto"/>
        <w:ind w:left="0" w:firstLine="567"/>
        <w:rPr>
          <w:color w:val="auto"/>
          <w:sz w:val="28"/>
          <w:szCs w:val="28"/>
          <w:lang w:val="uk-UA"/>
        </w:rPr>
      </w:pPr>
      <w:r w:rsidRPr="00465F54">
        <w:rPr>
          <w:sz w:val="28"/>
          <w:szCs w:val="28"/>
          <w:lang w:val="uk-UA"/>
        </w:rPr>
        <w:t>Quadros AS, Cambruzzi E, Sebben J, David RB, Abelin A, Welter</w:t>
      </w:r>
      <w:r>
        <w:rPr>
          <w:sz w:val="28"/>
          <w:szCs w:val="28"/>
          <w:lang w:val="en-US"/>
        </w:rPr>
        <w:t> </w:t>
      </w:r>
      <w:r w:rsidRPr="00465F54">
        <w:rPr>
          <w:sz w:val="28"/>
          <w:szCs w:val="28"/>
          <w:lang w:val="uk-UA"/>
        </w:rPr>
        <w:t xml:space="preserve">D, </w:t>
      </w:r>
      <w:r>
        <w:rPr>
          <w:sz w:val="28"/>
          <w:szCs w:val="28"/>
          <w:lang w:val="uk-UA"/>
        </w:rPr>
        <w:t>et</w:t>
      </w:r>
      <w:r>
        <w:rPr>
          <w:sz w:val="28"/>
          <w:szCs w:val="28"/>
          <w:lang w:val="en-US"/>
        </w:rPr>
        <w:t> </w:t>
      </w:r>
      <w:r>
        <w:rPr>
          <w:sz w:val="28"/>
          <w:szCs w:val="28"/>
          <w:lang w:val="uk-UA"/>
        </w:rPr>
        <w:t>al</w:t>
      </w:r>
      <w:r w:rsidRPr="00465F54">
        <w:rPr>
          <w:sz w:val="28"/>
          <w:szCs w:val="28"/>
          <w:lang w:val="uk-UA"/>
        </w:rPr>
        <w:t>. Red versus white thrombi in patients with ST-elevation myocardial infarction undergoing primary percutaneous coronary intervention: clinical and angiographic outcomes. Am Heart J. 2012 Oct;164(4):553-60. doi: 10.1016/j.ahj.2012.07.022. PubMed PMID: 23067914.</w:t>
      </w:r>
    </w:p>
    <w:p w:rsidR="005E2904" w:rsidRPr="00C861A6" w:rsidRDefault="005E2904" w:rsidP="005E2904">
      <w:pPr>
        <w:pStyle w:val="a3"/>
        <w:numPr>
          <w:ilvl w:val="0"/>
          <w:numId w:val="19"/>
        </w:numPr>
        <w:spacing w:after="0" w:line="360" w:lineRule="auto"/>
        <w:ind w:left="0" w:firstLine="567"/>
        <w:jc w:val="both"/>
        <w:rPr>
          <w:lang w:val="en-US"/>
        </w:rPr>
      </w:pPr>
      <w:r w:rsidRPr="00C861A6">
        <w:t>Rosamond W, Flegal K, Furie K, Go A, Greenlund K, Haase</w:t>
      </w:r>
      <w:r w:rsidRPr="00C861A6">
        <w:rPr>
          <w:lang w:val="en-US"/>
        </w:rPr>
        <w:t> </w:t>
      </w:r>
      <w:r w:rsidRPr="00C861A6">
        <w:t xml:space="preserve">N, </w:t>
      </w:r>
      <w:r w:rsidRPr="00C861A6">
        <w:rPr>
          <w:lang w:val="en-US"/>
        </w:rPr>
        <w:t>et al.</w:t>
      </w:r>
      <w:r w:rsidRPr="00C861A6">
        <w:t>; American Heart Association Statistics Committee and Stroke Statistics Subcommittee. Heart disease and stroke statistics</w:t>
      </w:r>
      <w:r w:rsidRPr="00C861A6">
        <w:rPr>
          <w:lang w:val="en-US"/>
        </w:rPr>
        <w:t xml:space="preserve"> – </w:t>
      </w:r>
      <w:r w:rsidRPr="00C861A6">
        <w:t>2008 update: a report from the American Heart Association Statistics Committee and Stroke Statistics Subcommittee. Circulation. 2008 Jan 29;117(4):e25-146. PubMed PMID: 18086926.</w:t>
      </w:r>
    </w:p>
    <w:p w:rsidR="005E2904" w:rsidRPr="00C861A6" w:rsidRDefault="005E2904" w:rsidP="005E2904">
      <w:pPr>
        <w:pStyle w:val="a3"/>
        <w:numPr>
          <w:ilvl w:val="0"/>
          <w:numId w:val="19"/>
        </w:numPr>
        <w:spacing w:after="0" w:line="360" w:lineRule="auto"/>
        <w:ind w:left="0" w:firstLine="567"/>
        <w:jc w:val="both"/>
        <w:rPr>
          <w:lang w:val="en-US"/>
        </w:rPr>
      </w:pPr>
      <w:r w:rsidRPr="00C861A6">
        <w:t>Lloyd-Jones D, Adams RJ, Brown TM, Carnethon M, Dai S, De Simone</w:t>
      </w:r>
      <w:r w:rsidRPr="00C861A6">
        <w:rPr>
          <w:lang w:val="en-US"/>
        </w:rPr>
        <w:t> </w:t>
      </w:r>
      <w:r w:rsidRPr="00C861A6">
        <w:t xml:space="preserve">G, </w:t>
      </w:r>
      <w:r w:rsidRPr="00C861A6">
        <w:rPr>
          <w:lang w:val="en-US"/>
        </w:rPr>
        <w:t>et al.</w:t>
      </w:r>
      <w:r w:rsidRPr="00C861A6">
        <w:t>; American Heart Association Statistics Committee and Stroke Statistics Subcommittee. Executive summary: heart disease and stroke statistics</w:t>
      </w:r>
      <w:r w:rsidRPr="00C861A6">
        <w:rPr>
          <w:lang w:val="en-US"/>
        </w:rPr>
        <w:t xml:space="preserve"> – </w:t>
      </w:r>
      <w:r w:rsidRPr="00C861A6">
        <w:t xml:space="preserve">2010 update: a </w:t>
      </w:r>
      <w:r w:rsidRPr="00C861A6">
        <w:lastRenderedPageBreak/>
        <w:t>report from the American Heart Association. Circulation. 2010 Feb 23;121(7):948-54. doi: 10.1161/CIRCULATIONAHA.109.192666. PubMed PMID: 20177011.</w:t>
      </w:r>
    </w:p>
    <w:p w:rsidR="005E2904" w:rsidRPr="00C861A6" w:rsidRDefault="005E2904" w:rsidP="005E2904">
      <w:pPr>
        <w:pStyle w:val="a3"/>
        <w:numPr>
          <w:ilvl w:val="0"/>
          <w:numId w:val="19"/>
        </w:numPr>
        <w:spacing w:after="0" w:line="360" w:lineRule="auto"/>
        <w:ind w:left="0" w:firstLine="567"/>
        <w:jc w:val="both"/>
        <w:rPr>
          <w:lang w:val="en-US"/>
        </w:rPr>
      </w:pPr>
      <w:r w:rsidRPr="00C861A6">
        <w:t>Nichols M, Townsend N, Scarborough P, Rayner M. Cardiovascular disease in Europe 2014: epidemiological update. Eur Heart J. 2014 Nov 7;35(42):2929. doi: 10.1093/eurheartj/ehu378. PubMed PMID: 25381246.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Rich MW. Epidemiology, clinical features, and prognosis of acute myocardial infarction in the elderly. Am J Geriatr Cardiol. 2006 Jan-Feb;15(1):7-11. Review. PubMed PMID: 16415640.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Fu G, Jia L, Zhao X, Wang Y, Chen X, Yang Y, et al. A comparison of intracoronary with intravenous glycoprotein IIb/IIIa inhibitors during percutaneous coronary intervention in patients with acute coronary syndrome: a meta-analysis of randomized controlled trials. J Interv Cardiol. 201</w:t>
      </w:r>
      <w:r>
        <w:rPr>
          <w:lang w:val="en-US"/>
        </w:rPr>
        <w:t>2 Jun;25(3):223-34. doi:</w:t>
      </w:r>
      <w:r>
        <w:t> </w:t>
      </w:r>
      <w:r w:rsidRPr="00C861A6">
        <w:rPr>
          <w:lang w:val="en-US"/>
        </w:rPr>
        <w:t>10.1111/j.1540-8183.2011.00711.x. PubMed PMID: 22413751.</w:t>
      </w:r>
    </w:p>
    <w:p w:rsidR="005E2904" w:rsidRPr="00C861A6" w:rsidRDefault="005E2904" w:rsidP="005E2904">
      <w:pPr>
        <w:pStyle w:val="a3"/>
        <w:numPr>
          <w:ilvl w:val="0"/>
          <w:numId w:val="19"/>
        </w:numPr>
        <w:spacing w:after="0" w:line="360" w:lineRule="auto"/>
        <w:ind w:left="0" w:firstLine="567"/>
        <w:jc w:val="both"/>
      </w:pPr>
      <w:r w:rsidRPr="00C861A6">
        <w:t>Куликов ВА. Фремингемское Исследование Сердца: 65 лет изучения причин атеросклероза. Вестн. Витебск. гос. мед. ун-та. 2012;11(2):16-24.</w:t>
      </w:r>
    </w:p>
    <w:p w:rsidR="005E2904" w:rsidRPr="00C861A6" w:rsidRDefault="005E2904" w:rsidP="005E2904">
      <w:pPr>
        <w:pStyle w:val="a3"/>
        <w:numPr>
          <w:ilvl w:val="0"/>
          <w:numId w:val="19"/>
        </w:numPr>
        <w:spacing w:after="0" w:line="360" w:lineRule="auto"/>
        <w:ind w:left="0" w:firstLine="567"/>
        <w:jc w:val="both"/>
      </w:pPr>
      <w:r w:rsidRPr="00C861A6">
        <w:t>Mendis S. The contribution of the Framingham Heart Study to the prevention of cardiovascular disease: a global perspective. Prog Cardiovasc Dis. 2010 Jul-Aug;53(1):10-4. doi: 10.1016/j.pcad.2010.01.001. PubMed PMID: 20620420.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Cecchini M, Warin L. Impact of food labelling systems on food choices and eating behaviours: a systematic review and meta-analysis of randomized studies. Obes Rev. 2016 Mar;17(3):201-10. doi: 10.1111/obr.12364. PubMed PMID: 26693944.</w:t>
      </w:r>
    </w:p>
    <w:p w:rsidR="005E2904" w:rsidRPr="00C861A6" w:rsidRDefault="005E2904" w:rsidP="005E2904">
      <w:pPr>
        <w:pStyle w:val="a3"/>
        <w:numPr>
          <w:ilvl w:val="0"/>
          <w:numId w:val="19"/>
        </w:numPr>
        <w:spacing w:after="0" w:line="360" w:lineRule="auto"/>
        <w:ind w:left="0" w:firstLine="567"/>
        <w:jc w:val="both"/>
        <w:rPr>
          <w:lang w:val="en-US"/>
        </w:rPr>
      </w:pPr>
      <w:r w:rsidRPr="00C861A6">
        <w:t xml:space="preserve">Ogden CL, Carroll MD, Kit BK, Flegal KM. Prevalence of childhood and adult obesity in the United States, 2011-2012. JAMA. </w:t>
      </w:r>
      <w:r>
        <w:t>2014 Feb 26;311(8):806-14. doi: </w:t>
      </w:r>
      <w:r w:rsidRPr="00C861A6">
        <w:t>10.1001/jama.2014.732. PubMed PMID: 24570244</w:t>
      </w:r>
      <w:r w:rsidRPr="00C861A6">
        <w:rPr>
          <w:lang w:val="en-US"/>
        </w:rPr>
        <w:t>.</w:t>
      </w:r>
    </w:p>
    <w:p w:rsidR="005E2904" w:rsidRPr="00C861A6" w:rsidRDefault="005E2904" w:rsidP="005E2904">
      <w:pPr>
        <w:pStyle w:val="a3"/>
        <w:numPr>
          <w:ilvl w:val="0"/>
          <w:numId w:val="19"/>
        </w:numPr>
        <w:spacing w:after="0" w:line="360" w:lineRule="auto"/>
        <w:ind w:left="0" w:firstLine="567"/>
        <w:jc w:val="both"/>
      </w:pPr>
      <w:r w:rsidRPr="00C861A6">
        <w:t>Ogden CL, Yanovski SZ, Carroll MD, Flegal KM. The epidemiology of obesity. Gastroenterology. 2007 May;132(6):2087-102. PubMed PMID: 17498505.</w:t>
      </w:r>
    </w:p>
    <w:p w:rsidR="005E2904" w:rsidRPr="00C861A6" w:rsidRDefault="005E2904" w:rsidP="005E2904">
      <w:pPr>
        <w:pStyle w:val="a3"/>
        <w:numPr>
          <w:ilvl w:val="0"/>
          <w:numId w:val="19"/>
        </w:numPr>
        <w:spacing w:after="0" w:line="360" w:lineRule="auto"/>
        <w:ind w:left="0" w:firstLine="567"/>
        <w:jc w:val="both"/>
      </w:pPr>
      <w:r w:rsidRPr="00C861A6">
        <w:lastRenderedPageBreak/>
        <w:t>Гарапко ТВ. Зміни структурної організації тканини і органів внаслідок ожиріння. Наук. вісн. Ужгород. ун-ту. Серія: Медицина. 2017;(2):137-40.</w:t>
      </w:r>
    </w:p>
    <w:p w:rsidR="005E2904" w:rsidRPr="00C861A6" w:rsidRDefault="005E2904" w:rsidP="005E2904">
      <w:pPr>
        <w:pStyle w:val="a3"/>
        <w:numPr>
          <w:ilvl w:val="0"/>
          <w:numId w:val="19"/>
        </w:numPr>
        <w:spacing w:after="0" w:line="360" w:lineRule="auto"/>
        <w:ind w:left="0" w:firstLine="567"/>
        <w:jc w:val="both"/>
      </w:pPr>
      <w:r w:rsidRPr="00C861A6">
        <w:t>Wever MCM, Dingemans AE, Geerets T, Danner UN. Screening for Binge Eating Disorder in people with obesity. Obes Res Clin Pract. 2018 May-</w:t>
      </w:r>
      <w:r w:rsidRPr="00C861A6">
        <w:rPr>
          <w:lang w:val="en-US"/>
        </w:rPr>
        <w:t>J</w:t>
      </w:r>
      <w:r w:rsidRPr="00C861A6">
        <w:t>un;12(3):299-306. doi: 10.1016/j.orcp.2018.02.002. PubMed PMID: 29530586.</w:t>
      </w:r>
    </w:p>
    <w:p w:rsidR="005E2904" w:rsidRPr="00C861A6" w:rsidRDefault="005E2904" w:rsidP="005E2904">
      <w:pPr>
        <w:pStyle w:val="a3"/>
        <w:numPr>
          <w:ilvl w:val="0"/>
          <w:numId w:val="19"/>
        </w:numPr>
        <w:spacing w:after="0" w:line="360" w:lineRule="auto"/>
        <w:ind w:left="0" w:firstLine="567"/>
        <w:jc w:val="both"/>
      </w:pPr>
      <w:r w:rsidRPr="00C861A6">
        <w:t>Фадеенко ГД, Гриднев АЕ. Ожирение и риск сердечно-сосудистых заболеваний. Ліки України. 2009;(7):55-64.</w:t>
      </w:r>
    </w:p>
    <w:p w:rsidR="005E2904" w:rsidRPr="00C861A6" w:rsidRDefault="005E2904" w:rsidP="005E2904">
      <w:pPr>
        <w:pStyle w:val="a3"/>
        <w:numPr>
          <w:ilvl w:val="0"/>
          <w:numId w:val="19"/>
        </w:numPr>
        <w:spacing w:after="0" w:line="360" w:lineRule="auto"/>
        <w:ind w:left="0" w:firstLine="567"/>
        <w:jc w:val="both"/>
      </w:pPr>
      <w:r w:rsidRPr="00C861A6">
        <w:t>Hubert HB, Feinleib M, McNamara PM, Castelli WP. Obesity as an independent risk factor for cardiovascular disease: a 26-year follow-up of participants in the Framingham Heart Study. Circulation. 1983 May;67(5):968-77. PubMed PMID: 6219830.</w:t>
      </w:r>
    </w:p>
    <w:p w:rsidR="005E2904" w:rsidRPr="00C861A6" w:rsidRDefault="005E2904" w:rsidP="005E2904">
      <w:pPr>
        <w:pStyle w:val="a3"/>
        <w:numPr>
          <w:ilvl w:val="0"/>
          <w:numId w:val="19"/>
        </w:numPr>
        <w:spacing w:after="0" w:line="360" w:lineRule="auto"/>
        <w:ind w:left="0" w:firstLine="567"/>
        <w:jc w:val="both"/>
      </w:pPr>
      <w:r w:rsidRPr="00C861A6">
        <w:t xml:space="preserve">Yusuf S. INTER-HEART: a study of risk factors for first myocardial infarction in 52 countries and over 27,000 subjects. </w:t>
      </w:r>
      <w:r w:rsidRPr="00C861A6">
        <w:rPr>
          <w:lang w:val="en-US"/>
        </w:rPr>
        <w:t>In: The</w:t>
      </w:r>
      <w:r w:rsidRPr="00C861A6">
        <w:t xml:space="preserve"> European Society for Cardiology Congress</w:t>
      </w:r>
      <w:r w:rsidRPr="00C861A6">
        <w:rPr>
          <w:lang w:val="en-US"/>
        </w:rPr>
        <w:t>;</w:t>
      </w:r>
      <w:r w:rsidRPr="00C861A6">
        <w:t xml:space="preserve"> 2004 Aug 29</w:t>
      </w:r>
      <w:r w:rsidRPr="00C861A6">
        <w:rPr>
          <w:lang w:val="en-US"/>
        </w:rPr>
        <w:t xml:space="preserve"> – </w:t>
      </w:r>
      <w:r w:rsidRPr="00C861A6">
        <w:t>Sept</w:t>
      </w:r>
      <w:r w:rsidRPr="00C861A6">
        <w:rPr>
          <w:lang w:val="en-US"/>
        </w:rPr>
        <w:t xml:space="preserve"> 1;</w:t>
      </w:r>
      <w:r w:rsidRPr="00C861A6">
        <w:t xml:space="preserve"> Munich, Germany. Munich</w:t>
      </w:r>
      <w:r w:rsidRPr="00070BDD">
        <w:t xml:space="preserve">: </w:t>
      </w:r>
      <w:r w:rsidRPr="00C861A6">
        <w:t>Murphy M.S.A.</w:t>
      </w:r>
      <w:r w:rsidRPr="00070BDD">
        <w:t>, 2004</w:t>
      </w:r>
      <w:r w:rsidRPr="00C861A6">
        <w:t>.</w:t>
      </w:r>
    </w:p>
    <w:p w:rsidR="005E2904" w:rsidRPr="00C861A6" w:rsidRDefault="005E2904" w:rsidP="005E2904">
      <w:pPr>
        <w:pStyle w:val="a3"/>
        <w:numPr>
          <w:ilvl w:val="0"/>
          <w:numId w:val="19"/>
        </w:numPr>
        <w:spacing w:after="0" w:line="360" w:lineRule="auto"/>
        <w:ind w:left="0" w:firstLine="567"/>
        <w:jc w:val="both"/>
      </w:pPr>
      <w:r w:rsidRPr="00C861A6">
        <w:t>Лупанов ВП. Ожирение как фактор риска развития сердечно-сосудистых катастроф. РМЖ. 2003;(6):331.</w:t>
      </w:r>
    </w:p>
    <w:p w:rsidR="005E2904" w:rsidRPr="00C861A6" w:rsidRDefault="005E2904" w:rsidP="005E2904">
      <w:pPr>
        <w:pStyle w:val="a3"/>
        <w:numPr>
          <w:ilvl w:val="0"/>
          <w:numId w:val="19"/>
        </w:numPr>
        <w:spacing w:after="0" w:line="360" w:lineRule="auto"/>
        <w:ind w:left="0" w:firstLine="567"/>
        <w:jc w:val="both"/>
        <w:rPr>
          <w:lang w:val="en-US"/>
        </w:rPr>
      </w:pPr>
      <w:r w:rsidRPr="00C861A6">
        <w:t xml:space="preserve">U.S. Department of Health </w:t>
      </w:r>
      <w:r w:rsidRPr="00C861A6">
        <w:rPr>
          <w:lang w:val="en-US"/>
        </w:rPr>
        <w:t>and</w:t>
      </w:r>
      <w:r w:rsidRPr="00C861A6">
        <w:t xml:space="preserve"> Human Services</w:t>
      </w:r>
      <w:r w:rsidRPr="00C861A6">
        <w:rPr>
          <w:lang w:val="en-US"/>
        </w:rPr>
        <w:t>.</w:t>
      </w:r>
      <w:r w:rsidRPr="00C861A6">
        <w:t xml:space="preserve"> Centers for Disease Control and Prevention</w:t>
      </w:r>
      <w:r w:rsidRPr="00C861A6">
        <w:rPr>
          <w:lang w:val="en-US"/>
        </w:rPr>
        <w:t>. CDC 24/7: Saving lives, protecting people [Internet]</w:t>
      </w:r>
      <w:r w:rsidRPr="00C861A6">
        <w:t>.</w:t>
      </w:r>
      <w:r w:rsidRPr="00C861A6">
        <w:rPr>
          <w:lang w:val="en-US"/>
        </w:rPr>
        <w:t xml:space="preserve"> </w:t>
      </w:r>
      <w:r w:rsidRPr="00C861A6">
        <w:t>Atlanta, GA: Centers for Disease Control and Prevention; 201</w:t>
      </w:r>
      <w:r w:rsidRPr="00C861A6">
        <w:rPr>
          <w:lang w:val="en-US"/>
        </w:rPr>
        <w:t xml:space="preserve">9. </w:t>
      </w:r>
      <w:r w:rsidRPr="00C861A6">
        <w:t>Overweight and obesity</w:t>
      </w:r>
      <w:r w:rsidRPr="00C861A6">
        <w:rPr>
          <w:lang w:val="en-US"/>
        </w:rPr>
        <w:t>; [updated 2018 Sept 17; cited 2018 Dec 20]</w:t>
      </w:r>
      <w:r w:rsidRPr="00C861A6">
        <w:t xml:space="preserve">. Available </w:t>
      </w:r>
      <w:r w:rsidRPr="00C861A6">
        <w:rPr>
          <w:lang w:val="en-US"/>
        </w:rPr>
        <w:t>from</w:t>
      </w:r>
      <w:r w:rsidRPr="00C861A6">
        <w:t>: https://www.cdc.gov/obesity/</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Guilherme A, Pedersen DJ, Henchey E, Henriques FS, Danai LV, Shen</w:t>
      </w:r>
      <w:r w:rsidRPr="00C861A6">
        <w:rPr>
          <w:lang w:val="en-US"/>
        </w:rPr>
        <w:t> </w:t>
      </w:r>
      <w:r w:rsidRPr="00C861A6">
        <w:t xml:space="preserve">Y, </w:t>
      </w:r>
      <w:r w:rsidRPr="00C861A6">
        <w:rPr>
          <w:lang w:val="en-US"/>
        </w:rPr>
        <w:t>et al</w:t>
      </w:r>
      <w:r w:rsidRPr="00C861A6">
        <w:t>. Adipocyte lipid synthesis coupled to neuronal control of thermogenic programming. Mol Metab. 2017 May 31;6(8):781-</w:t>
      </w:r>
      <w:r>
        <w:t>96. doi: </w:t>
      </w:r>
      <w:r w:rsidRPr="00C861A6">
        <w:t>10.1016/j.molmet.2017.05.012. PubMed PMID: 28752043</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Vegiopoulos A, Rohm M, Herzig S. Adipose tissue: between the extremes. EMBO J. 2017 Jul 14;36(14):1999-2017. doi: 1</w:t>
      </w:r>
      <w:r>
        <w:t>0.15252/embj.201696206. Review.</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Mahabadi AA, Massaro JM, Rosito GA, Levy D, Murabito JM, Wolf PA, et al. Association of pericardial fat, intrathoracic fat, and visceral abdominal fat with cardiovascular disease burden: the Framingham Heart Study. Eur Heart J. 2009 Apr;30(7):850-6. doi: 10.1093/eurheartj/ehn573. PubMed PMID: 19136488.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Emerging Risk Factors Collaboration, Wormser D, Kaptoge S, Di Angelantonio E, Wood AM, Pennells L, et al. Separate and combined associations of body-mass index and abdominal adiposity with cardiovascular disease: collaborative analysis of 58 prospective studies. Lancet. 2011</w:t>
      </w:r>
      <w:r>
        <w:rPr>
          <w:lang w:val="en-US"/>
        </w:rPr>
        <w:t xml:space="preserve"> Mar 26;377(9771):1085-95. doi:</w:t>
      </w:r>
      <w:r w:rsidRPr="00C514CB">
        <w:rPr>
          <w:lang w:val="en-US"/>
        </w:rPr>
        <w:t> </w:t>
      </w:r>
      <w:r w:rsidRPr="00C861A6">
        <w:rPr>
          <w:lang w:val="en-US"/>
        </w:rPr>
        <w:t>10.1016/S0140-6736(11)60105-0. PubMed PMID: 21397319.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Ye J. Mechanisms of insulin resistance in obesity. Front Med. 2013 Mar;7(1):14-24. doi: 10.1007/s11684-013-0262-6. Review. PubMed PMID: 23471659.</w:t>
      </w:r>
    </w:p>
    <w:p w:rsidR="005E2904" w:rsidRPr="00C861A6" w:rsidRDefault="005E2904" w:rsidP="005E2904">
      <w:pPr>
        <w:pStyle w:val="a3"/>
        <w:numPr>
          <w:ilvl w:val="0"/>
          <w:numId w:val="19"/>
        </w:numPr>
        <w:spacing w:after="0" w:line="360" w:lineRule="auto"/>
        <w:ind w:left="0" w:firstLine="567"/>
        <w:jc w:val="both"/>
      </w:pPr>
      <w:r w:rsidRPr="00C861A6">
        <w:rPr>
          <w:lang w:val="en-US"/>
        </w:rPr>
        <w:t>He Q, Gao Z, Yin J, Zhang J, Yun Z, Ye J. Regulation of HIF-1α activity in adipose tissue by obesity-associated factors: adipogenesis, insulin, and hypoxia. Am J Physiol Endocrinol Metab</w:t>
      </w:r>
      <w:r>
        <w:rPr>
          <w:lang w:val="en-US"/>
        </w:rPr>
        <w:t>. 2011 May;300(5):E877-85. doi:</w:t>
      </w:r>
      <w:r w:rsidRPr="00C514CB">
        <w:rPr>
          <w:lang w:val="en-US"/>
        </w:rPr>
        <w:t> </w:t>
      </w:r>
      <w:r w:rsidRPr="00C861A6">
        <w:rPr>
          <w:lang w:val="en-US"/>
        </w:rPr>
        <w:t>10.1152/ajpendo.00626.2010. PubMed PMID: 21343542.</w:t>
      </w:r>
    </w:p>
    <w:p w:rsidR="005E2904" w:rsidRPr="00C861A6" w:rsidRDefault="005E2904" w:rsidP="005E2904">
      <w:pPr>
        <w:pStyle w:val="a3"/>
        <w:numPr>
          <w:ilvl w:val="0"/>
          <w:numId w:val="19"/>
        </w:numPr>
        <w:spacing w:after="0" w:line="360" w:lineRule="auto"/>
        <w:ind w:left="0" w:firstLine="567"/>
        <w:jc w:val="both"/>
        <w:rPr>
          <w:lang w:val="en-US"/>
        </w:rPr>
      </w:pPr>
      <w:r w:rsidRPr="00C861A6">
        <w:t>Russo A, Pirisinu I, Vacca C, Reginato E, Tomaro ES, Pippi</w:t>
      </w:r>
      <w:r w:rsidRPr="00C861A6">
        <w:rPr>
          <w:lang w:val="en-US"/>
        </w:rPr>
        <w:t> </w:t>
      </w:r>
      <w:r w:rsidRPr="00C861A6">
        <w:t xml:space="preserve">R, </w:t>
      </w:r>
      <w:r w:rsidRPr="00C861A6">
        <w:rPr>
          <w:lang w:val="en-US"/>
        </w:rPr>
        <w:t>et al</w:t>
      </w:r>
      <w:r w:rsidRPr="00C861A6">
        <w:t>. An intensive lifestyle intervention reduces circulating oxidised low-density lipoprotein and increases human paraoxonase activity in obese subjects. Obes Res Clin Pract. 2018 Jan - Feb;12(1S1):108-14. doi: 10.1016/j.orcp.2016.11.006. PubMed PMID: 27956218.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Cook KS, Min HY, Johnson D, Chaplinsky RJ, Flier JS, Hunt CR, et al. Adipsin: a circulating serine protease homolog secreted by adipose tissue and sciatic nerve. Science. 1987 Jul 24;237(4813):402-5. PubMed PMID: 3299705.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Zhang Y, Proenca R, Maffei M, Barone M, Leopold L, Friedman JM. Positional cloning of the mouse obese gene and its human homologue. Nature. 1994 Dec 1;372(6505):425-32. PubMed PMID: 7984236.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Hu E, Liang P, Spiegelman BM. AdipoQ is a novel adipose-specific gene dysregulated in obesity. J Biol Chem</w:t>
      </w:r>
      <w:r>
        <w:rPr>
          <w:lang w:val="en-US"/>
        </w:rPr>
        <w:t>. 1996 May 3;271(18):10697-703.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Makki K, Froguel P, Wolowczuk I. Adipose tissue in obesity-related inflammation and insulin resistance: cells, cytokines, and chemokines. ISRN Inflamm. 2013 Dec 22;2013:139239. doi: 10.1155/2013/139239. PubMed PMID: 24455420.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Rebiger L, Lenzen S, Mehmeti I. Susceptibility of brown adipocytes to pro-inflammatory cytokine toxicity and reactive oxygen species. Biosci Rep. 2016 Jan 21;36(2). pii: e00306. doi: 10.1042/BSR20150193. PubMed PMID: 26795216.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Ye J. Mechanisms of insulin resistance in obesity. Front Med. 2013 Mar;7(1):14-24. doi: 10.1007/s11684-013-0262-6. Review. PubMed PMID: 23471659.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Despres JP. Targeting abdominal obesity and the metabolic syndrome to manage cardiovascular disease risk. Heart</w:t>
      </w:r>
      <w:r>
        <w:rPr>
          <w:lang w:val="en-US"/>
        </w:rPr>
        <w:t>. 2009 Jul;95(13):1118-24. doi:</w:t>
      </w:r>
      <w:r>
        <w:t> </w:t>
      </w:r>
      <w:r w:rsidRPr="00C861A6">
        <w:rPr>
          <w:lang w:val="en-US"/>
        </w:rPr>
        <w:t>10.1136/hrt.2008.151274. PubMed PMID: 19525261.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Skarn SN, Eggesbo HB, Flaa A, Kjeldsen SE, Rostrup M, Brunborg C, et al. Predictors of abdominal adipose tissue compartments: 18-year follow-up of young men with and without family history of diabetes. Eur J Intern Med. 2016 Apr;29:26-31. doi: 10.1016/j.ejim.2015.11.027. PubMed PMID: 26712453.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Fox CS, Massaro JM, Hoffmann U, Pou KM, Maurovich-Horvat P, Liu CY, et al. Abdominal visceral and subcutaneous adipose tissue compartments: association with metabolic risk factors in the Framingham Heart Study. Circulation. 2007 Jul 3;116(1):39-48. PubMed PMID: 17576866.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Lalia AZ, Dasari S, Johnson ML, Robinson MM, Konopka AR, Distelmaier K, et al. Predictors of Whole-Body Insulin Sensitivity Across Ages and Adiposity in Adult Humans. J Clin Endocrinol Metab. 2016 Feb;101(2):626-34. doi: 10.1210/jc.2015-2892. PubMed PMID: 26709968.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Goldani H, Adami FS, Antunes MT, Rosa LH, Fassina P, Quevedo Grave MT, et al. Applicatility of the visceral adiposity index (VAI) in the prediction of the components of the metabolic syndrome in elderly. Nutr Hosp. 2015 Oct 1;32(4):1609-15. doi: 10.3305/nh.2015.32.4.9589. PubMed PMID: 26545525.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Abbasi SA, Hundley WG, Bluemke DA, Jerosch-Herold M, Blankstein R, Petersen SE, et al. Visceral adiposity and left ventricular remodeling: The Multi-Ethnic Study of Atherosclerosis. Nutr Metab Cardiovasc Dis. 2015 Jul;25(7):667-76. doi: 10.1016/j.numecd.2015.03.016. PubMed PMID: 26033394.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Djousse L, Bartz TM, Ix JH, Zieman SJ, Delaney JA, Mukamal KJ, et al. Adiposity and incident heart failure in older adults: the cardiovascular health study. Obesity (Silver Spring). 2012 Sep;20(9):1936</w:t>
      </w:r>
      <w:r>
        <w:rPr>
          <w:lang w:val="en-US"/>
        </w:rPr>
        <w:t>-41. doi: 10.1038/oby.2011.320.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Dudina A, Cooney MT, Bacquer DD, Backer GD, Ducimetiere P, Jousilahti P, et al. Relationships between body mass index, cardiovascular mortality, and risk factors: a report from the SCORE investigators. Eur J Cardiovasc Prev Rehabil. 2011 Oct;18(5):731-42. doi: 10.1177/174182671</w:t>
      </w:r>
      <w:r>
        <w:rPr>
          <w:lang w:val="en-US"/>
        </w:rPr>
        <w:t>1412039. PubMed PMID: 21642320.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Hassani SE, Chu WW, Wolfram RM, Kuchulakanti PK, Xue Z, Gevorkian N, et al. Clinical outcomes after percutaneous coronary intervention with drug-eluting stents in dialysis patients. J Invasive</w:t>
      </w:r>
      <w:r>
        <w:rPr>
          <w:lang w:val="en-US"/>
        </w:rPr>
        <w:t xml:space="preserve"> Cardiol. 2006 Jun;18(6):273-7.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Lundberg GD. Is there a relationship between waist circumference and mortality? Medscape J Med. 2008;10(8):202. PubMed PMID: 18924654.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Kalantar-Zadeh K, Block G, Horwich T, Fonarow GC. Reverse epidemiology of conventional cardiovascular risk factors in patients with chronic heart failure. J Am Coll Cardiol. 2004 Apr 21;43(8):1439-44. PubMed PMID: 15093881.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Keil U. [The Worldwide WHO MONICA Project: results and perspectives]. Gesundheitswesen. 2005 Aug;67 Suppl 1:S38-</w:t>
      </w:r>
      <w:r>
        <w:rPr>
          <w:lang w:val="en-US"/>
        </w:rPr>
        <w:t>45. German.</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Romero-Corral A, Montori VM, Somers VK, Korinek J, Thomas RJ, Allison TG, et al. Association of bodyweight with total mortality and with cardiovascular events in coronary artery disease: a systematic review of cohort studies. Lancet. 2006 Aug 19;368(9536):666-78. Review. PubMed PMID: 16920472.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Oreopoulos A, McAlister FA, Kalantar-Zadeh K, Padwal R, Ezekowitz JA, Sharma AM, et al. The relationship between body mass index, treatment, and mortality in </w:t>
      </w:r>
      <w:r w:rsidRPr="00C861A6">
        <w:rPr>
          <w:lang w:val="en-US"/>
        </w:rPr>
        <w:lastRenderedPageBreak/>
        <w:t>patients with established coronary artery disease: a report from APPROACH. Eur Heart J. 2009 Nov;30(21):2584-92. doi: 10.1093/eurheartj/ehp288.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Rajamanickam A, Kapadia S, Butler S, Ellis S, Young JB. Does «The Obesity Paradox» exist for survival after a Percutaneous intervention? J Am Coll Cardiol. 2010 Mar;55(10 Suppl):A126.E1179. doi: 10.1016/S0735-1097(10)61180-1.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Angeras O, Albertsson P, Karason K, Ramunddal T, Matejka G, James S, et al. Evidence for obesity paradox in patients with acute coronary syndromes: a report from the Swedish Coronary Angiography and Angioplasty Registry. Eur Heart J. 2013 Feb;34(5):345-53. doi: 10.1093/eurheartj/ehs217. PubMed PMID: 22947610.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Khan SS, Ning H, Wilkins JT, Allen N, Carnethon M, Berry JD, et al. Association of Body Mass Index With Lifetime Risk of Cardiovascular Disease and Compression of Morbidity. JAMA Cardi</w:t>
      </w:r>
      <w:r>
        <w:rPr>
          <w:lang w:val="en-US"/>
        </w:rPr>
        <w:t>ol. 2018 Apr 1;3(4):280-7. doi:</w:t>
      </w:r>
      <w:r w:rsidRPr="00C514CB">
        <w:rPr>
          <w:lang w:val="en-US"/>
        </w:rPr>
        <w:t> </w:t>
      </w:r>
      <w:r w:rsidRPr="00C861A6">
        <w:rPr>
          <w:lang w:val="en-US"/>
        </w:rPr>
        <w:t>10.1001/jamacardio.2018.0022. PubMed PMID: 29490333.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Argueso P, Panjwani N. Focus on molecules: galectin-3. Exp Eye Res. 2011 Jan;92(1):2-3. doi: 10.1016/j.exer.2010.11.009. PubMed PMID: 21111733.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Saccon F, Gatto M, Ghirardello A, Iaccarino L, Punzi L, Doria A. Role of galectin-3 in autoimmune and non-autoimmune nephropathies. Autoimmun Rev. 2017 Jan;16(1):34-47. doi: 10.101 6/j.autrev.2016.09.023. PubMed PMID: 27666815.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Newlaczyl AU, Yu LG. Galectin-3 – a jack-of-all-trades in cancer. Cancer Lett. 2011 Dec 27;313(2):123-8. doi: 10.1016/j.canlet.2011.09.003. Review.</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 Oliveira FL, Gatto M, Bassi N, Luisetto R, Ghirardello A, Punzi L, et al. Galectin-3 in autoimmunity and autoimmune diseases. Exp Biol Med (Maywood). 2015 Aug;240(8):1019-28. doi: 10.1177/1535370215593826. PubMed PMID: 26142116.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Pugliese G, Iacobini C, Ricci C, Blasetti Fantauzzi C, Menini S. Galectin-3 in diabetic patients. Clin Chem Lab Med. 2014 Oct;52(10):1413-23. doi: 10.1515/cclm-2014-0187. Review. PubMed PMID: 24940712.</w:t>
      </w:r>
    </w:p>
    <w:p w:rsidR="005E2904" w:rsidRPr="00195477" w:rsidRDefault="005E2904" w:rsidP="005E2904">
      <w:pPr>
        <w:pStyle w:val="a3"/>
        <w:numPr>
          <w:ilvl w:val="0"/>
          <w:numId w:val="19"/>
        </w:numPr>
        <w:spacing w:after="0" w:line="360" w:lineRule="auto"/>
        <w:ind w:left="0" w:firstLine="567"/>
        <w:jc w:val="both"/>
        <w:rPr>
          <w:lang w:val="en-US"/>
        </w:rPr>
      </w:pPr>
      <w:r w:rsidRPr="00C861A6">
        <w:rPr>
          <w:lang w:val="en-US"/>
        </w:rPr>
        <w:lastRenderedPageBreak/>
        <w:t>Iqbal N, Wentworth B, Choudhary R, Landa Ade L, Kipper B, Fard A, et al. Cardiac biomarkers: new tools for heart failure management. Cardiovasc Diagn Ther. 2012 Jun;2(2):147-64. doi: 10.3978/j.issn.2223-3652.2012.06.03.</w:t>
      </w:r>
    </w:p>
    <w:p w:rsidR="005E2904" w:rsidRPr="00C861A6" w:rsidRDefault="005E2904" w:rsidP="005E2904">
      <w:pPr>
        <w:pStyle w:val="a3"/>
        <w:numPr>
          <w:ilvl w:val="0"/>
          <w:numId w:val="19"/>
        </w:numPr>
        <w:spacing w:after="0" w:line="360" w:lineRule="auto"/>
        <w:ind w:left="0" w:firstLine="567"/>
        <w:jc w:val="both"/>
      </w:pPr>
      <w:r w:rsidRPr="00C51A7D">
        <w:t>Березин ИИ. Патогенетическое и прогностическое значение галектина-3 при хронической сердечной недостаточности ишемической этиологии [автореферат дисертац</w:t>
      </w:r>
      <w:r w:rsidRPr="00C861A6">
        <w:t>ии</w:t>
      </w:r>
      <w:r w:rsidRPr="00C51A7D">
        <w:t>]</w:t>
      </w:r>
      <w:r w:rsidRPr="00C861A6">
        <w:t>. Самара: Самар. гос. мед. ун-т; 2013. 28 с.</w:t>
      </w:r>
    </w:p>
    <w:p w:rsidR="005E2904" w:rsidRPr="00195477" w:rsidRDefault="005E2904" w:rsidP="005E2904">
      <w:pPr>
        <w:pStyle w:val="a3"/>
        <w:numPr>
          <w:ilvl w:val="0"/>
          <w:numId w:val="19"/>
        </w:numPr>
        <w:spacing w:after="0" w:line="360" w:lineRule="auto"/>
        <w:ind w:left="0" w:firstLine="567"/>
        <w:jc w:val="both"/>
        <w:rPr>
          <w:lang w:val="en-US"/>
        </w:rPr>
      </w:pPr>
      <w:r w:rsidRPr="00C861A6">
        <w:rPr>
          <w:lang w:val="en-US"/>
        </w:rPr>
        <w:t>Chang</w:t>
      </w:r>
      <w:r w:rsidRPr="00C861A6">
        <w:t xml:space="preserve"> </w:t>
      </w:r>
      <w:r w:rsidRPr="00C861A6">
        <w:rPr>
          <w:lang w:val="en-US"/>
        </w:rPr>
        <w:t>YY</w:t>
      </w:r>
      <w:r w:rsidRPr="00C861A6">
        <w:t xml:space="preserve">, </w:t>
      </w:r>
      <w:r w:rsidRPr="00C861A6">
        <w:rPr>
          <w:lang w:val="en-US"/>
        </w:rPr>
        <w:t>Chen</w:t>
      </w:r>
      <w:r w:rsidRPr="00C861A6">
        <w:t xml:space="preserve"> </w:t>
      </w:r>
      <w:r w:rsidRPr="00C861A6">
        <w:rPr>
          <w:lang w:val="en-US"/>
        </w:rPr>
        <w:t>A</w:t>
      </w:r>
      <w:r w:rsidRPr="00C861A6">
        <w:t xml:space="preserve">, </w:t>
      </w:r>
      <w:r w:rsidRPr="00C861A6">
        <w:rPr>
          <w:lang w:val="en-US"/>
        </w:rPr>
        <w:t>Wu</w:t>
      </w:r>
      <w:r w:rsidRPr="00C861A6">
        <w:t xml:space="preserve"> </w:t>
      </w:r>
      <w:r w:rsidRPr="00C861A6">
        <w:rPr>
          <w:lang w:val="en-US"/>
        </w:rPr>
        <w:t>XM</w:t>
      </w:r>
      <w:r w:rsidRPr="00C861A6">
        <w:t xml:space="preserve">, </w:t>
      </w:r>
      <w:r w:rsidRPr="00C861A6">
        <w:rPr>
          <w:lang w:val="en-US"/>
        </w:rPr>
        <w:t>Hsu</w:t>
      </w:r>
      <w:r w:rsidRPr="00C861A6">
        <w:t xml:space="preserve"> </w:t>
      </w:r>
      <w:r w:rsidRPr="00C861A6">
        <w:rPr>
          <w:lang w:val="en-US"/>
        </w:rPr>
        <w:t>TP</w:t>
      </w:r>
      <w:r w:rsidRPr="00C861A6">
        <w:t xml:space="preserve">, </w:t>
      </w:r>
      <w:r w:rsidRPr="00C861A6">
        <w:rPr>
          <w:lang w:val="en-US"/>
        </w:rPr>
        <w:t>Liu</w:t>
      </w:r>
      <w:r w:rsidRPr="00C861A6">
        <w:t xml:space="preserve"> </w:t>
      </w:r>
      <w:r w:rsidRPr="00C861A6">
        <w:rPr>
          <w:lang w:val="en-US"/>
        </w:rPr>
        <w:t>LY</w:t>
      </w:r>
      <w:r w:rsidRPr="00C861A6">
        <w:t xml:space="preserve">, </w:t>
      </w:r>
      <w:r w:rsidRPr="00C861A6">
        <w:rPr>
          <w:lang w:val="en-US"/>
        </w:rPr>
        <w:t>Chen</w:t>
      </w:r>
      <w:r w:rsidRPr="00C861A6">
        <w:t xml:space="preserve"> </w:t>
      </w:r>
      <w:r w:rsidRPr="00C861A6">
        <w:rPr>
          <w:lang w:val="en-US"/>
        </w:rPr>
        <w:t>YH</w:t>
      </w:r>
      <w:r w:rsidRPr="00C861A6">
        <w:t xml:space="preserve">, </w:t>
      </w:r>
      <w:r w:rsidRPr="00C861A6">
        <w:rPr>
          <w:lang w:val="en-US"/>
        </w:rPr>
        <w:t>et</w:t>
      </w:r>
      <w:r w:rsidRPr="00C861A6">
        <w:t> </w:t>
      </w:r>
      <w:r w:rsidRPr="00C861A6">
        <w:rPr>
          <w:lang w:val="en-US"/>
        </w:rPr>
        <w:t>al</w:t>
      </w:r>
      <w:r w:rsidRPr="00C861A6">
        <w:t xml:space="preserve">. </w:t>
      </w:r>
      <w:r w:rsidRPr="00C861A6">
        <w:rPr>
          <w:lang w:val="en-US"/>
        </w:rPr>
        <w:t>Comparison the prognostic value of galectin-3 and serum markers of cardiac extracellular matrix turnover in patients with chronic systolic heart failure. Int J Med Sci. 2014 Aug 13;11(11):1098-106. doi: 10.7150/ijms.8083. PubMed</w:t>
      </w:r>
      <w:r w:rsidRPr="00195477">
        <w:rPr>
          <w:lang w:val="en-US"/>
        </w:rPr>
        <w:t xml:space="preserve"> </w:t>
      </w:r>
      <w:r w:rsidRPr="00C861A6">
        <w:rPr>
          <w:lang w:val="en-US"/>
        </w:rPr>
        <w:t>PMID</w:t>
      </w:r>
      <w:r w:rsidRPr="00195477">
        <w:rPr>
          <w:lang w:val="en-US"/>
        </w:rPr>
        <w:t>: 25170292.</w:t>
      </w:r>
    </w:p>
    <w:p w:rsidR="005E2904" w:rsidRPr="00C861A6" w:rsidRDefault="005E2904" w:rsidP="005E2904">
      <w:pPr>
        <w:pStyle w:val="a3"/>
        <w:numPr>
          <w:ilvl w:val="0"/>
          <w:numId w:val="19"/>
        </w:numPr>
        <w:spacing w:after="0" w:line="360" w:lineRule="auto"/>
        <w:ind w:left="0" w:firstLine="567"/>
        <w:jc w:val="both"/>
        <w:rPr>
          <w:lang w:val="en-US"/>
        </w:rPr>
      </w:pPr>
      <w:r w:rsidRPr="00C51A7D">
        <w:t>Кремзер АА. Взаимосвязь концентрации галектина-3 и содержания циркулирующих эндотелиальных прогениторных клеток у пациентов с хронической сердечной недостаточностью ишемического генеза</w:t>
      </w:r>
      <w:r w:rsidRPr="00C861A6">
        <w:t>.</w:t>
      </w:r>
      <w:r w:rsidRPr="00C51A7D">
        <w:t xml:space="preserve"> Патолог</w:t>
      </w:r>
      <w:r w:rsidRPr="00C861A6">
        <w:rPr>
          <w:lang w:val="en-US"/>
        </w:rPr>
        <w:t>i</w:t>
      </w:r>
      <w:r w:rsidRPr="00C51A7D">
        <w:t>я</w:t>
      </w:r>
      <w:r w:rsidRPr="00C861A6">
        <w:rPr>
          <w:lang w:val="en-US"/>
        </w:rPr>
        <w:t>. 2014</w:t>
      </w:r>
      <w:r w:rsidRPr="00C861A6">
        <w:t>;</w:t>
      </w:r>
      <w:r w:rsidRPr="00C861A6">
        <w:rPr>
          <w:lang w:val="en-US"/>
        </w:rPr>
        <w:t>(2):60-5.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Morrow DA, O'Donoghue ML. Galectin-3 in cardiovascular disease: a possible window into early myocardial fibrosis. J Am Coll Cardiol. 2012 Oct 2;60(14):1257-8. doi: 10.1016/j.jacc.2012.05.032. PubMed PMID: 22939562.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Schindler EI, Szymanski JJ, Hock KG, Geltman EM, Scott MG. Short- and Long-term Biologic Variability of Galectin-3 and Other Cardiac Biomarkers in Patients with Stable Heart Failure and Healthy Adults. Clin Chem. 2016 Feb;62(2):360-6. </w:t>
      </w:r>
      <w:r>
        <w:rPr>
          <w:lang w:val="en-US"/>
        </w:rPr>
        <w:t>doi:</w:t>
      </w:r>
      <w:r w:rsidRPr="00C514CB">
        <w:rPr>
          <w:lang w:val="en-US"/>
        </w:rPr>
        <w:t> </w:t>
      </w:r>
      <w:r w:rsidRPr="00C861A6">
        <w:rPr>
          <w:lang w:val="en-US"/>
        </w:rPr>
        <w:t>10.1373/clinchem.2015.246553. PubMed PMID: 26546635.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Chen A, Hou W, Zhang Y, Chen Y, He B. Prognostic value of serum galectin-3 in patients with heart failure: a meta-analysis. Int J Cardiol. 2015 Mar 1;182:168-70. doi: 10.1016/j.ijcard.2014.12.137. Review. PubMed PMID: 25577755.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Srivatsan V, George M, Shanmugam E. Utility of galectin-3 as a prognostic biomarker in heart failure: where do we stand? Eur J Prev Cardiol. 2015 Sep;22(9):1096-110. doi: 10.1177/2047487314552797. PubMed PMID: 25268020.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Medvedeva EA, Berezin II, Surkova EA, Yaranov DM, Shchukin YV. Galectin-3 in patients with chronic heart failure: association with oxidative stress, inflammation, renal dysfunction and prognosis. Minerva Cardioangiol. 2016 Dec;64(6):595-602. PubMed PMID: 27119370.</w:t>
      </w:r>
    </w:p>
    <w:p w:rsidR="005E2904" w:rsidRPr="00C861A6" w:rsidRDefault="005E2904" w:rsidP="005E2904">
      <w:pPr>
        <w:pStyle w:val="a3"/>
        <w:numPr>
          <w:ilvl w:val="0"/>
          <w:numId w:val="19"/>
        </w:numPr>
        <w:spacing w:after="0" w:line="360" w:lineRule="auto"/>
        <w:ind w:left="0" w:firstLine="567"/>
        <w:jc w:val="both"/>
        <w:rPr>
          <w:lang w:val="en-US"/>
        </w:rPr>
      </w:pPr>
      <w:r w:rsidRPr="001D54C8">
        <w:t>Щукин</w:t>
      </w:r>
      <w:r w:rsidRPr="00BB41B1">
        <w:t xml:space="preserve"> </w:t>
      </w:r>
      <w:r w:rsidRPr="001D54C8">
        <w:t>ЮВ</w:t>
      </w:r>
      <w:r w:rsidRPr="00BB41B1">
        <w:t xml:space="preserve">, </w:t>
      </w:r>
      <w:r w:rsidRPr="001D54C8">
        <w:t>Березин</w:t>
      </w:r>
      <w:r w:rsidRPr="00BB41B1">
        <w:t xml:space="preserve"> </w:t>
      </w:r>
      <w:r w:rsidRPr="001D54C8">
        <w:t>ИИ</w:t>
      </w:r>
      <w:r w:rsidRPr="00BB41B1">
        <w:t xml:space="preserve">, </w:t>
      </w:r>
      <w:r w:rsidRPr="001D54C8">
        <w:t>Медведева</w:t>
      </w:r>
      <w:r w:rsidRPr="00BB41B1">
        <w:t xml:space="preserve"> </w:t>
      </w:r>
      <w:r w:rsidRPr="001D54C8">
        <w:t>ЕА</w:t>
      </w:r>
      <w:r w:rsidRPr="00BB41B1">
        <w:t xml:space="preserve">, </w:t>
      </w:r>
      <w:r w:rsidRPr="001D54C8">
        <w:t>Селезнев</w:t>
      </w:r>
      <w:r w:rsidRPr="00BB41B1">
        <w:t xml:space="preserve"> </w:t>
      </w:r>
      <w:r w:rsidRPr="001D54C8">
        <w:t>ЕИ</w:t>
      </w:r>
      <w:r w:rsidRPr="00BB41B1">
        <w:t xml:space="preserve">, </w:t>
      </w:r>
      <w:r w:rsidRPr="001D54C8">
        <w:t>Дьячков</w:t>
      </w:r>
      <w:r w:rsidRPr="00C861A6">
        <w:t> </w:t>
      </w:r>
      <w:r w:rsidRPr="001D54C8">
        <w:t>ВА</w:t>
      </w:r>
      <w:r w:rsidRPr="00BB41B1">
        <w:t xml:space="preserve">, </w:t>
      </w:r>
      <w:r w:rsidRPr="001D54C8">
        <w:t>Слатова</w:t>
      </w:r>
      <w:r w:rsidRPr="00C861A6">
        <w:t> </w:t>
      </w:r>
      <w:r w:rsidRPr="001D54C8">
        <w:t>ЛН</w:t>
      </w:r>
      <w:r w:rsidRPr="00BB41B1">
        <w:t xml:space="preserve">. </w:t>
      </w:r>
      <w:r w:rsidRPr="001D54C8">
        <w:t>О значении галектина-3 как маркера и медиатора эндогенного воспаления и окислительно-нитрозилирующего стресса у больных хронической сердечной недостаточностью. Рос</w:t>
      </w:r>
      <w:r w:rsidRPr="00C861A6">
        <w:rPr>
          <w:lang w:val="en-US"/>
        </w:rPr>
        <w:t xml:space="preserve">. </w:t>
      </w:r>
      <w:r w:rsidRPr="001D54C8">
        <w:t>кардиол</w:t>
      </w:r>
      <w:r w:rsidRPr="00C861A6">
        <w:rPr>
          <w:lang w:val="en-US"/>
        </w:rPr>
        <w:t xml:space="preserve">. </w:t>
      </w:r>
      <w:r w:rsidRPr="001D54C8">
        <w:t>журн</w:t>
      </w:r>
      <w:r w:rsidRPr="00C861A6">
        <w:rPr>
          <w:lang w:val="en-US"/>
        </w:rPr>
        <w:t>. 2013;(2):45-9</w:t>
      </w:r>
      <w:r>
        <w:rPr>
          <w:lang w:val="en-US"/>
        </w:rPr>
        <w:t>. doi:</w:t>
      </w:r>
      <w:r>
        <w:t> </w:t>
      </w:r>
      <w:r w:rsidRPr="00C861A6">
        <w:rPr>
          <w:lang w:val="en-US"/>
        </w:rPr>
        <w:t>10.15829/1560-4071-2013-2-45-49.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 Boer RA, Lok DJ, Jaarsma T, van der Meer P, Voors AA, Hillege</w:t>
      </w:r>
      <w:r w:rsidRPr="00C861A6">
        <w:t> </w:t>
      </w:r>
      <w:r w:rsidRPr="00C861A6">
        <w:rPr>
          <w:lang w:val="en-US"/>
        </w:rPr>
        <w:t>HL, et al. Predictive value of plasma galectin-3 levels in heart failure with reduced and preserved ejection fraction. Ann Med. 2011 Feb;4</w:t>
      </w:r>
      <w:r>
        <w:rPr>
          <w:lang w:val="en-US"/>
        </w:rPr>
        <w:t>3(1):60-8. doi:</w:t>
      </w:r>
      <w:r w:rsidRPr="00C514CB">
        <w:rPr>
          <w:lang w:val="en-US"/>
        </w:rPr>
        <w:t> </w:t>
      </w:r>
      <w:r w:rsidRPr="00C861A6">
        <w:rPr>
          <w:lang w:val="en-US"/>
        </w:rPr>
        <w:t>10.3109/07853890.2010.538080. PubMed PMID: 21189092.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Gheorghiade M, Vaduganathan M, Fonarow GC, Bonow RO. Rehospitalization for heart failure: problems and perspectives. J Am Coll Cardiol. 2013 Jan 29;61(4):391-403. doi: 10.1016/j.jacc.2012.09.038. PubMed PMID: 23219302.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Rogers JK, Jhund PS, Perez AC, Bohm M, Cleland JG, Gullestad</w:t>
      </w:r>
      <w:r w:rsidRPr="00C861A6">
        <w:t> </w:t>
      </w:r>
      <w:r w:rsidRPr="00C861A6">
        <w:rPr>
          <w:lang w:val="en-US"/>
        </w:rPr>
        <w:t>L, et</w:t>
      </w:r>
      <w:r w:rsidRPr="00C861A6">
        <w:t> </w:t>
      </w:r>
      <w:r w:rsidRPr="00C861A6">
        <w:rPr>
          <w:lang w:val="en-US"/>
        </w:rPr>
        <w:t>al. Effect of rosuvastatin on repeat heart failure hospitalizations: the CORONA Trial (Controlled Rosuvastatin Multinational Trial in Heart Failure). JACC Heart Fail. 2014 Jun;2(3):289-97. doi: 10.1016/j.jchf.2013.12.007. PubMed PMID: 24952697.</w:t>
      </w:r>
    </w:p>
    <w:p w:rsidR="005E2904" w:rsidRPr="00C861A6" w:rsidRDefault="005E2904" w:rsidP="005E2904">
      <w:pPr>
        <w:pStyle w:val="a3"/>
        <w:numPr>
          <w:ilvl w:val="0"/>
          <w:numId w:val="19"/>
        </w:numPr>
        <w:spacing w:after="0" w:line="360" w:lineRule="auto"/>
        <w:ind w:left="0" w:firstLine="567"/>
        <w:jc w:val="both"/>
      </w:pPr>
      <w:r w:rsidRPr="00C861A6">
        <w:rPr>
          <w:lang w:val="en-US"/>
        </w:rPr>
        <w:t>Gullestad L, Ueland T, Kjekshus J, Nymo SH, Hulthe J, Muntendam</w:t>
      </w:r>
      <w:r w:rsidRPr="00C861A6">
        <w:t> </w:t>
      </w:r>
      <w:r w:rsidRPr="00C861A6">
        <w:rPr>
          <w:lang w:val="en-US"/>
        </w:rPr>
        <w:t>P, et al. Galectin-3 predicts response to statin therapy in the Controlled Rosuvastatin Multinational Trial in Heart Failure (CORONA). Eur Heart J. 2012 Sep;33(18):2290-6.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Maiolino G, Rossitto G, Pedon L, Cesari M, Frigo AC, Azzolini M, et al. Galectin-3 predicts long-term cardiovascular death in high-risk patients with coronary artery disease. Arterioscler Thromb Vasc Bi</w:t>
      </w:r>
      <w:r>
        <w:rPr>
          <w:lang w:val="en-US"/>
        </w:rPr>
        <w:t>ol. 2015 Mar;35(3):725-32. doi:</w:t>
      </w:r>
      <w:r w:rsidRPr="00C514CB">
        <w:rPr>
          <w:lang w:val="en-US"/>
        </w:rPr>
        <w:t> </w:t>
      </w:r>
      <w:r w:rsidRPr="00C861A6">
        <w:rPr>
          <w:lang w:val="en-US"/>
        </w:rPr>
        <w:t>10.1161/ATVBAHA.114.304964. PubMed PMID: 25614283.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Tunon J, Blanco-Colio L, Cristobal C, Tarin N, Higueras J, Huelmos</w:t>
      </w:r>
      <w:r w:rsidRPr="00C861A6">
        <w:t> </w:t>
      </w:r>
      <w:r w:rsidRPr="00C861A6">
        <w:rPr>
          <w:lang w:val="en-US"/>
        </w:rPr>
        <w:t>A, et al. Usefulness of a combination of monocyte chemoattractant protein-1, galectin-3, and N-terminal probrain natriuretic peptide to predict cardiovascular events in patients with coronary artery disease. Am J Cardiol.</w:t>
      </w:r>
      <w:r>
        <w:rPr>
          <w:lang w:val="en-US"/>
        </w:rPr>
        <w:t xml:space="preserve"> 2014 Feb 1;113(3):434-40. doi:</w:t>
      </w:r>
      <w:r w:rsidRPr="00C514CB">
        <w:rPr>
          <w:lang w:val="en-US"/>
        </w:rPr>
        <w:t> </w:t>
      </w:r>
      <w:r w:rsidRPr="00C861A6">
        <w:rPr>
          <w:lang w:val="en-US"/>
        </w:rPr>
        <w:t>10.1016/j.amjcard.2013.10.012. PubMed PMID: 24295549.</w:t>
      </w:r>
    </w:p>
    <w:p w:rsidR="005E2904" w:rsidRPr="00C861A6" w:rsidRDefault="005E2904" w:rsidP="005E2904">
      <w:pPr>
        <w:pStyle w:val="a3"/>
        <w:numPr>
          <w:ilvl w:val="0"/>
          <w:numId w:val="19"/>
        </w:numPr>
        <w:spacing w:after="0" w:line="360" w:lineRule="auto"/>
        <w:ind w:left="0" w:firstLine="567"/>
        <w:jc w:val="both"/>
      </w:pPr>
      <w:r w:rsidRPr="00C861A6">
        <w:rPr>
          <w:lang w:val="en-US"/>
        </w:rPr>
        <w:t>Jansen H, Koenig W, Jaensch A, Mons U, Breitling LP, Scharnagl</w:t>
      </w:r>
      <w:r w:rsidRPr="00C861A6">
        <w:t> </w:t>
      </w:r>
      <w:r w:rsidRPr="00C861A6">
        <w:rPr>
          <w:lang w:val="en-US"/>
        </w:rPr>
        <w:t>H, et al. Prognostic Utility of Galectin-3 for Recurrent Cardiovascular Events During Long-term Follow-up in Patients with Stable Coronary Heart Disease: Results of the KAROLA Study. Clin Chem. 2016 Oct;62(10):1372-9. doi: 10.1373/clinchem.2016.257550.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Aksan G, Gedikli O, Keskin K, Nar G, İnci S, Yildiz SS, et al. Is galectin-3 a biomarker, a player-or both-in the presence of coronary atherosclerosis? J Investig Med. 2016 Mar;64(3):764-70. doi: 10.1136/jim-2015-000041.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Lepojarvi ES, Piira OP, Paakko E, Lammentausta E, Risteli J, Miettinen JA, et al. Serum PINP, PIIINP, galectin-3, and ST2 as surrogates of myocardial fibrosis and echocardiographic left venticular diastolic filling properties. Front Physiol. 2015 Jul 13;6:200. </w:t>
      </w:r>
      <w:r>
        <w:rPr>
          <w:lang w:val="en-US"/>
        </w:rPr>
        <w:t>doi: 10.3389/fphys.2015.00200.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Gucuk Ipek E, Akin Suljevic S, Kafes H, Basyigit F, Karalok N, Guray Y, et al. Evaluation of galectin-3 levels in acute coronary syndrome. Ann Cardiol Angeiol (Paris). 2016 Feb;65(1):26-30. doi: 10.1016/j.ancard.2015.09.046.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George M, Shanmugam E, Srivatsan V, Vasanth K, Ramraj B, Rajaram M, et al. Value of pentraxin-3 and galectin-3 in acute coronary syndrome: a short-term prospective cohort study. Ther Adv Cardiovasc </w:t>
      </w:r>
      <w:r>
        <w:rPr>
          <w:lang w:val="en-US"/>
        </w:rPr>
        <w:t>Dis. 2015 Oct;9(5):275-84. doi:</w:t>
      </w:r>
      <w:r w:rsidRPr="00C514CB">
        <w:rPr>
          <w:lang w:val="en-US"/>
        </w:rPr>
        <w:t> </w:t>
      </w:r>
      <w:r w:rsidRPr="00C861A6">
        <w:rPr>
          <w:lang w:val="en-US"/>
        </w:rPr>
        <w:t>10.1177/1753944715578405. PubMed PMID: 25814534.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van Kimmenade RR, Januzzi JL Jr, Ellinor PT, Sharma UC, Bakker JA, Low AF, et al. Utility of amino-terminal pro-brain natriuretic peptide, galectin-3, and apelin for the evaluation of patients with acute heart failure. J Am Coll Cardiol. 2006 Sep 19;48(6):1217-24. PubMed PMID: 16979009.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Di Tano G, Caretta G, De Maria R, Parolini M, Bassi L, Testa S, et al. Galectin-3 predicts left ventricular remodelling after anterior-wall myocardial infarction treated by primary percutaneous coronary intervention. Heart. 2017 Jan 1;103(1):71-7. doi: 10.1136/heartjnl-2016-309673. PubMed PMID: 27465055.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Szadkowska I, Wlazel RN, Migala M, Szadkowski K, Zielinska M, Paradowski M, et al. The association between galectin-3 and clinical parameters in patients with first acute myocardial infarction treated with primary percutaneous coronary angioplasty. Cardiol J. 2013;20(6):577-82. doi: 10.5603/CJ.2013.0157.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Tsai TH, Sung PH, Chang LT, Sun CK, Yeh KH, Chung SY, et al. Value and level of galectin-3 in acute myocardial infarction patients undergoing primary percutaneous coronary intervention. J Atheroscler Thromb. 2012;19(12):1073-82.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Szadkowska I, Wlazel RN, Migala M, Bajon-Laskowska K, Szadkowski K, Zielinska M, et al. The association between galectin-3 and occurrence of reinfarction early after first myocardial infarction treated invasively. Biomarkers. 2013 Dec;18(8):655-9. doi: 10.3109/1354750X.2013.840801. PubMed PMID: 24102091.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Perea RJ, Morales-Ruiz M, Ortiz-Perez JT, Bosch X, Andreu D, Borras R, et al. Utility of galectin-3 in predicting post-infarct remodeling after acute myocardial infarction based on extracellular volume fraction mapping. Int J Cardiol. 2016 Nov 15;223:458-64. doi: 10.1016/j.ijcard.2016.08.070. PubMed PMID: 27544605.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van der Velde AR, Lexis CP, Meijers WC, van der Horst IC, Lipsic E, Dokter MM, et al. Galectin-3 and sST2 in prediction of left ventricular ejection fraction after myocardial infarction. Clin Chim A</w:t>
      </w:r>
      <w:r>
        <w:rPr>
          <w:lang w:val="en-US"/>
        </w:rPr>
        <w:t>cta. 2016 Jan 15;452:50-7. doi:</w:t>
      </w:r>
      <w:r>
        <w:t> </w:t>
      </w:r>
      <w:r w:rsidRPr="00C861A6">
        <w:rPr>
          <w:lang w:val="en-US"/>
        </w:rPr>
        <w:t>10.1016/j.cca.2015.10.034. PubMed PMID: 26528636.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Milner TD, Viner AC, MacKinnon AC, Sethi T, Flapan AD. Temporal expression of galectin-3 following myocardial infarction. Acta Cardiol. 2014 Dec;69(6):595-602. PubMed PMID: 25643429.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Singsaas EG, Manhenke CA, Dickstein K, Orn S. Circulating Galectin-3 Levels Are Increased in Patients with Ischemic Heart Disease, but Are Not Influenced by Acute Myocardial Infarction. Cardio</w:t>
      </w:r>
      <w:r>
        <w:rPr>
          <w:lang w:val="en-US"/>
        </w:rPr>
        <w:t>logy. 2016;134(4):398-405. doi:</w:t>
      </w:r>
      <w:r>
        <w:t> </w:t>
      </w:r>
      <w:r w:rsidRPr="00C861A6">
        <w:rPr>
          <w:lang w:val="en-US"/>
        </w:rPr>
        <w:t>10.1159/000445103. PubMed PMID: 27120522.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Weir RA, Petrie CJ, Murphy CA, Clements S, Steedman T, Miller AM, et al. Galectin-3 and cardiac function in survivors of acute myocardial infarction. Circ Heart Fail. 2013 May;6(3):492-8. doi: 10.1161/CIRCHEARTFAILURE.112.000146.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Lopez-Andres N, Rossignol P, Iraqi W, Fay R, Nuee J, Ghio S, et al. Association of galectin-3 and fibrosis markers with long-term cardiovascular outcomes in patients with heart failure, left ventricular dysfunction, and dyssynchrony: insights from the CARE-HF (Cardiac Resynchronization in Heart Failure) trial. Eur J Heart Fail. 2012 Jan;14(1):74-81. doi: 10.1093/eurjhf/hfr151. PubMed PMID: 22089058.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Erkilet G, Ozpeker C, Bothig D, Kramer F, Rofe D, Bohms B, et al. The biomarker plasma galectin-3 in advanced heart failure and survival with mechanical circulatory support devices. J Heart Lung Transpla</w:t>
      </w:r>
      <w:r>
        <w:rPr>
          <w:lang w:val="en-US"/>
        </w:rPr>
        <w:t>nt. 2013 Feb;32(2):221-30. doi:</w:t>
      </w:r>
      <w:r w:rsidRPr="00C514CB">
        <w:rPr>
          <w:lang w:val="en-US"/>
        </w:rPr>
        <w:t> </w:t>
      </w:r>
      <w:r w:rsidRPr="00C861A6">
        <w:rPr>
          <w:lang w:val="en-US"/>
        </w:rPr>
        <w:t>10.1016/j.healun.2012.11.011. PubMed PMID: 23352394.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 Boer RA, Lok DJ, Jaarsma T, van der Meer P, Voors AA, Hillege HL, et al. Predictive value of plasma galectin-3 levels in heart failure with reduced and preserved ejection fraction. Ann</w:t>
      </w:r>
      <w:r>
        <w:rPr>
          <w:lang w:val="en-US"/>
        </w:rPr>
        <w:t xml:space="preserve"> Med. 2011 Feb;43(1):60-8. doi:</w:t>
      </w:r>
      <w:r w:rsidRPr="00C514CB">
        <w:rPr>
          <w:lang w:val="en-US"/>
        </w:rPr>
        <w:t> </w:t>
      </w:r>
      <w:r w:rsidRPr="00C861A6">
        <w:rPr>
          <w:lang w:val="en-US"/>
        </w:rPr>
        <w:t>10.3109/07853890.2010.538080. PubMed PMID: 21189092.</w:t>
      </w:r>
      <w:r>
        <w:rPr>
          <w:lang w:val="en-US"/>
        </w:rPr>
        <w:t xml:space="preserve">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Meeusen JW, Johnson JN, Gray A, Wendt P, Jefferies JL, Jaffe AS, et al. Soluble ST2 and galectin-3 in pediatric patients without heart failure. Clin Biochem</w:t>
      </w:r>
      <w:r>
        <w:rPr>
          <w:lang w:val="en-US"/>
        </w:rPr>
        <w:t>. 2015 Dec;48(18):1337-40. doi:</w:t>
      </w:r>
      <w:r w:rsidRPr="00C514CB">
        <w:rPr>
          <w:lang w:val="en-US"/>
        </w:rPr>
        <w:t xml:space="preserve"> </w:t>
      </w:r>
      <w:r w:rsidRPr="00C861A6">
        <w:rPr>
          <w:lang w:val="en-US"/>
        </w:rPr>
        <w:t>10.1016/j.clinbiochem.2015.08.007.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Edelmann F, Holzendorf V, Wachter R, Nolte K, Schmidt AG, Kraigher-Krainer E, et al. Galectin-3 in patients with heart failure with preserved ejection fraction: results from the Aldo-DHF trial. Eur J Heart Fa</w:t>
      </w:r>
      <w:r>
        <w:rPr>
          <w:lang w:val="en-US"/>
        </w:rPr>
        <w:t>il. 2015 Feb;17(2):214-23. doi:</w:t>
      </w:r>
      <w:r w:rsidRPr="00C514CB">
        <w:rPr>
          <w:lang w:val="en-US"/>
        </w:rPr>
        <w:t> </w:t>
      </w:r>
      <w:r w:rsidRPr="00C861A6">
        <w:rPr>
          <w:lang w:val="en-US"/>
        </w:rPr>
        <w:t xml:space="preserve">10.1002/ejhf.203. PubMed PMID: 25418979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Teixeira A, Arrigo M, Vergaro G, Cohen-Solal A, Mebazaa A. Clinical benefits of natriuretic peptides and galectin-3 are maintained in old dyspnoeic patients. Arch Gerontol Geriatr. 2017 Jan - Feb;68:33-8. doi: 10.1016/j.archger.2016.08.010.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McEvoy JW, Chen Y, Halushka MK, Christenson E, Ballantyne CM, Blumenthal RS, et al. Galectin-3 and Risk of Heart Failure and Death in Blacks and Whites. J Am Heart Assoc. 2016 </w:t>
      </w:r>
      <w:r>
        <w:rPr>
          <w:lang w:val="en-US"/>
        </w:rPr>
        <w:t>May 13;5(5). pii: e003079. doi:</w:t>
      </w:r>
      <w:r w:rsidRPr="00C514CB">
        <w:rPr>
          <w:lang w:val="en-US"/>
        </w:rPr>
        <w:t> </w:t>
      </w:r>
      <w:r w:rsidRPr="00C861A6">
        <w:rPr>
          <w:lang w:val="en-US"/>
        </w:rPr>
        <w:t>10.1161/JAHA.115.003079. PubMed PMID: 27178204.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Anand IS, Rector TS, Kuskowski M, Adourian A, Muntendam P, Cohn JN. Baseline and serial measurements of galectin-3 in patients with heart failure: relationship to prognosis and effect of treatment with valsartan in the Val-HeFT. Eur J Heart Fail. 2013 May;15(5):511-8. doi: 10.1093/eurjhf/hfs205.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Lala RI, Darabantiu D, Pilat L, Puschita M. Galectin-3: A Link between Myocardial and Arterial Stiffening in Patients with Acute Decompensated Heart Failure? Arq Bras Cardiol. 2016 Feb;106(2):121-9. doi: 10.5935/abc.20150149. English, Portuguese. PubMed PMID: 26760784.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Piper SE, de Courcey J, Sherwood RA, Amin-Youssef GF, McDonagh TA. Serial galectin-3 for the monitoring of optimally treated stable chronic heart failure: A pilot study. Int J Cardiol. 2016 Mar 15;207:279-81. doi: 10.1016/j.ijcard.2016.01.179.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Miller WL, Saenger AK, Grill DE, Slusser JP, Bayes-Genis A, Jaffe AS. Prognostic Value of Serial Measurements of Soluble Suppression of Tumorigenicity 2 and Galectin-3 in Ambulatory Patients With Chronic Heart Failure. J Card Fail. 2016 Apr;22(4):249-55. doi: 10.1016/j.cardfail.2015.07.017. PubMed PMID: 26277907.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van der Velde AR, Gullestad L, Ueland T, Aukrust P, Guo Y, Adourian A, et al. Prognostic value of changes in galectin-3 levels over time in patients with heart failure: data from CORONA and COACH. Circ Heart F</w:t>
      </w:r>
      <w:r>
        <w:rPr>
          <w:lang w:val="en-US"/>
        </w:rPr>
        <w:t>ail. 2013 Mar;6(2):219-26. doi:</w:t>
      </w:r>
      <w:r w:rsidRPr="00C514CB">
        <w:rPr>
          <w:lang w:val="en-US"/>
        </w:rPr>
        <w:t> </w:t>
      </w:r>
      <w:r w:rsidRPr="00C861A6">
        <w:rPr>
          <w:lang w:val="en-US"/>
        </w:rPr>
        <w:t>10.1161/CIRCHEARTFAILURE.112.000129. PubMed PMID: 23395934.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Beltrami M, Ruocco G, Dastidar AG, Franci B, Lucani B, Aloia E, et al. Additional value of Galectin-3 to BNP in acute heart failure patients with preserved ejection fraction. Clin Chim Ac</w:t>
      </w:r>
      <w:r>
        <w:rPr>
          <w:lang w:val="en-US"/>
        </w:rPr>
        <w:t>ta. 2016 Jun 1;457:99-105. doi:</w:t>
      </w:r>
      <w:r w:rsidRPr="00C514CB">
        <w:rPr>
          <w:lang w:val="en-US"/>
        </w:rPr>
        <w:t> </w:t>
      </w:r>
      <w:r w:rsidRPr="00C861A6">
        <w:rPr>
          <w:lang w:val="en-US"/>
        </w:rPr>
        <w:t>10.1016/j.cca.2016.04.007. PubMed PMID: 27067445.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Kiwaki K, Novak CM, Hsu DK, Liu FT, Levine JA. Galectin-3 stimulates preadipocyte proliferation and is up-regulated in growing adipose tissue. Obesity (Silver Spring). 2007 Jan;15(1):32-9. PubMed PMID: 17228029.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Weigert J, Neumeier M, Wanninger J, Bauer S, Farkas S, Scherer MN, et al. Serum galectin-3 is elevated in obesity and negatively correlates with glycosylated hemoglobin in type 2 diabetes. J Clin Endocrinol Meta</w:t>
      </w:r>
      <w:r>
        <w:rPr>
          <w:lang w:val="en-US"/>
        </w:rPr>
        <w:t>b. 2010 Mar;95(3):1404-11. doi:</w:t>
      </w:r>
      <w:r w:rsidRPr="00C514CB">
        <w:rPr>
          <w:lang w:val="en-US"/>
        </w:rPr>
        <w:t> </w:t>
      </w:r>
      <w:r w:rsidRPr="00C861A6">
        <w:rPr>
          <w:lang w:val="en-US"/>
        </w:rPr>
        <w:t>10.1210/jc.2009-1619. PubMed PMID: 20080851.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Frangogiannis NG. The immune system and cardiac repair. Pharmacol Res. 2008 Aug;58(2):88-111. doi: 10.1016/j.phrs.2008.06.007. PubMed PMID: 18620057.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Ekmekci OB, Ekmekci H. Vitronectin in atherosclerotic disease. Clin Chim Acta. 2006 Jun;368(1-2):77-83. Review. PubMed PMID: 16460719.</w:t>
      </w:r>
    </w:p>
    <w:p w:rsidR="005E2904" w:rsidRPr="007A558C" w:rsidRDefault="005E2904" w:rsidP="005E2904">
      <w:pPr>
        <w:pStyle w:val="a3"/>
        <w:numPr>
          <w:ilvl w:val="0"/>
          <w:numId w:val="19"/>
        </w:numPr>
        <w:spacing w:after="0" w:line="360" w:lineRule="auto"/>
        <w:ind w:left="0" w:firstLine="567"/>
        <w:jc w:val="both"/>
      </w:pPr>
      <w:r w:rsidRPr="00C861A6">
        <w:rPr>
          <w:lang w:val="en-US"/>
        </w:rPr>
        <w:t>Preissner KT. Structure and biological role of vitronectin. Annu Rev Cell Biol. 1991;7:275-310. Review. PubMed</w:t>
      </w:r>
      <w:r w:rsidRPr="00A40B60">
        <w:t xml:space="preserve"> </w:t>
      </w:r>
      <w:r w:rsidRPr="00C861A6">
        <w:rPr>
          <w:lang w:val="en-US"/>
        </w:rPr>
        <w:t>PMID</w:t>
      </w:r>
      <w:r w:rsidRPr="00A40B60">
        <w:t>: 1725600.</w:t>
      </w:r>
    </w:p>
    <w:p w:rsidR="005E2904" w:rsidRPr="00C861A6" w:rsidRDefault="005E2904" w:rsidP="005E2904">
      <w:pPr>
        <w:pStyle w:val="a3"/>
        <w:numPr>
          <w:ilvl w:val="0"/>
          <w:numId w:val="19"/>
        </w:numPr>
        <w:spacing w:after="0" w:line="360" w:lineRule="auto"/>
        <w:ind w:left="0" w:firstLine="567"/>
        <w:jc w:val="both"/>
        <w:rPr>
          <w:lang w:val="en-US"/>
        </w:rPr>
      </w:pPr>
      <w:r w:rsidRPr="001B3A99">
        <w:t xml:space="preserve">Жерносеков ДД, Золотарева ЭН. </w:t>
      </w:r>
      <w:r w:rsidRPr="00C861A6">
        <w:rPr>
          <w:lang w:val="en-US"/>
        </w:rPr>
        <w:t>C</w:t>
      </w:r>
      <w:r w:rsidRPr="001B3A99">
        <w:t xml:space="preserve">труктурно-функциональная характеристика витронектина и его роль в системе гемостаза. </w:t>
      </w:r>
      <w:r w:rsidRPr="00C861A6">
        <w:rPr>
          <w:lang w:val="en-US"/>
        </w:rPr>
        <w:t>Biopolym. Cell. 2011;27(4):258-63. doi: 10.7124/bc.000107.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Chillakuri CR, Jones C, Mardon HJ. Heparin binding domain in vitronectin is required for oligomerization and thus enhances integrin mediated cell adhesion and spreading. FEBS Lett. 2</w:t>
      </w:r>
      <w:r>
        <w:rPr>
          <w:lang w:val="en-US"/>
        </w:rPr>
        <w:t>010 Aug 4;584(15):3287-91. doi:</w:t>
      </w:r>
      <w:r>
        <w:t> </w:t>
      </w:r>
      <w:r w:rsidRPr="00C861A6">
        <w:rPr>
          <w:lang w:val="en-US"/>
        </w:rPr>
        <w:t>10.1016/j.febslet.2010</w:t>
      </w:r>
      <w:r>
        <w:rPr>
          <w:lang w:val="en-US"/>
        </w:rPr>
        <w:t>.06.023. PubMed PMID: 20600001.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Thys M, Nauwynck H, Vandaele L, Bijttebier J, Maes D, Favoreel H et al. Vitronectin and Its Receptor (Integrin </w:t>
      </w:r>
      <w:r w:rsidRPr="003C334C">
        <w:t>α</w:t>
      </w:r>
      <w:r w:rsidRPr="00C861A6">
        <w:rPr>
          <w:lang w:val="en-US"/>
        </w:rPr>
        <w:t>v</w:t>
      </w:r>
      <w:r w:rsidRPr="003C334C">
        <w:t>β</w:t>
      </w:r>
      <w:r w:rsidRPr="00C861A6">
        <w:rPr>
          <w:lang w:val="en-US"/>
        </w:rPr>
        <w:t xml:space="preserve">3) During Bovine Fertilization In Vitro. In: Perez-Marin CC, editor. A Bird's-Eye View of Veterinary Medicine [Internet]. [place </w:t>
      </w:r>
      <w:r w:rsidRPr="00C861A6">
        <w:rPr>
          <w:lang w:val="en-US"/>
        </w:rPr>
        <w:lastRenderedPageBreak/>
        <w:t>unknown]: InTech; 2012. Available from: http://www.intechopen.com/books/a-bird-s-eye-view-of-veterinary-medicine/vitronectin-and-its-receptorintegrin-v-3-during-bovine-fertilization-in-vitro. doi: 10.5772/37408.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Reheman A, Gross P, Yang H, Chen P, Allen D, Leytin V, et al. Vitronectin stabilizes thrombi and vessel occlusion but plays a dual role in platelet aggregation. J Thromb Haemost. 2005 May;3(5):875-83. PubMed PMID: 15733060.</w:t>
      </w:r>
    </w:p>
    <w:p w:rsidR="005E2904" w:rsidRPr="00FE71DB" w:rsidRDefault="005E2904" w:rsidP="005E2904">
      <w:pPr>
        <w:pStyle w:val="a3"/>
        <w:numPr>
          <w:ilvl w:val="0"/>
          <w:numId w:val="19"/>
        </w:numPr>
        <w:spacing w:after="0" w:line="360" w:lineRule="auto"/>
        <w:ind w:left="0" w:firstLine="567"/>
        <w:jc w:val="both"/>
      </w:pPr>
      <w:r w:rsidRPr="00C861A6">
        <w:rPr>
          <w:lang w:val="en-US"/>
        </w:rPr>
        <w:t>Zhong J, Yang HC, Kon V, Fogo AB, Lawrence DA, Ma J. Vitronectin-binding PAI-1 protects against the development of cardiac fibrosis through interaction with fibroblasts. Lab</w:t>
      </w:r>
      <w:r w:rsidRPr="00FE71DB">
        <w:t xml:space="preserve"> </w:t>
      </w:r>
      <w:r w:rsidRPr="00C861A6">
        <w:rPr>
          <w:lang w:val="en-US"/>
        </w:rPr>
        <w:t>Invest</w:t>
      </w:r>
      <w:r w:rsidRPr="00FE71DB">
        <w:t xml:space="preserve">. 2014 </w:t>
      </w:r>
      <w:r w:rsidRPr="00C861A6">
        <w:rPr>
          <w:lang w:val="en-US"/>
        </w:rPr>
        <w:t>Jun</w:t>
      </w:r>
      <w:r w:rsidRPr="00FE71DB">
        <w:t xml:space="preserve">;94(6):633-44. </w:t>
      </w:r>
      <w:r w:rsidRPr="00C861A6">
        <w:rPr>
          <w:lang w:val="en-US"/>
        </w:rPr>
        <w:t>doi</w:t>
      </w:r>
      <w:r w:rsidRPr="00FE71DB">
        <w:t>: 10.1038/</w:t>
      </w:r>
      <w:r w:rsidRPr="00C861A6">
        <w:rPr>
          <w:lang w:val="en-US"/>
        </w:rPr>
        <w:t>labinvest</w:t>
      </w:r>
      <w:r>
        <w:t>.2014.51.</w:t>
      </w:r>
    </w:p>
    <w:p w:rsidR="005E2904" w:rsidRPr="00C861A6" w:rsidRDefault="005E2904" w:rsidP="005E2904">
      <w:pPr>
        <w:pStyle w:val="a3"/>
        <w:numPr>
          <w:ilvl w:val="0"/>
          <w:numId w:val="19"/>
        </w:numPr>
        <w:spacing w:after="0" w:line="360" w:lineRule="auto"/>
        <w:ind w:left="0" w:firstLine="567"/>
        <w:jc w:val="both"/>
      </w:pPr>
      <w:r w:rsidRPr="00C861A6">
        <w:t>Коваль</w:t>
      </w:r>
      <w:r w:rsidRPr="00FE71DB">
        <w:t xml:space="preserve"> ЕА</w:t>
      </w:r>
      <w:r w:rsidRPr="00C861A6">
        <w:t>. Двойная антитромбоцитарная терапия у больных с острым инфарктом миокарда: вопросы, новые рекомендации и практика. Артер. гипертензия. 2012; (5):41-5.</w:t>
      </w:r>
    </w:p>
    <w:p w:rsidR="005E2904" w:rsidRPr="00C861A6" w:rsidRDefault="005E2904" w:rsidP="005E2904">
      <w:pPr>
        <w:pStyle w:val="a3"/>
        <w:numPr>
          <w:ilvl w:val="0"/>
          <w:numId w:val="19"/>
        </w:numPr>
        <w:spacing w:after="0" w:line="360" w:lineRule="auto"/>
        <w:ind w:left="0" w:firstLine="567"/>
        <w:jc w:val="both"/>
      </w:pPr>
      <w:r w:rsidRPr="00C861A6">
        <w:t>Xian Y, Wang TY, McCoy LA, Effron MB, Henry TD, Bach RG, et</w:t>
      </w:r>
      <w:r w:rsidRPr="00C861A6">
        <w:rPr>
          <w:lang w:val="en-US"/>
        </w:rPr>
        <w:t> </w:t>
      </w:r>
      <w:r w:rsidRPr="00C861A6">
        <w:t xml:space="preserve">al. Association of Discharge Aspirin Dose With Outcomes After Acute Myocardial Infarction: Insights From the Treatment with ADP Receptor Inhibitors: Longitudinal Assessment of Treatment Patterns and Events after Acute Coronary Syndrome (TRANSLATE-ACS) Study. Circulation. </w:t>
      </w:r>
      <w:r>
        <w:t>2015 Jul 21;132(3):174-81. doi: </w:t>
      </w:r>
      <w:r w:rsidRPr="00C861A6">
        <w:t>10.1161/CIRCULATIONAHA.114.014992. PubMed PMID: 25995313.</w:t>
      </w:r>
    </w:p>
    <w:p w:rsidR="005E2904" w:rsidRPr="00C861A6" w:rsidRDefault="005E2904" w:rsidP="005E2904">
      <w:pPr>
        <w:pStyle w:val="a3"/>
        <w:numPr>
          <w:ilvl w:val="0"/>
          <w:numId w:val="19"/>
        </w:numPr>
        <w:spacing w:after="0" w:line="360" w:lineRule="auto"/>
        <w:ind w:left="0" w:firstLine="567"/>
        <w:jc w:val="both"/>
      </w:pPr>
      <w:r w:rsidRPr="00C861A6">
        <w:t>Mehta SR, Tanguay JF, Eikelboom JW, Jolly SS, Joyner CD, Granger</w:t>
      </w:r>
      <w:r w:rsidRPr="00C861A6">
        <w:rPr>
          <w:lang w:val="en-US"/>
        </w:rPr>
        <w:t> </w:t>
      </w:r>
      <w:r w:rsidRPr="00C861A6">
        <w:t xml:space="preserve">CB, </w:t>
      </w:r>
      <w:r w:rsidRPr="00C861A6">
        <w:rPr>
          <w:lang w:val="en-US"/>
        </w:rPr>
        <w:t>et al.</w:t>
      </w:r>
      <w:r w:rsidRPr="00C861A6">
        <w:t>; CURRENT-OASIS 7 trial investigators. Double-dose versus standard-dose clopidogrel and high-dose versus low-dose aspirin in individuals undergoing percutaneous coronary intervention for acute coronary syndromes (CURRENT-OASIS 7): a randomised factorial trial. Lancet. 201</w:t>
      </w:r>
      <w:r>
        <w:t>0 Oct 9;376(9748):1233-43. doi: </w:t>
      </w:r>
      <w:r w:rsidRPr="00C861A6">
        <w:t>10.1016/S0140-6736(10)61088-4. PubMed PMID: 20817281.</w:t>
      </w:r>
    </w:p>
    <w:p w:rsidR="005E2904" w:rsidRPr="00C861A6" w:rsidRDefault="005E2904" w:rsidP="005E2904">
      <w:pPr>
        <w:pStyle w:val="a3"/>
        <w:numPr>
          <w:ilvl w:val="0"/>
          <w:numId w:val="19"/>
        </w:numPr>
        <w:spacing w:after="0" w:line="360" w:lineRule="auto"/>
        <w:ind w:left="0" w:firstLine="567"/>
        <w:jc w:val="both"/>
        <w:rPr>
          <w:lang w:val="en-US"/>
        </w:rPr>
      </w:pPr>
      <w:r w:rsidRPr="00C861A6">
        <w:t xml:space="preserve">Aradi D, Kirtane A, Bonello L, Gurbel PA, Tantry US, Huber K, </w:t>
      </w:r>
      <w:r w:rsidRPr="00C861A6">
        <w:rPr>
          <w:lang w:val="en-US"/>
        </w:rPr>
        <w:t>et al</w:t>
      </w:r>
      <w:r w:rsidRPr="00C861A6">
        <w:t xml:space="preserve">. Bleeding and stent thrombosis on P2Y12-inhibitors: collaborative analysis on the role of </w:t>
      </w:r>
      <w:r w:rsidRPr="00C861A6">
        <w:lastRenderedPageBreak/>
        <w:t>platelet reactivity for risk stratification after percutaneous coronary intervention. Eur Heart J. 2015 Jul 14;36(27):1762-71. doi: 10.1093/eurheartj/ehv104. Review</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Collet JP, Kerneis M, Hulot JS, O'Connor SA, Silvain J, Mansencal</w:t>
      </w:r>
      <w:r w:rsidRPr="00C861A6">
        <w:rPr>
          <w:lang w:val="en-US"/>
        </w:rPr>
        <w:t> </w:t>
      </w:r>
      <w:r w:rsidRPr="00C861A6">
        <w:t xml:space="preserve">N, </w:t>
      </w:r>
      <w:r w:rsidRPr="00C861A6">
        <w:rPr>
          <w:lang w:val="en-US"/>
        </w:rPr>
        <w:t>et al</w:t>
      </w:r>
      <w:r w:rsidRPr="00C861A6">
        <w:t>. Point-of-care genetic profiling and/or platelet function testing in acute coronary syndrome. Thromb Haemost. 2016 Jan;115(2):382-91. doi: 10.1160/TH15-05-0394</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Goodman SG, Clare R, Pieper KS, Nicolau JC, Storey RF, Cantor</w:t>
      </w:r>
      <w:r w:rsidRPr="00C861A6">
        <w:rPr>
          <w:lang w:val="en-US"/>
        </w:rPr>
        <w:t> </w:t>
      </w:r>
      <w:r w:rsidRPr="00C861A6">
        <w:t xml:space="preserve">WJ, </w:t>
      </w:r>
      <w:r w:rsidRPr="00C861A6">
        <w:rPr>
          <w:lang w:val="en-US"/>
        </w:rPr>
        <w:t>et al.</w:t>
      </w:r>
      <w:r w:rsidRPr="00C861A6">
        <w:t>; Platelet Inhibition and Patient Outcomes Trial Investigators. Association of proton pump inhibitor use on cardiovascular outcomes with clopidogrel and ticagrelor: insights from the platelet inhibition and patient outcomes trial. Circulation. 2012 Feb 28;125(8):978-86. doi: 10.1161/CIRCULATIONAHA.111.032912.</w:t>
      </w:r>
    </w:p>
    <w:p w:rsidR="005E2904" w:rsidRPr="00C861A6" w:rsidRDefault="005E2904" w:rsidP="005E2904">
      <w:pPr>
        <w:pStyle w:val="a3"/>
        <w:numPr>
          <w:ilvl w:val="0"/>
          <w:numId w:val="19"/>
        </w:numPr>
        <w:spacing w:after="0" w:line="360" w:lineRule="auto"/>
        <w:ind w:left="0" w:firstLine="567"/>
        <w:jc w:val="both"/>
        <w:rPr>
          <w:lang w:val="en-US"/>
        </w:rPr>
      </w:pPr>
      <w:r w:rsidRPr="00C861A6">
        <w:t>Becker RC, Bassand JP, Budaj A, Wojdyla DM, James SK, Cornel</w:t>
      </w:r>
      <w:r w:rsidRPr="00C861A6">
        <w:rPr>
          <w:lang w:val="en-US"/>
        </w:rPr>
        <w:t> </w:t>
      </w:r>
      <w:r w:rsidRPr="00C861A6">
        <w:t xml:space="preserve">JH, </w:t>
      </w:r>
      <w:r w:rsidRPr="00C861A6">
        <w:rPr>
          <w:lang w:val="en-US"/>
        </w:rPr>
        <w:t>et al.</w:t>
      </w:r>
      <w:r w:rsidRPr="00C861A6">
        <w:t xml:space="preserve"> Bleeding complications with the P2Y12 receptor antagonists clopidogrel and ticagrelor in the PLATelet inhibition and patient Outcomes (PLATO) trial. Eur Heart J. 2011 Dec;32(23):2933-44. doi: 10.1093/eurheartj/ehr422. PubMed PMID: 22090660.</w:t>
      </w:r>
    </w:p>
    <w:p w:rsidR="005E2904" w:rsidRPr="00C861A6" w:rsidRDefault="005E2904" w:rsidP="005E2904">
      <w:pPr>
        <w:pStyle w:val="a3"/>
        <w:numPr>
          <w:ilvl w:val="0"/>
          <w:numId w:val="19"/>
        </w:numPr>
        <w:spacing w:after="0" w:line="360" w:lineRule="auto"/>
        <w:ind w:left="0" w:firstLine="567"/>
        <w:jc w:val="both"/>
        <w:rPr>
          <w:lang w:val="en-US"/>
        </w:rPr>
      </w:pPr>
      <w:r w:rsidRPr="00C861A6">
        <w:t>Alexopoulos D, Xanthopoulou I, Deftereos S, Sitafidis G, Kanakakis</w:t>
      </w:r>
      <w:r w:rsidRPr="00C861A6">
        <w:rPr>
          <w:lang w:val="en-US"/>
        </w:rPr>
        <w:t> </w:t>
      </w:r>
      <w:r w:rsidRPr="00C861A6">
        <w:t>I, Hamilos</w:t>
      </w:r>
      <w:r w:rsidRPr="00C861A6">
        <w:rPr>
          <w:lang w:val="en-US"/>
        </w:rPr>
        <w:t> </w:t>
      </w:r>
      <w:r w:rsidRPr="00C861A6">
        <w:t xml:space="preserve">M, </w:t>
      </w:r>
      <w:r w:rsidRPr="00C861A6">
        <w:rPr>
          <w:lang w:val="en-US"/>
        </w:rPr>
        <w:t>et al</w:t>
      </w:r>
      <w:r w:rsidRPr="00C861A6">
        <w:t>. In-hospital switching of oral P2Y12 inhibitor treatment in patients with acute coronary syndrome undergoing percutaneous coronary intervention: prevalence, predictors and short-term outcome. Am Heart J. 2014 Jan;167(1):68-76.e2. doi: 10.1016/j.ahj.2013.10.010. PubMed PMID: 24332144.</w:t>
      </w:r>
    </w:p>
    <w:p w:rsidR="005E2904" w:rsidRPr="00C861A6" w:rsidRDefault="005E2904" w:rsidP="005E2904">
      <w:pPr>
        <w:pStyle w:val="a3"/>
        <w:numPr>
          <w:ilvl w:val="0"/>
          <w:numId w:val="19"/>
        </w:numPr>
        <w:spacing w:after="0" w:line="360" w:lineRule="auto"/>
        <w:ind w:left="0" w:firstLine="567"/>
        <w:jc w:val="both"/>
      </w:pPr>
      <w:r w:rsidRPr="00C861A6">
        <w:rPr>
          <w:rStyle w:val="rvts15"/>
          <w:bCs/>
          <w:bdr w:val="none" w:sz="0" w:space="0" w:color="auto" w:frame="1"/>
        </w:rPr>
        <w:t>Міністерство</w:t>
      </w:r>
      <w:r w:rsidRPr="00C861A6">
        <w:rPr>
          <w:rStyle w:val="rvts15"/>
          <w:bCs/>
          <w:bdr w:val="none" w:sz="0" w:space="0" w:color="auto" w:frame="1"/>
          <w:lang w:val="en-US"/>
        </w:rPr>
        <w:t xml:space="preserve"> </w:t>
      </w:r>
      <w:r w:rsidRPr="00C861A6">
        <w:rPr>
          <w:rStyle w:val="rvts15"/>
          <w:bCs/>
          <w:bdr w:val="none" w:sz="0" w:space="0" w:color="auto" w:frame="1"/>
        </w:rPr>
        <w:t>охорони</w:t>
      </w:r>
      <w:r w:rsidRPr="00C861A6">
        <w:rPr>
          <w:rStyle w:val="rvts15"/>
          <w:bCs/>
          <w:bdr w:val="none" w:sz="0" w:space="0" w:color="auto" w:frame="1"/>
          <w:lang w:val="en-US"/>
        </w:rPr>
        <w:t xml:space="preserve"> </w:t>
      </w:r>
      <w:r w:rsidRPr="00C861A6">
        <w:rPr>
          <w:rStyle w:val="rvts15"/>
          <w:bCs/>
          <w:bdr w:val="none" w:sz="0" w:space="0" w:color="auto" w:frame="1"/>
        </w:rPr>
        <w:t>здоров</w:t>
      </w:r>
      <w:r w:rsidRPr="00C861A6">
        <w:rPr>
          <w:rStyle w:val="rvts15"/>
          <w:bCs/>
          <w:bdr w:val="none" w:sz="0" w:space="0" w:color="auto" w:frame="1"/>
          <w:lang w:val="en-US"/>
        </w:rPr>
        <w:t>’</w:t>
      </w:r>
      <w:r w:rsidRPr="00C861A6">
        <w:rPr>
          <w:rStyle w:val="rvts15"/>
          <w:bCs/>
          <w:bdr w:val="none" w:sz="0" w:space="0" w:color="auto" w:frame="1"/>
        </w:rPr>
        <w:t>я</w:t>
      </w:r>
      <w:r w:rsidRPr="00C861A6">
        <w:rPr>
          <w:rStyle w:val="rvts15"/>
          <w:bCs/>
          <w:bdr w:val="none" w:sz="0" w:space="0" w:color="auto" w:frame="1"/>
          <w:lang w:val="en-US"/>
        </w:rPr>
        <w:t xml:space="preserve"> </w:t>
      </w:r>
      <w:r w:rsidRPr="00C861A6">
        <w:rPr>
          <w:rStyle w:val="rvts15"/>
          <w:bCs/>
          <w:bdr w:val="none" w:sz="0" w:space="0" w:color="auto" w:frame="1"/>
        </w:rPr>
        <w:t>України</w:t>
      </w:r>
      <w:r w:rsidRPr="00C861A6">
        <w:rPr>
          <w:rStyle w:val="rvts15"/>
          <w:bCs/>
          <w:bdr w:val="none" w:sz="0" w:space="0" w:color="auto" w:frame="1"/>
          <w:lang w:val="en-US"/>
        </w:rPr>
        <w:t xml:space="preserve">. </w:t>
      </w:r>
      <w:r w:rsidRPr="00C861A6">
        <w:t xml:space="preserve">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«Гострий коронарний синдром з елевацією сегмента </w:t>
      </w:r>
      <w:r w:rsidRPr="00C861A6">
        <w:rPr>
          <w:lang w:val="en-US"/>
        </w:rPr>
        <w:t>ST</w:t>
      </w:r>
      <w:r w:rsidRPr="00C861A6">
        <w:t>»: Наказ №</w:t>
      </w:r>
      <w:r w:rsidRPr="00C861A6">
        <w:rPr>
          <w:lang w:val="en-US"/>
        </w:rPr>
        <w:t> </w:t>
      </w:r>
      <w:r w:rsidRPr="00C861A6">
        <w:t>455. Київ: МОЗ України; 2014</w:t>
      </w:r>
      <w:r w:rsidRPr="00C861A6">
        <w:rPr>
          <w:lang w:val="en-US"/>
        </w:rPr>
        <w:t> </w:t>
      </w:r>
      <w:r w:rsidRPr="00C861A6">
        <w:t>Лип</w:t>
      </w:r>
      <w:r w:rsidRPr="00C861A6">
        <w:rPr>
          <w:lang w:val="en-US"/>
        </w:rPr>
        <w:t> </w:t>
      </w:r>
      <w:r w:rsidRPr="00C861A6">
        <w:t>2. 92</w:t>
      </w:r>
      <w:r w:rsidRPr="00C861A6">
        <w:rPr>
          <w:lang w:val="en-US"/>
        </w:rPr>
        <w:t> </w:t>
      </w:r>
      <w:r w:rsidRPr="00C861A6">
        <w:t>с.</w:t>
      </w:r>
    </w:p>
    <w:p w:rsidR="005E2904" w:rsidRPr="00B84F75" w:rsidRDefault="005E2904" w:rsidP="005E2904">
      <w:pPr>
        <w:pStyle w:val="10"/>
        <w:numPr>
          <w:ilvl w:val="0"/>
          <w:numId w:val="19"/>
        </w:numPr>
        <w:spacing w:line="360" w:lineRule="auto"/>
        <w:ind w:left="0" w:firstLine="567"/>
        <w:contextualSpacing/>
        <w:jc w:val="both"/>
      </w:pPr>
      <w:r w:rsidRPr="00B84F75">
        <w:rPr>
          <w:rFonts w:ascii="Times New Roman" w:hAnsi="Times New Roman" w:cs="Times New Roman"/>
          <w:color w:val="auto"/>
          <w:sz w:val="28"/>
          <w:szCs w:val="28"/>
        </w:rPr>
        <w:t>De Lorenzi V, Sarra Ferraris GM, Madsen JB, Lupia M, Andreasen</w:t>
      </w:r>
      <w:r>
        <w:rPr>
          <w:rFonts w:ascii="Times New Roman" w:hAnsi="Times New Roman" w:cs="Times New Roman"/>
          <w:color w:val="auto"/>
          <w:sz w:val="28"/>
          <w:szCs w:val="28"/>
        </w:rPr>
        <w:t> </w:t>
      </w:r>
      <w:r w:rsidRPr="00B84F75">
        <w:rPr>
          <w:rFonts w:ascii="Times New Roman" w:hAnsi="Times New Roman" w:cs="Times New Roman"/>
          <w:color w:val="auto"/>
          <w:sz w:val="28"/>
          <w:szCs w:val="28"/>
        </w:rPr>
        <w:t>PA, Sidenius</w:t>
      </w:r>
      <w:r>
        <w:rPr>
          <w:rFonts w:ascii="Times New Roman" w:hAnsi="Times New Roman" w:cs="Times New Roman"/>
          <w:color w:val="auto"/>
          <w:sz w:val="28"/>
          <w:szCs w:val="28"/>
        </w:rPr>
        <w:t> </w:t>
      </w:r>
      <w:r w:rsidRPr="00B84F75">
        <w:rPr>
          <w:rFonts w:ascii="Times New Roman" w:hAnsi="Times New Roman" w:cs="Times New Roman"/>
          <w:color w:val="auto"/>
          <w:sz w:val="28"/>
          <w:szCs w:val="28"/>
        </w:rPr>
        <w:t xml:space="preserve">N. Urokinase links plasminogen activation and cell adhesion by cleavage of the </w:t>
      </w:r>
      <w:r w:rsidRPr="00B84F75">
        <w:rPr>
          <w:rFonts w:ascii="Times New Roman" w:hAnsi="Times New Roman" w:cs="Times New Roman"/>
          <w:color w:val="auto"/>
          <w:sz w:val="28"/>
          <w:szCs w:val="28"/>
        </w:rPr>
        <w:lastRenderedPageBreak/>
        <w:t>RGD motif in vitronectin. EMBO R</w:t>
      </w:r>
      <w:r>
        <w:rPr>
          <w:rFonts w:ascii="Times New Roman" w:hAnsi="Times New Roman" w:cs="Times New Roman"/>
          <w:color w:val="auto"/>
          <w:sz w:val="28"/>
          <w:szCs w:val="28"/>
        </w:rPr>
        <w:t>ep. 2016 Jul;17(7):982-98. doi:</w:t>
      </w:r>
      <w:r>
        <w:rPr>
          <w:rFonts w:ascii="Times New Roman" w:hAnsi="Times New Roman" w:cs="Times New Roman"/>
          <w:color w:val="auto"/>
          <w:sz w:val="28"/>
          <w:szCs w:val="28"/>
          <w:lang w:val="ru-RU"/>
        </w:rPr>
        <w:t> </w:t>
      </w:r>
      <w:r w:rsidRPr="00B84F75">
        <w:rPr>
          <w:rFonts w:ascii="Times New Roman" w:hAnsi="Times New Roman" w:cs="Times New Roman"/>
          <w:color w:val="auto"/>
          <w:sz w:val="28"/>
          <w:szCs w:val="28"/>
        </w:rPr>
        <w:t>10.15252/embr.201541681. PubMed PMID: 27189837</w:t>
      </w:r>
      <w:r>
        <w:rPr>
          <w:rFonts w:ascii="Times New Roman" w:hAnsi="Times New Roman" w:cs="Times New Roman"/>
          <w:color w:val="auto"/>
          <w:sz w:val="28"/>
          <w:szCs w:val="28"/>
        </w:rPr>
        <w:t>.</w:t>
      </w:r>
    </w:p>
    <w:p w:rsidR="005E2904" w:rsidRPr="008C10AF" w:rsidRDefault="005E2904" w:rsidP="005E2904">
      <w:pPr>
        <w:pStyle w:val="10"/>
        <w:numPr>
          <w:ilvl w:val="0"/>
          <w:numId w:val="19"/>
        </w:numPr>
        <w:spacing w:line="360" w:lineRule="auto"/>
        <w:ind w:left="0" w:firstLine="567"/>
        <w:contextualSpacing/>
        <w:jc w:val="both"/>
      </w:pPr>
      <w:r w:rsidRPr="00B84F75">
        <w:rPr>
          <w:rFonts w:ascii="Times New Roman" w:hAnsi="Times New Roman" w:cs="Times New Roman"/>
          <w:color w:val="auto"/>
          <w:sz w:val="28"/>
          <w:szCs w:val="28"/>
        </w:rPr>
        <w:t xml:space="preserve">Zhong J, Yang HC, Kon V, Fogo AB, Lawrence DA, Ma J. Vitronectin-binding PAI-1 protects against the development of cardiac fibrosis through interaction with fibroblasts. Lab Invest. 2014 Jun;94(6):633-44. doi: 10.1038/labinvest.2014.51. </w:t>
      </w:r>
    </w:p>
    <w:p w:rsidR="005E2904" w:rsidRPr="001D197C" w:rsidRDefault="005E2904" w:rsidP="005E2904">
      <w:pPr>
        <w:pStyle w:val="10"/>
        <w:numPr>
          <w:ilvl w:val="0"/>
          <w:numId w:val="19"/>
        </w:numPr>
        <w:spacing w:line="360" w:lineRule="auto"/>
        <w:ind w:left="0" w:firstLine="567"/>
        <w:contextualSpacing/>
        <w:jc w:val="both"/>
        <w:rPr>
          <w:color w:val="auto"/>
        </w:rPr>
      </w:pPr>
      <w:r w:rsidRPr="001D197C">
        <w:rPr>
          <w:rFonts w:ascii="Times New Roman" w:hAnsi="Times New Roman" w:cs="Times New Roman"/>
          <w:color w:val="auto"/>
          <w:sz w:val="28"/>
          <w:szCs w:val="28"/>
        </w:rPr>
        <w:t>Rodrigues L</w:t>
      </w:r>
      <w:r w:rsidRPr="001D197C">
        <w:rPr>
          <w:rFonts w:ascii="Times New Roman" w:hAnsi="Times New Roman" w:cs="Times New Roman"/>
          <w:color w:val="auto"/>
          <w:sz w:val="28"/>
          <w:szCs w:val="28"/>
          <w:lang w:val="uk-UA"/>
        </w:rPr>
        <w:t>, Mo</w:t>
      </w:r>
      <w:r w:rsidRPr="001D197C">
        <w:rPr>
          <w:rFonts w:ascii="Times New Roman" w:hAnsi="Times New Roman" w:cs="Times New Roman"/>
          <w:color w:val="auto"/>
          <w:sz w:val="28"/>
          <w:szCs w:val="28"/>
        </w:rPr>
        <w:t>ta M. Bioinspired Materials for Medical Applications. Braga, Portugal: Woodhead Publishing; 2016. 544</w:t>
      </w:r>
      <w:r>
        <w:rPr>
          <w:rFonts w:ascii="Times New Roman" w:hAnsi="Times New Roman" w:cs="Times New Roman"/>
          <w:color w:val="auto"/>
          <w:sz w:val="28"/>
          <w:szCs w:val="28"/>
        </w:rPr>
        <w:t> </w:t>
      </w:r>
      <w:r w:rsidRPr="001D197C">
        <w:rPr>
          <w:rFonts w:ascii="Times New Roman" w:hAnsi="Times New Roman" w:cs="Times New Roman"/>
          <w:color w:val="auto"/>
          <w:sz w:val="28"/>
          <w:szCs w:val="28"/>
        </w:rPr>
        <w:t>p.</w:t>
      </w:r>
    </w:p>
    <w:p w:rsidR="005E2904" w:rsidRPr="001D197C" w:rsidRDefault="005E2904" w:rsidP="005E2904">
      <w:pPr>
        <w:pStyle w:val="10"/>
        <w:numPr>
          <w:ilvl w:val="0"/>
          <w:numId w:val="19"/>
        </w:numPr>
        <w:spacing w:line="360" w:lineRule="auto"/>
        <w:ind w:left="0" w:firstLine="567"/>
        <w:contextualSpacing/>
        <w:jc w:val="both"/>
        <w:rPr>
          <w:rFonts w:ascii="Times New Roman" w:hAnsi="Times New Roman" w:cs="Times New Roman"/>
          <w:color w:val="auto"/>
          <w:sz w:val="28"/>
          <w:szCs w:val="28"/>
        </w:rPr>
      </w:pPr>
      <w:r w:rsidRPr="001D197C">
        <w:rPr>
          <w:rFonts w:ascii="Times New Roman" w:hAnsi="Times New Roman" w:cs="Times New Roman"/>
          <w:color w:val="auto"/>
          <w:sz w:val="28"/>
          <w:szCs w:val="28"/>
        </w:rPr>
        <w:t>Zhu J, Su X, Li G, Chen J, Tang B, Yang Y. The incidence of acute myocardial infarction in relation to overweight and obesity: a meta-analysis. Arch Med Sci. 2014 Oct 27;10(5):855-62. doi: 10.5114/aoms.2014.46206. Review.</w:t>
      </w:r>
    </w:p>
    <w:p w:rsidR="005E2904" w:rsidRPr="00C861A6" w:rsidRDefault="005E2904" w:rsidP="005E2904">
      <w:pPr>
        <w:pStyle w:val="a3"/>
        <w:numPr>
          <w:ilvl w:val="0"/>
          <w:numId w:val="19"/>
        </w:numPr>
        <w:spacing w:after="0" w:line="360" w:lineRule="auto"/>
        <w:ind w:left="0" w:firstLine="567"/>
        <w:jc w:val="both"/>
        <w:rPr>
          <w:lang w:val="en-US"/>
        </w:rPr>
      </w:pPr>
      <w:r w:rsidRPr="00C861A6">
        <w:t>Tobbia P, Brodie BR, Witzenbichler B, Metzger C, Guagliumi G, Yu</w:t>
      </w:r>
      <w:r w:rsidRPr="00C861A6">
        <w:rPr>
          <w:lang w:val="en-US"/>
        </w:rPr>
        <w:t> </w:t>
      </w:r>
      <w:r w:rsidRPr="00C861A6">
        <w:t xml:space="preserve">J, </w:t>
      </w:r>
      <w:r w:rsidRPr="00C861A6">
        <w:rPr>
          <w:lang w:val="en-US"/>
        </w:rPr>
        <w:t>et al</w:t>
      </w:r>
      <w:r w:rsidRPr="00C861A6">
        <w:t>. Adverse event rates following primary PCI for STEMI at US and non-US hospitals: three-year analysis from the HORIZONS-AMI trial. EuroIntervention. 2013 Feb 22;8(10):1134-42. doi: 10.4244/EIJV8I10A176. PubMed PMID: 23425539.</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B84F75">
        <w:rPr>
          <w:lang w:val="en-US"/>
        </w:rPr>
        <w:t xml:space="preserve">Aksan G, Gedikli </w:t>
      </w:r>
      <w:r>
        <w:rPr>
          <w:lang w:val="en-US"/>
        </w:rPr>
        <w:t>O</w:t>
      </w:r>
      <w:r w:rsidRPr="00B84F75">
        <w:rPr>
          <w:lang w:val="en-US"/>
        </w:rPr>
        <w:t>, Keskin K, Nar G, İnci S, Y</w:t>
      </w:r>
      <w:r>
        <w:rPr>
          <w:lang w:val="en-US"/>
        </w:rPr>
        <w:t>i</w:t>
      </w:r>
      <w:r w:rsidRPr="00B84F75">
        <w:rPr>
          <w:lang w:val="en-US"/>
        </w:rPr>
        <w:t>ld</w:t>
      </w:r>
      <w:r>
        <w:rPr>
          <w:lang w:val="en-US"/>
        </w:rPr>
        <w:t>i</w:t>
      </w:r>
      <w:r w:rsidRPr="00B84F75">
        <w:rPr>
          <w:lang w:val="en-US"/>
        </w:rPr>
        <w:t xml:space="preserve">z SS, </w:t>
      </w:r>
      <w:r>
        <w:rPr>
          <w:lang w:val="en-US"/>
        </w:rPr>
        <w:t>et al</w:t>
      </w:r>
      <w:r w:rsidRPr="00B84F75">
        <w:rPr>
          <w:lang w:val="en-US"/>
        </w:rPr>
        <w:t>. Is galectin-3 a biomarker, a player-or both-in the presence of coronary atherosclerosis? J Investig Med. 2016 Mar;64(3):764-70</w:t>
      </w:r>
      <w:r>
        <w:rPr>
          <w:lang w:val="en-US"/>
        </w:rPr>
        <w:t xml:space="preserve">. doi: 10.1136/jim-2015-000041. </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B84F75">
        <w:rPr>
          <w:rFonts w:eastAsia="Times New Roman"/>
          <w:color w:val="111111"/>
          <w:kern w:val="36"/>
          <w:lang w:val="en-US"/>
        </w:rPr>
        <w:t xml:space="preserve">Ozturk D, Celik O, Satilmis S, Aslan S, Erturk M, Cakmak HA, </w:t>
      </w:r>
      <w:r>
        <w:rPr>
          <w:rFonts w:eastAsia="Times New Roman"/>
          <w:color w:val="111111"/>
          <w:kern w:val="36"/>
          <w:lang w:val="en-US"/>
        </w:rPr>
        <w:t>et al</w:t>
      </w:r>
      <w:r w:rsidRPr="00B84F75">
        <w:rPr>
          <w:rFonts w:eastAsia="Times New Roman"/>
          <w:color w:val="111111"/>
          <w:kern w:val="36"/>
          <w:lang w:val="en-US"/>
        </w:rPr>
        <w:t>. Association between serum galectin-3 levels and coronary atherosclerosis and plaque burden/structure in patients with type 2 diabetes mellitus. Coron Artery Dis. 2015 Aug;26(5):396-401. doi</w:t>
      </w:r>
      <w:r>
        <w:rPr>
          <w:rFonts w:eastAsia="Times New Roman"/>
          <w:color w:val="111111"/>
          <w:kern w:val="36"/>
          <w:lang w:val="en-US"/>
        </w:rPr>
        <w:t>: 10.1097/MCA.0000000000000252.</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rFonts w:eastAsia="Times New Roman"/>
          <w:color w:val="111111"/>
          <w:kern w:val="36"/>
          <w:lang w:val="en-US"/>
        </w:rPr>
        <w:t>Papaspyridonos M, McNeill E, de Bono JP, Smith A, Burnand</w:t>
      </w:r>
      <w:r>
        <w:rPr>
          <w:rFonts w:eastAsia="Times New Roman"/>
          <w:color w:val="111111"/>
          <w:kern w:val="36"/>
          <w:lang w:val="en-US"/>
        </w:rPr>
        <w:t> </w:t>
      </w:r>
      <w:r w:rsidRPr="009163B1">
        <w:rPr>
          <w:rFonts w:eastAsia="Times New Roman"/>
          <w:color w:val="111111"/>
          <w:kern w:val="36"/>
          <w:lang w:val="en-US"/>
        </w:rPr>
        <w:t>KG, Channon</w:t>
      </w:r>
      <w:r>
        <w:rPr>
          <w:rFonts w:eastAsia="Times New Roman"/>
          <w:color w:val="111111"/>
          <w:kern w:val="36"/>
          <w:lang w:val="en-US"/>
        </w:rPr>
        <w:t> </w:t>
      </w:r>
      <w:r w:rsidRPr="009163B1">
        <w:rPr>
          <w:rFonts w:eastAsia="Times New Roman"/>
          <w:color w:val="111111"/>
          <w:kern w:val="36"/>
          <w:lang w:val="en-US"/>
        </w:rPr>
        <w:t xml:space="preserve">KM, </w:t>
      </w:r>
      <w:r>
        <w:rPr>
          <w:rFonts w:eastAsia="Times New Roman"/>
          <w:color w:val="111111"/>
          <w:kern w:val="36"/>
          <w:lang w:val="en-US"/>
        </w:rPr>
        <w:t>et al</w:t>
      </w:r>
      <w:r w:rsidRPr="009163B1">
        <w:rPr>
          <w:rFonts w:eastAsia="Times New Roman"/>
          <w:color w:val="111111"/>
          <w:kern w:val="36"/>
          <w:lang w:val="en-US"/>
        </w:rPr>
        <w:t>. Galectin-3 is an amplifier of inflammation in atherosclerotic plaque progression through macrophage activation and monocyte chemoattraction. Arterioscler Thromb Vasc Biol. 2008 Mar;28(3):433-40. PubMed PMID: 18096829.</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rFonts w:eastAsia="Times New Roman"/>
          <w:color w:val="111111"/>
          <w:kern w:val="36"/>
          <w:lang w:val="en-US"/>
        </w:rPr>
        <w:lastRenderedPageBreak/>
        <w:t>Ekmekci H, Sonmez H, Ekmekci OB, Ozturk Z, Domanic N, Kokoglu</w:t>
      </w:r>
      <w:r>
        <w:rPr>
          <w:rFonts w:eastAsia="Times New Roman"/>
          <w:color w:val="111111"/>
          <w:kern w:val="36"/>
          <w:lang w:val="en-US"/>
        </w:rPr>
        <w:t> </w:t>
      </w:r>
      <w:r w:rsidRPr="009163B1">
        <w:rPr>
          <w:rFonts w:eastAsia="Times New Roman"/>
          <w:color w:val="111111"/>
          <w:kern w:val="36"/>
          <w:lang w:val="en-US"/>
        </w:rPr>
        <w:t>E. Plasma vitronectin levels in patients with coronary atherosclerosis are increased and correlate with extent of disease. J Thromb Thro</w:t>
      </w:r>
      <w:r>
        <w:rPr>
          <w:rFonts w:eastAsia="Times New Roman"/>
          <w:color w:val="111111"/>
          <w:kern w:val="36"/>
          <w:lang w:val="en-US"/>
        </w:rPr>
        <w:t>mbolysis. 2002 Dec;14(3):221-5.</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color w:val="000000"/>
          <w:shd w:val="clear" w:color="auto" w:fill="FFFFFF"/>
          <w:lang w:val="en-US"/>
        </w:rPr>
        <w:t>Wang CH, Yang NI, Liu MH, Hsu KH, Kuo LT. Estimating systemic fibrosis by combining galectin-3 and ST2 provides powerful risk stratification value for patients after acute decompensated heart failure. Card</w:t>
      </w:r>
      <w:r>
        <w:rPr>
          <w:color w:val="000000"/>
          <w:shd w:val="clear" w:color="auto" w:fill="FFFFFF"/>
          <w:lang w:val="en-US"/>
        </w:rPr>
        <w:t>iol J. 2016;23(5):563-572. doi:</w:t>
      </w:r>
      <w:r w:rsidRPr="00C514CB">
        <w:rPr>
          <w:color w:val="000000"/>
          <w:shd w:val="clear" w:color="auto" w:fill="FFFFFF"/>
          <w:lang w:val="en-US"/>
        </w:rPr>
        <w:t> </w:t>
      </w:r>
      <w:r w:rsidRPr="009163B1">
        <w:rPr>
          <w:color w:val="000000"/>
          <w:shd w:val="clear" w:color="auto" w:fill="FFFFFF"/>
          <w:lang w:val="en-US"/>
        </w:rPr>
        <w:t>10.5603/CJ.a2016.0053. PubMed PMID: 27515479.</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color w:val="000000"/>
          <w:shd w:val="clear" w:color="auto" w:fill="FFFFFF"/>
          <w:lang w:val="en-US"/>
        </w:rPr>
        <w:t>Weir RA, Petrie CJ, Murphy CA, Clements S, Steedman T, Miller</w:t>
      </w:r>
      <w:r>
        <w:rPr>
          <w:color w:val="000000"/>
          <w:shd w:val="clear" w:color="auto" w:fill="FFFFFF"/>
          <w:lang w:val="en-US"/>
        </w:rPr>
        <w:t> </w:t>
      </w:r>
      <w:r w:rsidRPr="009163B1">
        <w:rPr>
          <w:color w:val="000000"/>
          <w:shd w:val="clear" w:color="auto" w:fill="FFFFFF"/>
          <w:lang w:val="en-US"/>
        </w:rPr>
        <w:t xml:space="preserve">AM, </w:t>
      </w:r>
      <w:r>
        <w:rPr>
          <w:color w:val="000000"/>
          <w:shd w:val="clear" w:color="auto" w:fill="FFFFFF"/>
          <w:lang w:val="en-US"/>
        </w:rPr>
        <w:t>et al</w:t>
      </w:r>
      <w:r w:rsidRPr="009163B1">
        <w:rPr>
          <w:color w:val="000000"/>
          <w:shd w:val="clear" w:color="auto" w:fill="FFFFFF"/>
          <w:lang w:val="en-US"/>
        </w:rPr>
        <w:t>. Galectin-3 and cardiac function in survivors of acute myocardial infarction. Circ Heart Fail. 2013 May;6(3):492-8. doi: 10.1161/CIRCHEARTFAILURE.112.000146.</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8766D3">
        <w:rPr>
          <w:color w:val="000000"/>
          <w:shd w:val="clear" w:color="auto" w:fill="FFFFFF"/>
          <w:lang w:val="en-US"/>
        </w:rPr>
        <w:t>Yakar T</w:t>
      </w:r>
      <w:r>
        <w:rPr>
          <w:color w:val="000000"/>
          <w:shd w:val="clear" w:color="auto" w:fill="FFFFFF"/>
          <w:lang w:val="en-US"/>
        </w:rPr>
        <w:t>u</w:t>
      </w:r>
      <w:r w:rsidRPr="008766D3">
        <w:rPr>
          <w:color w:val="000000"/>
          <w:shd w:val="clear" w:color="auto" w:fill="FFFFFF"/>
          <w:lang w:val="en-US"/>
        </w:rPr>
        <w:t>l</w:t>
      </w:r>
      <w:r>
        <w:rPr>
          <w:color w:val="000000"/>
          <w:shd w:val="clear" w:color="auto" w:fill="FFFFFF"/>
          <w:lang w:val="en-US"/>
        </w:rPr>
        <w:t>u</w:t>
      </w:r>
      <w:r w:rsidRPr="008766D3">
        <w:rPr>
          <w:color w:val="000000"/>
          <w:shd w:val="clear" w:color="auto" w:fill="FFFFFF"/>
          <w:lang w:val="en-US"/>
        </w:rPr>
        <w:t>ce S, T</w:t>
      </w:r>
      <w:r>
        <w:rPr>
          <w:color w:val="000000"/>
          <w:shd w:val="clear" w:color="auto" w:fill="FFFFFF"/>
          <w:lang w:val="en-US"/>
        </w:rPr>
        <w:t>u</w:t>
      </w:r>
      <w:r w:rsidRPr="008766D3">
        <w:rPr>
          <w:color w:val="000000"/>
          <w:shd w:val="clear" w:color="auto" w:fill="FFFFFF"/>
          <w:lang w:val="en-US"/>
        </w:rPr>
        <w:t>l</w:t>
      </w:r>
      <w:r>
        <w:rPr>
          <w:color w:val="000000"/>
          <w:shd w:val="clear" w:color="auto" w:fill="FFFFFF"/>
          <w:lang w:val="en-US"/>
        </w:rPr>
        <w:t>u</w:t>
      </w:r>
      <w:r w:rsidRPr="008766D3">
        <w:rPr>
          <w:color w:val="000000"/>
          <w:shd w:val="clear" w:color="auto" w:fill="FFFFFF"/>
          <w:lang w:val="en-US"/>
        </w:rPr>
        <w:t xml:space="preserve">ce K, </w:t>
      </w:r>
      <w:r>
        <w:rPr>
          <w:color w:val="000000"/>
          <w:shd w:val="clear" w:color="auto" w:fill="FFFFFF"/>
          <w:lang w:val="en-US"/>
        </w:rPr>
        <w:t>C</w:t>
      </w:r>
      <w:r w:rsidRPr="008766D3">
        <w:rPr>
          <w:color w:val="000000"/>
          <w:shd w:val="clear" w:color="auto" w:fill="FFFFFF"/>
          <w:lang w:val="en-US"/>
        </w:rPr>
        <w:t>il Z, Emren SV, Aky</w:t>
      </w:r>
      <w:r>
        <w:rPr>
          <w:color w:val="000000"/>
          <w:shd w:val="clear" w:color="auto" w:fill="FFFFFF"/>
          <w:lang w:val="en-US"/>
        </w:rPr>
        <w:t>i</w:t>
      </w:r>
      <w:r w:rsidRPr="008766D3">
        <w:rPr>
          <w:color w:val="000000"/>
          <w:shd w:val="clear" w:color="auto" w:fill="FFFFFF"/>
          <w:lang w:val="en-US"/>
        </w:rPr>
        <w:t>ld</w:t>
      </w:r>
      <w:r>
        <w:rPr>
          <w:color w:val="000000"/>
          <w:shd w:val="clear" w:color="auto" w:fill="FFFFFF"/>
          <w:lang w:val="en-US"/>
        </w:rPr>
        <w:t>i</w:t>
      </w:r>
      <w:r w:rsidRPr="008766D3">
        <w:rPr>
          <w:color w:val="000000"/>
          <w:shd w:val="clear" w:color="auto" w:fill="FFFFFF"/>
          <w:lang w:val="en-US"/>
        </w:rPr>
        <w:t>z Zİ, Ergene</w:t>
      </w:r>
      <w:r>
        <w:rPr>
          <w:color w:val="000000"/>
          <w:shd w:val="clear" w:color="auto" w:fill="FFFFFF"/>
          <w:lang w:val="en-US"/>
        </w:rPr>
        <w:t> </w:t>
      </w:r>
      <w:r w:rsidRPr="008766D3">
        <w:rPr>
          <w:color w:val="000000"/>
          <w:shd w:val="clear" w:color="auto" w:fill="FFFFFF"/>
          <w:lang w:val="en-US"/>
        </w:rPr>
        <w:t>O. Galectin-3 levels in patients with hypertrophic cardiomyopathy and its relationship with left ventricular mass index and function. Anatol J Card</w:t>
      </w:r>
      <w:r>
        <w:rPr>
          <w:color w:val="000000"/>
          <w:shd w:val="clear" w:color="auto" w:fill="FFFFFF"/>
          <w:lang w:val="en-US"/>
        </w:rPr>
        <w:t>iol. 2016 May;16(5):344-8. doi:</w:t>
      </w:r>
      <w:r>
        <w:rPr>
          <w:color w:val="000000"/>
          <w:shd w:val="clear" w:color="auto" w:fill="FFFFFF"/>
        </w:rPr>
        <w:t> </w:t>
      </w:r>
      <w:r w:rsidRPr="008766D3">
        <w:rPr>
          <w:color w:val="000000"/>
          <w:shd w:val="clear" w:color="auto" w:fill="FFFFFF"/>
          <w:lang w:val="en-US"/>
        </w:rPr>
        <w:t>10.5152/AnatolJCardiol.2015.6191. PubMed PMID: 26488381</w:t>
      </w:r>
      <w:r>
        <w:rPr>
          <w:color w:val="000000"/>
          <w:shd w:val="clear" w:color="auto" w:fill="FFFFFF"/>
          <w:lang w:val="en-US"/>
        </w:rPr>
        <w:t>.</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8766D3">
        <w:rPr>
          <w:color w:val="000000"/>
          <w:shd w:val="clear" w:color="auto" w:fill="FFFFFF"/>
          <w:lang w:val="en-US"/>
        </w:rPr>
        <w:t xml:space="preserve">Yao Y, Shen D, Chen R, Ying C, Wang C, Guo J, </w:t>
      </w:r>
      <w:r>
        <w:rPr>
          <w:color w:val="000000"/>
          <w:shd w:val="clear" w:color="auto" w:fill="FFFFFF"/>
          <w:lang w:val="en-US"/>
        </w:rPr>
        <w:t>et al</w:t>
      </w:r>
      <w:r w:rsidRPr="008766D3">
        <w:rPr>
          <w:color w:val="000000"/>
          <w:shd w:val="clear" w:color="auto" w:fill="FFFFFF"/>
          <w:lang w:val="en-US"/>
        </w:rPr>
        <w:t>. Galectin-3 Predicts Left Ventricular Remodeling of Hypertension. J Clin Hypertens (Greenwich). 2016 Jun;18(6):506-11. doi: 10.1111/jch.12757. PubMed PMID: 26693954.</w:t>
      </w:r>
    </w:p>
    <w:p w:rsidR="005E2904"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5B12CA">
        <w:rPr>
          <w:rFonts w:eastAsia="Times New Roman"/>
          <w:color w:val="111111"/>
          <w:kern w:val="36"/>
          <w:lang w:val="en-US"/>
        </w:rPr>
        <w:t>Agoston-Coldea L, Lupu S, Petrovai D, Mocan T, Mousseaux</w:t>
      </w:r>
      <w:r>
        <w:rPr>
          <w:rFonts w:eastAsia="Times New Roman"/>
          <w:color w:val="111111"/>
          <w:kern w:val="36"/>
          <w:lang w:val="en-US"/>
        </w:rPr>
        <w:t> </w:t>
      </w:r>
      <w:r w:rsidRPr="005B12CA">
        <w:rPr>
          <w:rFonts w:eastAsia="Times New Roman"/>
          <w:color w:val="111111"/>
          <w:kern w:val="36"/>
          <w:lang w:val="en-US"/>
        </w:rPr>
        <w:t>E. Correlations between echocardiographic parameters of right ventricular dysfunction and Galectin-3 in patients with chronic obstructive pulmonary disease and pulmonary hypertension. Med Ultras</w:t>
      </w:r>
      <w:r>
        <w:rPr>
          <w:rFonts w:eastAsia="Times New Roman"/>
          <w:color w:val="111111"/>
          <w:kern w:val="36"/>
          <w:lang w:val="en-US"/>
        </w:rPr>
        <w:t>on. 2015 Dec;17(4):487-95. doi:</w:t>
      </w:r>
      <w:r>
        <w:rPr>
          <w:rFonts w:eastAsia="Times New Roman"/>
          <w:color w:val="111111"/>
          <w:kern w:val="36"/>
        </w:rPr>
        <w:t> </w:t>
      </w:r>
      <w:r w:rsidRPr="005B12CA">
        <w:rPr>
          <w:rFonts w:eastAsia="Times New Roman"/>
          <w:color w:val="111111"/>
          <w:kern w:val="36"/>
          <w:lang w:val="en-US"/>
        </w:rPr>
        <w:t>10.11152/mu.2013.2066.174.ech. PubMed PMID: 26649344.</w:t>
      </w:r>
    </w:p>
    <w:p w:rsidR="005E2904" w:rsidRPr="003629A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3629A7">
        <w:rPr>
          <w:rFonts w:eastAsia="Times New Roman"/>
          <w:color w:val="111111"/>
          <w:kern w:val="36"/>
        </w:rPr>
        <w:t>Егиев</w:t>
      </w:r>
      <w:r w:rsidRPr="00FE71DB">
        <w:rPr>
          <w:rFonts w:eastAsia="Times New Roman"/>
          <w:color w:val="111111"/>
          <w:kern w:val="36"/>
        </w:rPr>
        <w:t xml:space="preserve"> </w:t>
      </w:r>
      <w:r w:rsidRPr="003629A7">
        <w:rPr>
          <w:rFonts w:eastAsia="Times New Roman"/>
          <w:color w:val="111111"/>
          <w:kern w:val="36"/>
        </w:rPr>
        <w:t>ВН</w:t>
      </w:r>
      <w:r w:rsidRPr="00FE71DB">
        <w:rPr>
          <w:rFonts w:eastAsia="Times New Roman"/>
          <w:color w:val="111111"/>
          <w:kern w:val="36"/>
        </w:rPr>
        <w:t xml:space="preserve">, </w:t>
      </w:r>
      <w:r w:rsidRPr="003629A7">
        <w:rPr>
          <w:rFonts w:eastAsia="Times New Roman"/>
          <w:color w:val="111111"/>
          <w:kern w:val="36"/>
        </w:rPr>
        <w:t>Майорова</w:t>
      </w:r>
      <w:r w:rsidRPr="00FE71DB">
        <w:rPr>
          <w:rFonts w:eastAsia="Times New Roman"/>
          <w:color w:val="111111"/>
          <w:kern w:val="36"/>
        </w:rPr>
        <w:t xml:space="preserve"> </w:t>
      </w:r>
      <w:r w:rsidRPr="003629A7">
        <w:rPr>
          <w:rFonts w:eastAsia="Times New Roman"/>
          <w:color w:val="111111"/>
          <w:kern w:val="36"/>
        </w:rPr>
        <w:t>ЮБ</w:t>
      </w:r>
      <w:r w:rsidRPr="00FE71DB">
        <w:rPr>
          <w:rFonts w:eastAsia="Times New Roman"/>
          <w:color w:val="111111"/>
          <w:kern w:val="36"/>
        </w:rPr>
        <w:t xml:space="preserve">, </w:t>
      </w:r>
      <w:r w:rsidRPr="003629A7">
        <w:rPr>
          <w:rFonts w:eastAsia="Times New Roman"/>
          <w:color w:val="111111"/>
          <w:kern w:val="36"/>
        </w:rPr>
        <w:t>Мелешко</w:t>
      </w:r>
      <w:r w:rsidRPr="00FE71DB">
        <w:rPr>
          <w:rFonts w:eastAsia="Times New Roman"/>
          <w:color w:val="111111"/>
          <w:kern w:val="36"/>
        </w:rPr>
        <w:t xml:space="preserve"> </w:t>
      </w:r>
      <w:r w:rsidRPr="003629A7">
        <w:rPr>
          <w:rFonts w:eastAsia="Times New Roman"/>
          <w:color w:val="111111"/>
          <w:kern w:val="36"/>
        </w:rPr>
        <w:t>АВ</w:t>
      </w:r>
      <w:r w:rsidRPr="00FE71DB">
        <w:rPr>
          <w:rFonts w:eastAsia="Times New Roman"/>
          <w:color w:val="111111"/>
          <w:kern w:val="36"/>
        </w:rPr>
        <w:t xml:space="preserve">, </w:t>
      </w:r>
      <w:r w:rsidRPr="003629A7">
        <w:rPr>
          <w:rFonts w:eastAsia="Times New Roman"/>
          <w:color w:val="111111"/>
          <w:kern w:val="36"/>
        </w:rPr>
        <w:t>Зорин</w:t>
      </w:r>
      <w:r w:rsidRPr="00FE71DB">
        <w:rPr>
          <w:rFonts w:eastAsia="Times New Roman"/>
          <w:color w:val="111111"/>
          <w:kern w:val="36"/>
        </w:rPr>
        <w:t xml:space="preserve"> </w:t>
      </w:r>
      <w:r w:rsidRPr="003629A7">
        <w:rPr>
          <w:rFonts w:eastAsia="Times New Roman"/>
          <w:color w:val="111111"/>
          <w:kern w:val="36"/>
        </w:rPr>
        <w:t>ЕА</w:t>
      </w:r>
      <w:r w:rsidRPr="00FE71DB">
        <w:rPr>
          <w:rFonts w:eastAsia="Times New Roman"/>
          <w:color w:val="111111"/>
          <w:kern w:val="36"/>
        </w:rPr>
        <w:t xml:space="preserve">. </w:t>
      </w:r>
      <w:r w:rsidRPr="003629A7">
        <w:rPr>
          <w:rFonts w:eastAsia="Times New Roman"/>
          <w:color w:val="111111"/>
          <w:kern w:val="36"/>
        </w:rPr>
        <w:t>Определение качества жизни пациентов с морбидным ожирением с одномоментным анализом трех опростников -</w:t>
      </w:r>
      <w:r w:rsidRPr="003629A7">
        <w:rPr>
          <w:rFonts w:eastAsia="Times New Roman"/>
          <w:color w:val="111111"/>
          <w:kern w:val="36"/>
          <w:lang w:val="en-US"/>
        </w:rPr>
        <w:t>sf</w:t>
      </w:r>
      <w:r w:rsidRPr="003629A7">
        <w:rPr>
          <w:rFonts w:eastAsia="Times New Roman"/>
          <w:color w:val="111111"/>
          <w:kern w:val="36"/>
        </w:rPr>
        <w:t xml:space="preserve">-36, </w:t>
      </w:r>
      <w:r w:rsidRPr="003629A7">
        <w:rPr>
          <w:rFonts w:eastAsia="Times New Roman"/>
          <w:color w:val="111111"/>
          <w:kern w:val="36"/>
          <w:lang w:val="en-US"/>
        </w:rPr>
        <w:t>gioli</w:t>
      </w:r>
      <w:r w:rsidRPr="003629A7">
        <w:rPr>
          <w:rFonts w:eastAsia="Times New Roman"/>
          <w:color w:val="111111"/>
          <w:kern w:val="36"/>
        </w:rPr>
        <w:t xml:space="preserve"> и анкеты ИКЖ. Вестн. РУДН</w:t>
      </w:r>
      <w:r w:rsidRPr="003629A7">
        <w:rPr>
          <w:rFonts w:eastAsia="Times New Roman"/>
          <w:color w:val="111111"/>
          <w:kern w:val="36"/>
          <w:lang w:val="en-US"/>
        </w:rPr>
        <w:t>. 2015;(1):46-53.</w:t>
      </w:r>
    </w:p>
    <w:p w:rsidR="005E2904" w:rsidRPr="005B12C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5B12CA">
        <w:rPr>
          <w:rFonts w:eastAsia="Times New Roman"/>
          <w:color w:val="111111"/>
          <w:kern w:val="36"/>
          <w:lang w:val="en-US"/>
        </w:rPr>
        <w:t xml:space="preserve">Wee CC, Davis RB, Huskey KW, Jones DB, Hamel MB. Quality of life among obese patients seeking weight loss surgery: the importance of obesity-related social </w:t>
      </w:r>
      <w:r w:rsidRPr="005B12CA">
        <w:rPr>
          <w:rFonts w:eastAsia="Times New Roman"/>
          <w:color w:val="111111"/>
          <w:kern w:val="36"/>
          <w:lang w:val="en-US"/>
        </w:rPr>
        <w:lastRenderedPageBreak/>
        <w:t xml:space="preserve">stigma and functional status. J Gen Intern </w:t>
      </w:r>
      <w:r>
        <w:rPr>
          <w:rFonts w:eastAsia="Times New Roman"/>
          <w:color w:val="111111"/>
          <w:kern w:val="36"/>
          <w:lang w:val="en-US"/>
        </w:rPr>
        <w:t>Med. 2013 Feb;28(2):231-8. doi:</w:t>
      </w:r>
      <w:r>
        <w:rPr>
          <w:rFonts w:eastAsia="Times New Roman"/>
          <w:color w:val="111111"/>
          <w:kern w:val="36"/>
        </w:rPr>
        <w:t> </w:t>
      </w:r>
      <w:r w:rsidRPr="005B12CA">
        <w:rPr>
          <w:rFonts w:eastAsia="Times New Roman"/>
          <w:color w:val="111111"/>
          <w:kern w:val="36"/>
          <w:lang w:val="en-US"/>
        </w:rPr>
        <w:t>10.1007/s11606-012-2188-0. PubMed PMID: 22956443</w:t>
      </w:r>
      <w:r>
        <w:rPr>
          <w:rFonts w:eastAsia="Times New Roman"/>
          <w:color w:val="111111"/>
          <w:kern w:val="36"/>
          <w:lang w:val="en-US"/>
        </w:rPr>
        <w:t>.</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5B12CA">
        <w:rPr>
          <w:lang w:val="en-US"/>
        </w:rPr>
        <w:t>Crandall DL, Busler DE, McHendry-Rinde B, Groeling TM, Kral JG. Autocrine regulation of human preadipocyte migration by plasminogen activator inhibitor-1. J Clin Endocrinol</w:t>
      </w:r>
      <w:r>
        <w:rPr>
          <w:lang w:val="en-US"/>
        </w:rPr>
        <w:t xml:space="preserve"> Metab. 2000 Jul;85(7):2609-14.</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C10B5A">
        <w:t>George M, Shanmugam E, Srivatsan V, Vasanth K, Ramraj B, Rajaram</w:t>
      </w:r>
      <w:r>
        <w:rPr>
          <w:lang w:val="en-US"/>
        </w:rPr>
        <w:t> </w:t>
      </w:r>
      <w:r w:rsidRPr="00C10B5A">
        <w:t xml:space="preserve">M, </w:t>
      </w:r>
      <w:r>
        <w:rPr>
          <w:lang w:val="en-US"/>
        </w:rPr>
        <w:t>et al</w:t>
      </w:r>
      <w:r w:rsidRPr="00C10B5A">
        <w:t xml:space="preserve">. Value of pentraxin-3 and galectin-3 in acute coronary syndrome: a short-term prospective cohort study. Ther Adv Cardiovasc </w:t>
      </w:r>
      <w:r>
        <w:t>Dis. 2015 Oct;9(5):275-84. doi: </w:t>
      </w:r>
      <w:r w:rsidRPr="00C10B5A">
        <w:t>10.1177/1753944715578405. PubMed PMID: 25814534.</w:t>
      </w:r>
      <w:r>
        <w:rPr>
          <w:lang w:val="en-US"/>
        </w:rPr>
        <w:t xml:space="preserve"> </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C10B5A">
        <w:rPr>
          <w:lang w:val="en-US"/>
        </w:rPr>
        <w:t>Yakar T</w:t>
      </w:r>
      <w:r>
        <w:rPr>
          <w:lang w:val="en-US"/>
        </w:rPr>
        <w:t>u</w:t>
      </w:r>
      <w:r w:rsidRPr="00C10B5A">
        <w:rPr>
          <w:lang w:val="en-US"/>
        </w:rPr>
        <w:t>l</w:t>
      </w:r>
      <w:r>
        <w:rPr>
          <w:lang w:val="en-US"/>
        </w:rPr>
        <w:t>u</w:t>
      </w:r>
      <w:r w:rsidRPr="00C10B5A">
        <w:rPr>
          <w:lang w:val="en-US"/>
        </w:rPr>
        <w:t>ce S, T</w:t>
      </w:r>
      <w:r>
        <w:rPr>
          <w:lang w:val="en-US"/>
        </w:rPr>
        <w:t>u</w:t>
      </w:r>
      <w:r w:rsidRPr="00C10B5A">
        <w:rPr>
          <w:lang w:val="en-US"/>
        </w:rPr>
        <w:t>l</w:t>
      </w:r>
      <w:r>
        <w:rPr>
          <w:lang w:val="en-US"/>
        </w:rPr>
        <w:t>u</w:t>
      </w:r>
      <w:r w:rsidRPr="00C10B5A">
        <w:rPr>
          <w:lang w:val="en-US"/>
        </w:rPr>
        <w:t xml:space="preserve">ce K, </w:t>
      </w:r>
      <w:r>
        <w:rPr>
          <w:lang w:val="en-US"/>
        </w:rPr>
        <w:t>C</w:t>
      </w:r>
      <w:r w:rsidRPr="00C10B5A">
        <w:rPr>
          <w:lang w:val="en-US"/>
        </w:rPr>
        <w:t>il Z, Emren SV, Akyıldız Zİ, Ergene O. Galectin-3 levels in patients with hypertrophic cardiomyopathy and its relationship with left ventricular mass index and function. Anatol J Card</w:t>
      </w:r>
      <w:r>
        <w:rPr>
          <w:lang w:val="en-US"/>
        </w:rPr>
        <w:t>iol. 2016 May;16(5):344-8. doi:</w:t>
      </w:r>
      <w:r>
        <w:t> </w:t>
      </w:r>
      <w:r w:rsidRPr="00C10B5A">
        <w:rPr>
          <w:lang w:val="en-US"/>
        </w:rPr>
        <w:t>10.5152/AnatolJCardiol.2015.6191</w:t>
      </w:r>
      <w:r>
        <w:rPr>
          <w:lang w:val="en-US"/>
        </w:rPr>
        <w:t>.</w:t>
      </w:r>
      <w:r w:rsidRPr="00C10B5A">
        <w:rPr>
          <w:lang w:val="en-US"/>
        </w:rPr>
        <w:t xml:space="preserve"> PubMed PMID: 26488381</w:t>
      </w:r>
      <w:r>
        <w:rPr>
          <w:lang w:val="en-US"/>
        </w:rPr>
        <w:t xml:space="preserve">. </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C10B5A">
        <w:rPr>
          <w:lang w:val="en-US"/>
        </w:rPr>
        <w:t>Lepoj</w:t>
      </w:r>
      <w:r>
        <w:rPr>
          <w:lang w:val="en-US"/>
        </w:rPr>
        <w:t>a</w:t>
      </w:r>
      <w:r w:rsidRPr="00C10B5A">
        <w:rPr>
          <w:lang w:val="en-US"/>
        </w:rPr>
        <w:t>rvi ES, Piira OP, P</w:t>
      </w:r>
      <w:r>
        <w:rPr>
          <w:lang w:val="en-US"/>
        </w:rPr>
        <w:t>aa</w:t>
      </w:r>
      <w:r w:rsidRPr="00C10B5A">
        <w:rPr>
          <w:lang w:val="en-US"/>
        </w:rPr>
        <w:t>kk</w:t>
      </w:r>
      <w:r>
        <w:rPr>
          <w:lang w:val="en-US"/>
        </w:rPr>
        <w:t>o</w:t>
      </w:r>
      <w:r w:rsidRPr="00C10B5A">
        <w:rPr>
          <w:lang w:val="en-US"/>
        </w:rPr>
        <w:t xml:space="preserve"> E, Lammentausta E, Risteli</w:t>
      </w:r>
      <w:r>
        <w:rPr>
          <w:lang w:val="en-US"/>
        </w:rPr>
        <w:t> </w:t>
      </w:r>
      <w:r w:rsidRPr="00C10B5A">
        <w:rPr>
          <w:lang w:val="en-US"/>
        </w:rPr>
        <w:t>J, Miettinen</w:t>
      </w:r>
      <w:r>
        <w:rPr>
          <w:lang w:val="en-US"/>
        </w:rPr>
        <w:t> </w:t>
      </w:r>
      <w:r w:rsidRPr="00C10B5A">
        <w:rPr>
          <w:lang w:val="en-US"/>
        </w:rPr>
        <w:t xml:space="preserve">JA, </w:t>
      </w:r>
      <w:r>
        <w:rPr>
          <w:lang w:val="en-US"/>
        </w:rPr>
        <w:t>et al</w:t>
      </w:r>
      <w:r w:rsidRPr="00C10B5A">
        <w:rPr>
          <w:lang w:val="en-US"/>
        </w:rPr>
        <w:t>. Serum PINP, PIIINP, galectin-3, and ST2 as surrogates of myocardial fibrosis and echocardiographic left venticular diastolic filling properties. Front Physiol. 2015 Jul 13;6:200. doi: 10.3389/fphys.2015.00200.</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t>Pate GE, Walinski HP, Bohunek L, Podor TJ. Validation of the vitronectin knockout mouse as a model for studying myocardial infarction: Vitronectin appears to influence left ventricular remodelling following myocardial infarction. Exp Clin Cardiol. 2013 Winter;18(1):43-7. PubMed PMID: 24294037</w:t>
      </w:r>
      <w:r>
        <w:t>.</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lang w:val="en-US"/>
        </w:rPr>
        <w:t>Pusuroglu H, Somuncu U, Bolat I, Akgul O, Ornek V, Y</w:t>
      </w:r>
      <w:r>
        <w:rPr>
          <w:lang w:val="en-US"/>
        </w:rPr>
        <w:t>i</w:t>
      </w:r>
      <w:r w:rsidRPr="004C2699">
        <w:rPr>
          <w:lang w:val="en-US"/>
        </w:rPr>
        <w:t>ld</w:t>
      </w:r>
      <w:r>
        <w:rPr>
          <w:lang w:val="en-US"/>
        </w:rPr>
        <w:t>i</w:t>
      </w:r>
      <w:r w:rsidRPr="004C2699">
        <w:rPr>
          <w:lang w:val="en-US"/>
        </w:rPr>
        <w:t>r</w:t>
      </w:r>
      <w:r>
        <w:rPr>
          <w:lang w:val="en-US"/>
        </w:rPr>
        <w:t>i</w:t>
      </w:r>
      <w:r w:rsidRPr="004C2699">
        <w:rPr>
          <w:lang w:val="en-US"/>
        </w:rPr>
        <w:t xml:space="preserve">m HA, </w:t>
      </w:r>
      <w:r>
        <w:rPr>
          <w:lang w:val="en-US"/>
        </w:rPr>
        <w:t>et al</w:t>
      </w:r>
      <w:r w:rsidRPr="004C2699">
        <w:rPr>
          <w:lang w:val="en-US"/>
        </w:rPr>
        <w:t>. Galectin-3 is associated with coronary plaque burden and obstructive sleep apnoea syndrome severity</w:t>
      </w:r>
      <w:r>
        <w:rPr>
          <w:lang w:val="en-US"/>
        </w:rPr>
        <w:t>. Kardiol Pol. 2017;75(4):351-9. doi: 10.5603/KP.a2016.0185.</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rFonts w:eastAsia="Times New Roman"/>
          <w:color w:val="111111"/>
          <w:kern w:val="36"/>
          <w:lang w:val="en-US"/>
        </w:rPr>
        <w:t>Weigert J, Neumeier M, Wanninger J, Bauer S, Farkas S, Scherer</w:t>
      </w:r>
      <w:r>
        <w:rPr>
          <w:rFonts w:eastAsia="Times New Roman"/>
          <w:color w:val="111111"/>
          <w:kern w:val="36"/>
          <w:lang w:val="en-US"/>
        </w:rPr>
        <w:t> </w:t>
      </w:r>
      <w:r w:rsidRPr="004C2699">
        <w:rPr>
          <w:rFonts w:eastAsia="Times New Roman"/>
          <w:color w:val="111111"/>
          <w:kern w:val="36"/>
          <w:lang w:val="en-US"/>
        </w:rPr>
        <w:t xml:space="preserve">MN, </w:t>
      </w:r>
      <w:r>
        <w:rPr>
          <w:rFonts w:eastAsia="Times New Roman"/>
          <w:color w:val="111111"/>
          <w:kern w:val="36"/>
          <w:lang w:val="en-US"/>
        </w:rPr>
        <w:t>et al</w:t>
      </w:r>
      <w:r w:rsidRPr="004C2699">
        <w:rPr>
          <w:rFonts w:eastAsia="Times New Roman"/>
          <w:color w:val="111111"/>
          <w:kern w:val="36"/>
          <w:lang w:val="en-US"/>
        </w:rPr>
        <w:t xml:space="preserve">. Serum galectin-3 is elevated in obesity and negatively correlates with glycosylated </w:t>
      </w:r>
      <w:r w:rsidRPr="004C2699">
        <w:rPr>
          <w:rFonts w:eastAsia="Times New Roman"/>
          <w:color w:val="111111"/>
          <w:kern w:val="36"/>
          <w:lang w:val="en-US"/>
        </w:rPr>
        <w:lastRenderedPageBreak/>
        <w:t>hemoglobin in type 2 diabetes. J Clin Endocrinol Meta</w:t>
      </w:r>
      <w:r>
        <w:rPr>
          <w:rFonts w:eastAsia="Times New Roman"/>
          <w:color w:val="111111"/>
          <w:kern w:val="36"/>
          <w:lang w:val="en-US"/>
        </w:rPr>
        <w:t>b. 2010 Mar;95(3):1404-11. doi:</w:t>
      </w:r>
      <w:r w:rsidRPr="00C514CB">
        <w:rPr>
          <w:rFonts w:eastAsia="Times New Roman"/>
          <w:color w:val="111111"/>
          <w:kern w:val="36"/>
          <w:lang w:val="en-US"/>
        </w:rPr>
        <w:t> </w:t>
      </w:r>
      <w:r w:rsidRPr="004C2699">
        <w:rPr>
          <w:rFonts w:eastAsia="Times New Roman"/>
          <w:color w:val="111111"/>
          <w:kern w:val="36"/>
          <w:lang w:val="en-US"/>
        </w:rPr>
        <w:t>10.1210/jc.2009-1619. PubMed PMID: 20080851.</w:t>
      </w:r>
      <w:r>
        <w:rPr>
          <w:rFonts w:eastAsia="Times New Roman"/>
          <w:color w:val="111111"/>
          <w:kern w:val="36"/>
          <w:lang w:val="en-US"/>
        </w:rPr>
        <w:t xml:space="preserve"> </w:t>
      </w:r>
    </w:p>
    <w:p w:rsidR="005E2904" w:rsidRPr="00D93146"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rFonts w:eastAsia="Times New Roman"/>
          <w:color w:val="111111"/>
          <w:kern w:val="36"/>
          <w:lang w:val="en-US"/>
        </w:rPr>
        <w:t>Winter MP, Wiesbauer F, Alimohammadi A, Blessberger H, Pavo</w:t>
      </w:r>
      <w:r>
        <w:rPr>
          <w:rFonts w:eastAsia="Times New Roman"/>
          <w:color w:val="111111"/>
          <w:kern w:val="36"/>
          <w:lang w:val="en-US"/>
        </w:rPr>
        <w:t> </w:t>
      </w:r>
      <w:r w:rsidRPr="004C2699">
        <w:rPr>
          <w:rFonts w:eastAsia="Times New Roman"/>
          <w:color w:val="111111"/>
          <w:kern w:val="36"/>
          <w:lang w:val="en-US"/>
        </w:rPr>
        <w:t>N, Schillinger</w:t>
      </w:r>
      <w:r>
        <w:rPr>
          <w:rFonts w:eastAsia="Times New Roman"/>
          <w:color w:val="111111"/>
          <w:kern w:val="36"/>
          <w:lang w:val="en-US"/>
        </w:rPr>
        <w:t> </w:t>
      </w:r>
      <w:r w:rsidRPr="004C2699">
        <w:rPr>
          <w:rFonts w:eastAsia="Times New Roman"/>
          <w:color w:val="111111"/>
          <w:kern w:val="36"/>
          <w:lang w:val="en-US"/>
        </w:rPr>
        <w:t xml:space="preserve">M, </w:t>
      </w:r>
      <w:r>
        <w:rPr>
          <w:rFonts w:eastAsia="Times New Roman"/>
          <w:color w:val="111111"/>
          <w:kern w:val="36"/>
          <w:lang w:val="en-US"/>
        </w:rPr>
        <w:t>et al</w:t>
      </w:r>
      <w:r w:rsidRPr="004C2699">
        <w:rPr>
          <w:rFonts w:eastAsia="Times New Roman"/>
          <w:color w:val="111111"/>
          <w:kern w:val="36"/>
          <w:lang w:val="en-US"/>
        </w:rPr>
        <w:t>. Soluble galectin-3 is associated with premature myocardial infarction. Eur J Clin Invest. 2016 May;46(5):386</w:t>
      </w:r>
      <w:r>
        <w:rPr>
          <w:rFonts w:eastAsia="Times New Roman"/>
          <w:color w:val="111111"/>
          <w:kern w:val="36"/>
          <w:lang w:val="en-US"/>
        </w:rPr>
        <w:t>-91. doi: 10.1111/eci.12605.</w:t>
      </w:r>
    </w:p>
    <w:p w:rsidR="005E2904" w:rsidRPr="00D93146"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rFonts w:eastAsia="Times New Roman"/>
          <w:color w:val="111111"/>
          <w:kern w:val="36"/>
          <w:lang w:val="en-US"/>
        </w:rPr>
        <w:t>Vergaro G, Del Franco A, Giannoni A, Prontera C, Ripoli A, Barison</w:t>
      </w:r>
      <w:r>
        <w:rPr>
          <w:rFonts w:eastAsia="Times New Roman"/>
          <w:color w:val="111111"/>
          <w:kern w:val="36"/>
          <w:lang w:val="en-US"/>
        </w:rPr>
        <w:t> </w:t>
      </w:r>
      <w:r w:rsidRPr="004C2699">
        <w:rPr>
          <w:rFonts w:eastAsia="Times New Roman"/>
          <w:color w:val="111111"/>
          <w:kern w:val="36"/>
          <w:lang w:val="en-US"/>
        </w:rPr>
        <w:t xml:space="preserve">A, </w:t>
      </w:r>
      <w:r>
        <w:rPr>
          <w:rFonts w:eastAsia="Times New Roman"/>
          <w:color w:val="111111"/>
          <w:kern w:val="36"/>
          <w:lang w:val="en-US"/>
        </w:rPr>
        <w:t>et al</w:t>
      </w:r>
      <w:r w:rsidRPr="004C2699">
        <w:rPr>
          <w:rFonts w:eastAsia="Times New Roman"/>
          <w:color w:val="111111"/>
          <w:kern w:val="36"/>
          <w:lang w:val="en-US"/>
        </w:rPr>
        <w:t>. Galectin-3 and myocardial fibrosis in nonischemic dilated cardiomyopathy. Int J Cardiol. 2015 Apr 1;184:96-100. doi</w:t>
      </w:r>
      <w:r>
        <w:rPr>
          <w:rFonts w:eastAsia="Times New Roman"/>
          <w:color w:val="111111"/>
          <w:kern w:val="36"/>
          <w:lang w:val="en-US"/>
        </w:rPr>
        <w:t>: 10.1016/j.ijcard.2015.02.008.</w:t>
      </w:r>
    </w:p>
    <w:p w:rsidR="005E2904" w:rsidRPr="00BC68A3" w:rsidRDefault="005E2904" w:rsidP="005E2904">
      <w:pPr>
        <w:pStyle w:val="a3"/>
        <w:numPr>
          <w:ilvl w:val="0"/>
          <w:numId w:val="19"/>
        </w:numPr>
        <w:shd w:val="clear" w:color="auto" w:fill="FFFFFF"/>
        <w:spacing w:after="0" w:line="360" w:lineRule="auto"/>
        <w:ind w:left="0" w:firstLine="567"/>
        <w:jc w:val="both"/>
        <w:outlineLvl w:val="0"/>
      </w:pPr>
      <w:r w:rsidRPr="004C2699">
        <w:rPr>
          <w:rFonts w:eastAsia="Times New Roman"/>
          <w:color w:val="111111"/>
          <w:kern w:val="36"/>
          <w:lang w:val="en-US"/>
        </w:rPr>
        <w:t xml:space="preserve">Ji F, Zhang S, Jiang X, Xu Y, Chen Z, Fan Y, </w:t>
      </w:r>
      <w:r>
        <w:rPr>
          <w:rFonts w:eastAsia="Times New Roman"/>
          <w:color w:val="111111"/>
          <w:kern w:val="36"/>
          <w:lang w:val="en-US"/>
        </w:rPr>
        <w:t>et al</w:t>
      </w:r>
      <w:r w:rsidRPr="004C2699">
        <w:rPr>
          <w:rFonts w:eastAsia="Times New Roman"/>
          <w:color w:val="111111"/>
          <w:kern w:val="36"/>
          <w:lang w:val="en-US"/>
        </w:rPr>
        <w:t>. Diagnostic and prognostic value of galectin-3, serum creatinine, and cystatin C in chronic kidney diseases. J Clin Lab Anal. 2017 Sep;31(5). doi: 10.1002/jcla.22074.</w:t>
      </w:r>
    </w:p>
    <w:p w:rsidR="005E2904" w:rsidRPr="006215D3" w:rsidRDefault="005E2904" w:rsidP="005E2904">
      <w:pPr>
        <w:pStyle w:val="a3"/>
        <w:numPr>
          <w:ilvl w:val="0"/>
          <w:numId w:val="19"/>
        </w:numPr>
        <w:shd w:val="clear" w:color="auto" w:fill="FFFFFF"/>
        <w:spacing w:after="0" w:line="360" w:lineRule="auto"/>
        <w:ind w:left="0" w:firstLine="567"/>
        <w:jc w:val="both"/>
        <w:outlineLvl w:val="0"/>
      </w:pPr>
      <w:r w:rsidRPr="006215D3">
        <w:t>Целуйко ВИ, Лозовая ТА, Сасюк ОС. Галектин-3 как фактор риска неблагоприятных сердечно-сосудистых событий при долгосрочном наблюдении у больных с инфарктом миокарда правого желудочка на фоне Q-инфаркта миокарда задней стенки левого желудочка. Медицина неотлож</w:t>
      </w:r>
      <w:r w:rsidRPr="006215D3">
        <w:rPr>
          <w:lang w:val="en-US"/>
        </w:rPr>
        <w:t>.</w:t>
      </w:r>
      <w:r w:rsidRPr="006215D3">
        <w:t xml:space="preserve"> состояний. 2016</w:t>
      </w:r>
      <w:r w:rsidRPr="006215D3">
        <w:rPr>
          <w:lang w:val="en-US"/>
        </w:rPr>
        <w:t>;(</w:t>
      </w:r>
      <w:r w:rsidRPr="006215D3">
        <w:t>5</w:t>
      </w:r>
      <w:r w:rsidRPr="006215D3">
        <w:rPr>
          <w:lang w:val="en-US"/>
        </w:rPr>
        <w:t>):</w:t>
      </w:r>
      <w:r w:rsidRPr="006215D3">
        <w:t>70-4.</w:t>
      </w:r>
    </w:p>
    <w:p w:rsidR="005E2904" w:rsidRPr="00FA7A08" w:rsidRDefault="005E2904" w:rsidP="005E2904">
      <w:pPr>
        <w:pStyle w:val="a3"/>
        <w:numPr>
          <w:ilvl w:val="0"/>
          <w:numId w:val="19"/>
        </w:numPr>
        <w:shd w:val="clear" w:color="auto" w:fill="FFFFFF"/>
        <w:spacing w:after="0" w:line="360" w:lineRule="auto"/>
        <w:ind w:left="0" w:firstLine="567"/>
        <w:jc w:val="both"/>
        <w:outlineLvl w:val="0"/>
      </w:pPr>
      <w:r w:rsidRPr="00C214FD">
        <w:rPr>
          <w:lang w:val="en-US"/>
        </w:rPr>
        <w:t>Ibanez B, James S, Agewall S, Antunes MJ, Bucciarelli-Ducci C, Bueno</w:t>
      </w:r>
      <w:r>
        <w:rPr>
          <w:lang w:val="en-US"/>
        </w:rPr>
        <w:t> </w:t>
      </w:r>
      <w:r w:rsidRPr="00C214FD">
        <w:rPr>
          <w:lang w:val="en-US"/>
        </w:rPr>
        <w:t xml:space="preserve">H, </w:t>
      </w:r>
      <w:r>
        <w:rPr>
          <w:lang w:val="en-US"/>
        </w:rPr>
        <w:t>et al</w:t>
      </w:r>
      <w:r w:rsidRPr="00C214FD">
        <w:rPr>
          <w:lang w:val="en-US"/>
        </w:rPr>
        <w:t xml:space="preserve">. 2017 ESC Guidelines for the management of acute myocardial infarction in patients presenting with ST-segment elevation: The Task Force for the management of acute myocardial infarction in patients presenting with ST-segment elevation of the European Society </w:t>
      </w:r>
      <w:r>
        <w:rPr>
          <w:lang w:val="en-US"/>
        </w:rPr>
        <w:t xml:space="preserve">of Cardiology (ESC). Eur Heart </w:t>
      </w:r>
      <w:r w:rsidRPr="00C214FD">
        <w:rPr>
          <w:lang w:val="en-US"/>
        </w:rPr>
        <w:t>J. 2018 Jan</w:t>
      </w:r>
      <w:r>
        <w:rPr>
          <w:lang w:val="en-US"/>
        </w:rPr>
        <w:t xml:space="preserve"> 7;39(2):119-77. doi:</w:t>
      </w:r>
      <w:r>
        <w:t> </w:t>
      </w:r>
      <w:r w:rsidRPr="00C214FD">
        <w:rPr>
          <w:lang w:val="en-US"/>
        </w:rPr>
        <w:t>10.1093/eurheartj/ehx393. PubMed PMID: 28886621.</w:t>
      </w:r>
    </w:p>
    <w:p w:rsidR="005E2904" w:rsidRDefault="005E2904" w:rsidP="005E2904">
      <w:pPr>
        <w:pStyle w:val="a3"/>
        <w:numPr>
          <w:ilvl w:val="0"/>
          <w:numId w:val="19"/>
        </w:numPr>
        <w:shd w:val="clear" w:color="auto" w:fill="FFFFFF"/>
        <w:tabs>
          <w:tab w:val="left" w:pos="709"/>
        </w:tabs>
        <w:spacing w:after="0" w:line="360" w:lineRule="auto"/>
        <w:ind w:left="0" w:firstLine="567"/>
        <w:jc w:val="both"/>
        <w:outlineLvl w:val="0"/>
      </w:pPr>
      <w:r w:rsidRPr="00C214FD">
        <w:t>Wallentin L, Becker RC, Budaj A, Cannon CP, Emanuelsson H, Held</w:t>
      </w:r>
      <w:r>
        <w:rPr>
          <w:lang w:val="en-US"/>
        </w:rPr>
        <w:t> </w:t>
      </w:r>
      <w:r w:rsidRPr="00C214FD">
        <w:t xml:space="preserve">C, </w:t>
      </w:r>
      <w:r>
        <w:rPr>
          <w:lang w:val="en-US"/>
        </w:rPr>
        <w:t>et al</w:t>
      </w:r>
      <w:r w:rsidRPr="00C214FD">
        <w:t>. Ticagrelor versus clopidogrel in patients with acute coronary syndromes. N Engl J Med. 2009 Sep 10;361(11):1045-</w:t>
      </w:r>
      <w:r>
        <w:t>57. doi: 10.1056/NEJMoa0904327.</w:t>
      </w:r>
    </w:p>
    <w:p w:rsidR="005E2904" w:rsidRDefault="005E2904" w:rsidP="005E2904">
      <w:pPr>
        <w:pStyle w:val="a3"/>
        <w:numPr>
          <w:ilvl w:val="0"/>
          <w:numId w:val="19"/>
        </w:numPr>
        <w:shd w:val="clear" w:color="auto" w:fill="FFFFFF"/>
        <w:spacing w:after="0" w:line="360" w:lineRule="auto"/>
        <w:ind w:left="0" w:firstLine="567"/>
        <w:jc w:val="both"/>
        <w:outlineLvl w:val="0"/>
      </w:pPr>
      <w:r w:rsidRPr="00C214FD">
        <w:t xml:space="preserve">Valgimigli M, Bueno H, Byrne RA, Collet JP, Costa F, Jeppsson A, </w:t>
      </w:r>
      <w:r>
        <w:rPr>
          <w:lang w:val="en-US"/>
        </w:rPr>
        <w:t>et al</w:t>
      </w:r>
      <w:r w:rsidRPr="00C214FD">
        <w:t xml:space="preserve">. 2017 ESC focused update on dual antiplatelet therapy in coronary artery disease developed in collaboration with EACTS: The Task Force for dual antiplatelet therapy in coronary </w:t>
      </w:r>
      <w:r w:rsidRPr="00C214FD">
        <w:lastRenderedPageBreak/>
        <w:t xml:space="preserve">artery disease of the European Society of Cardiology (ESC) and of the European Association for Cardio-Thoracic Surgery (EACTS). Eur </w:t>
      </w:r>
      <w:r>
        <w:t>Heart J. 2018 Jan 14;39(3):213-</w:t>
      </w:r>
      <w:r w:rsidRPr="00C214FD">
        <w:t>60. doi: 10.1093/eurheartj/ehx419. PubMed PMID: 28886622.</w:t>
      </w:r>
      <w:r>
        <w:rPr>
          <w:lang w:val="en-US"/>
        </w:rPr>
        <w:t xml:space="preserve"> </w:t>
      </w:r>
    </w:p>
    <w:p w:rsidR="005E2904" w:rsidRDefault="005E2904" w:rsidP="005E2904">
      <w:pPr>
        <w:pStyle w:val="a3"/>
        <w:numPr>
          <w:ilvl w:val="0"/>
          <w:numId w:val="19"/>
        </w:numPr>
        <w:shd w:val="clear" w:color="auto" w:fill="FFFFFF"/>
        <w:spacing w:after="0" w:line="360" w:lineRule="auto"/>
        <w:ind w:left="0" w:firstLine="567"/>
        <w:jc w:val="both"/>
        <w:outlineLvl w:val="0"/>
      </w:pPr>
      <w:r w:rsidRPr="0040498C">
        <w:t>Amsterdam EA, Wenger NK, Brindis RG, Casey DE Jr, Ganiats</w:t>
      </w:r>
      <w:r>
        <w:rPr>
          <w:lang w:val="en-US"/>
        </w:rPr>
        <w:t> </w:t>
      </w:r>
      <w:r w:rsidRPr="0040498C">
        <w:t>TG, Holmes</w:t>
      </w:r>
      <w:r>
        <w:rPr>
          <w:lang w:val="en-US"/>
        </w:rPr>
        <w:t> </w:t>
      </w:r>
      <w:r w:rsidRPr="0040498C">
        <w:t xml:space="preserve">DR Jr, </w:t>
      </w:r>
      <w:r>
        <w:rPr>
          <w:lang w:val="en-US"/>
        </w:rPr>
        <w:t>et al</w:t>
      </w:r>
      <w:r w:rsidRPr="0040498C">
        <w:t>. 2014 AHA/ACC guideline for the management of patients with non-ST-elevation acute coronary syndromes: executive summary: a report of the American College of Cardiology/American Heart Association Task Force on Practice Guidelines. Circulation. 20</w:t>
      </w:r>
      <w:r>
        <w:t>14 Dec 23;130(25):2354-94. doi: </w:t>
      </w:r>
      <w:r w:rsidRPr="0040498C">
        <w:t>10.1161/CIR.0000000000000133. PubMed PMID: 25249586.</w:t>
      </w:r>
    </w:p>
    <w:p w:rsidR="005E2904" w:rsidRDefault="005E2904" w:rsidP="005E2904">
      <w:pPr>
        <w:pStyle w:val="a3"/>
        <w:numPr>
          <w:ilvl w:val="0"/>
          <w:numId w:val="19"/>
        </w:numPr>
        <w:shd w:val="clear" w:color="auto" w:fill="FFFFFF"/>
        <w:spacing w:after="0" w:line="360" w:lineRule="auto"/>
        <w:ind w:left="0" w:firstLine="567"/>
        <w:jc w:val="both"/>
        <w:outlineLvl w:val="0"/>
      </w:pPr>
      <w:r w:rsidRPr="000C2FD0">
        <w:t>Gonz</w:t>
      </w:r>
      <w:r>
        <w:rPr>
          <w:lang w:val="en-US"/>
        </w:rPr>
        <w:t>a</w:t>
      </w:r>
      <w:r w:rsidRPr="000C2FD0">
        <w:t>lez L</w:t>
      </w:r>
      <w:r>
        <w:rPr>
          <w:lang w:val="en-US"/>
        </w:rPr>
        <w:t>o</w:t>
      </w:r>
      <w:r w:rsidRPr="000C2FD0">
        <w:t>pez-Valc</w:t>
      </w:r>
      <w:r>
        <w:rPr>
          <w:lang w:val="en-US"/>
        </w:rPr>
        <w:t>a</w:t>
      </w:r>
      <w:r w:rsidRPr="000C2FD0">
        <w:t>rcel B, Librero J, Garc</w:t>
      </w:r>
      <w:r>
        <w:rPr>
          <w:lang w:val="en-US"/>
        </w:rPr>
        <w:t>i</w:t>
      </w:r>
      <w:r w:rsidRPr="000C2FD0">
        <w:t>a-Sempere A, Pe</w:t>
      </w:r>
      <w:r>
        <w:rPr>
          <w:lang w:val="en-US"/>
        </w:rPr>
        <w:t>n</w:t>
      </w:r>
      <w:r w:rsidRPr="000C2FD0">
        <w:t>a</w:t>
      </w:r>
      <w:r>
        <w:rPr>
          <w:lang w:val="en-US"/>
        </w:rPr>
        <w:t> </w:t>
      </w:r>
      <w:r w:rsidRPr="000C2FD0">
        <w:t>LM, Bauer</w:t>
      </w:r>
      <w:r>
        <w:rPr>
          <w:lang w:val="en-US"/>
        </w:rPr>
        <w:t> </w:t>
      </w:r>
      <w:r w:rsidRPr="000C2FD0">
        <w:t xml:space="preserve">S, Puig-Junoy J, </w:t>
      </w:r>
      <w:r>
        <w:rPr>
          <w:lang w:val="en-US"/>
        </w:rPr>
        <w:t>et al</w:t>
      </w:r>
      <w:r w:rsidRPr="000C2FD0">
        <w:t xml:space="preserve">. Effect of cost sharing on adherence to evidence-based medications in patients with acute coronary syndrome. </w:t>
      </w:r>
      <w:r>
        <w:t>Heart. 2017 Jul;103(14):1082-</w:t>
      </w:r>
      <w:r w:rsidRPr="000C2FD0">
        <w:t>8. doi: 10.1136/heartjnl-2016-310610. PubMed PMID: 28249992</w:t>
      </w:r>
      <w:r>
        <w:rPr>
          <w:lang w:val="en-US"/>
        </w:rPr>
        <w:t>.</w:t>
      </w:r>
    </w:p>
    <w:p w:rsidR="005E2904" w:rsidRDefault="005E2904" w:rsidP="005E2904">
      <w:pPr>
        <w:pStyle w:val="a3"/>
        <w:numPr>
          <w:ilvl w:val="0"/>
          <w:numId w:val="19"/>
        </w:numPr>
        <w:shd w:val="clear" w:color="auto" w:fill="FFFFFF"/>
        <w:spacing w:after="0" w:line="360" w:lineRule="auto"/>
        <w:ind w:left="0" w:firstLine="567"/>
        <w:jc w:val="both"/>
        <w:outlineLvl w:val="0"/>
      </w:pPr>
      <w:r w:rsidRPr="000C2FD0">
        <w:t>Dunlay SM, Weston SA, Killian JM, Bell MR, Jaffe AS, Roger</w:t>
      </w:r>
      <w:r>
        <w:rPr>
          <w:lang w:val="en-US"/>
        </w:rPr>
        <w:t> </w:t>
      </w:r>
      <w:r w:rsidRPr="000C2FD0">
        <w:t>VL. Thirty-day rehospitalizations after acute myocardial infarction: a cohort study. Ann Intern Med. 2012 Jul 3;157(1):11-8. doi: 10.7326/0</w:t>
      </w:r>
      <w:r>
        <w:t>003-4819-157-1-201207030-00004.</w:t>
      </w:r>
    </w:p>
    <w:p w:rsidR="005E2904" w:rsidRPr="006215D3" w:rsidRDefault="005E2904" w:rsidP="005E2904">
      <w:pPr>
        <w:pStyle w:val="a3"/>
        <w:numPr>
          <w:ilvl w:val="0"/>
          <w:numId w:val="19"/>
        </w:numPr>
        <w:shd w:val="clear" w:color="auto" w:fill="FFFFFF"/>
        <w:spacing w:after="0" w:line="360" w:lineRule="auto"/>
        <w:ind w:left="0" w:firstLine="567"/>
        <w:jc w:val="both"/>
        <w:outlineLvl w:val="0"/>
      </w:pPr>
      <w:r w:rsidRPr="006215D3">
        <w:t>Shah VK, Shalia KK, Nabar A, Pawar PP. Analysis of Soluble Factors During Percutaneous Coronary Intervention in ST Elevated MI. Enliven</w:t>
      </w:r>
      <w:r w:rsidRPr="006215D3">
        <w:rPr>
          <w:lang w:val="en-US"/>
        </w:rPr>
        <w:t xml:space="preserve"> [Internet].</w:t>
      </w:r>
      <w:r w:rsidRPr="006215D3">
        <w:t xml:space="preserve"> Clin Cardiol Res. 2015</w:t>
      </w:r>
      <w:r w:rsidRPr="006215D3">
        <w:rPr>
          <w:lang w:val="en-US"/>
        </w:rPr>
        <w:t>;</w:t>
      </w:r>
      <w:r w:rsidRPr="006215D3">
        <w:t>1</w:t>
      </w:r>
      <w:r w:rsidRPr="006215D3">
        <w:rPr>
          <w:lang w:val="en-US"/>
        </w:rPr>
        <w:t>(1):007</w:t>
      </w:r>
      <w:r w:rsidRPr="006215D3">
        <w:t xml:space="preserve">. </w:t>
      </w:r>
      <w:r w:rsidRPr="006215D3">
        <w:rPr>
          <w:lang w:val="en-US"/>
        </w:rPr>
        <w:t>Available from</w:t>
      </w:r>
      <w:r w:rsidRPr="006215D3">
        <w:t>: http://www.enlivenarchive.org/articles/analysis-of-soluble-factors-during-percutaneous-coronary-intervention-in-st-elevated-mi.pdf</w:t>
      </w:r>
    </w:p>
    <w:p w:rsidR="005E2904" w:rsidRPr="006215D3" w:rsidRDefault="005E2904" w:rsidP="005E2904">
      <w:pPr>
        <w:pStyle w:val="a3"/>
        <w:numPr>
          <w:ilvl w:val="0"/>
          <w:numId w:val="19"/>
        </w:numPr>
        <w:tabs>
          <w:tab w:val="left" w:pos="284"/>
          <w:tab w:val="left" w:pos="567"/>
        </w:tabs>
        <w:spacing w:after="0" w:line="360" w:lineRule="auto"/>
        <w:ind w:left="0" w:firstLine="567"/>
        <w:jc w:val="both"/>
        <w:rPr>
          <w:rFonts w:eastAsia="Times New Roman"/>
        </w:rPr>
      </w:pPr>
      <w:r w:rsidRPr="006215D3">
        <w:rPr>
          <w:rFonts w:eastAsia="Times New Roman"/>
        </w:rPr>
        <w:t>Syvolap VD,</w:t>
      </w:r>
      <w:r w:rsidRPr="006215D3">
        <w:rPr>
          <w:rFonts w:eastAsia="Times New Roman"/>
          <w:lang w:val="en-US"/>
        </w:rPr>
        <w:t xml:space="preserve"> </w:t>
      </w:r>
      <w:r w:rsidRPr="006215D3">
        <w:rPr>
          <w:rFonts w:eastAsia="Times New Roman"/>
        </w:rPr>
        <w:t>Kyselov SM. Regulation of extracellular matrix in patients with Q-wave myocardial infarction after thrombolytic therapy.</w:t>
      </w:r>
      <w:r w:rsidRPr="006215D3">
        <w:rPr>
          <w:rFonts w:eastAsia="Times New Roman"/>
          <w:lang w:val="en-US"/>
        </w:rPr>
        <w:t xml:space="preserve"> </w:t>
      </w:r>
      <w:r w:rsidRPr="006215D3">
        <w:rPr>
          <w:rFonts w:eastAsia="Times New Roman"/>
        </w:rPr>
        <w:t>Патология. 2014</w:t>
      </w:r>
      <w:r w:rsidRPr="006215D3">
        <w:rPr>
          <w:rFonts w:eastAsia="Times New Roman"/>
          <w:lang w:val="en-US"/>
        </w:rPr>
        <w:t>;(</w:t>
      </w:r>
      <w:r w:rsidRPr="006215D3">
        <w:rPr>
          <w:rFonts w:eastAsia="Times New Roman"/>
        </w:rPr>
        <w:t>1</w:t>
      </w:r>
      <w:r w:rsidRPr="006215D3">
        <w:rPr>
          <w:rFonts w:eastAsia="Times New Roman"/>
          <w:lang w:val="en-US"/>
        </w:rPr>
        <w:t>):</w:t>
      </w:r>
      <w:r w:rsidRPr="006215D3">
        <w:rPr>
          <w:rFonts w:eastAsia="Times New Roman"/>
        </w:rPr>
        <w:t>56-8.</w:t>
      </w:r>
    </w:p>
    <w:p w:rsidR="005E2904" w:rsidRPr="007E0B4F" w:rsidRDefault="005E2904" w:rsidP="005E2904">
      <w:pPr>
        <w:pStyle w:val="a3"/>
        <w:numPr>
          <w:ilvl w:val="0"/>
          <w:numId w:val="19"/>
        </w:numPr>
        <w:tabs>
          <w:tab w:val="left" w:pos="284"/>
          <w:tab w:val="left" w:pos="567"/>
        </w:tabs>
        <w:spacing w:after="0" w:line="360" w:lineRule="auto"/>
        <w:ind w:left="0" w:firstLine="567"/>
        <w:jc w:val="both"/>
        <w:rPr>
          <w:rFonts w:eastAsia="Times New Roman"/>
        </w:rPr>
      </w:pPr>
      <w:r w:rsidRPr="000C2FD0">
        <w:rPr>
          <w:rFonts w:eastAsia="Times New Roman"/>
        </w:rPr>
        <w:t xml:space="preserve">Liu HL, Yang Y, Yang SL, Luo JP, Li H, Jing LM, </w:t>
      </w:r>
      <w:r>
        <w:rPr>
          <w:rFonts w:eastAsia="Times New Roman"/>
          <w:lang w:val="en-US"/>
        </w:rPr>
        <w:t>et al</w:t>
      </w:r>
      <w:r w:rsidRPr="000C2FD0">
        <w:rPr>
          <w:rFonts w:eastAsia="Times New Roman"/>
        </w:rPr>
        <w:t>. Administration of a loading dose of atorvastatin before percutaneous coronary intervention prevents inflammation and reduces myocardial injury in STEMI patients: a randomized clinical study. Clin Ther. 2013 Mar;35(3):261-72. doi: 10.1016/j.clinthera.2013.01.0</w:t>
      </w:r>
      <w:r>
        <w:rPr>
          <w:rFonts w:eastAsia="Times New Roman"/>
        </w:rPr>
        <w:t>09.</w:t>
      </w:r>
    </w:p>
    <w:p w:rsidR="005E2904" w:rsidRPr="007F1807"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0C2FD0">
        <w:rPr>
          <w:rFonts w:eastAsia="Times New Roman"/>
        </w:rPr>
        <w:lastRenderedPageBreak/>
        <w:t>Kukuk S, Kretschmer A, Bruck H, Roth S, Brandt AS. [Retroperitoneal fibrosis: development of a biomarker profile for diagnosis and therapy monitoring]. Urologe A. 2015 Jan;54(1):52-61. doi: 10.</w:t>
      </w:r>
      <w:r>
        <w:rPr>
          <w:rFonts w:eastAsia="Times New Roman"/>
        </w:rPr>
        <w:t>1007/s00120-014-3713-z. German.</w:t>
      </w:r>
    </w:p>
    <w:p w:rsidR="005E2904" w:rsidRPr="007F1807"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0C2FD0">
        <w:rPr>
          <w:rFonts w:eastAsia="Times New Roman"/>
        </w:rPr>
        <w:t xml:space="preserve">Celik A, Kalay N, Sahin O, Duran M, Korkmaz H, Kobat MA, </w:t>
      </w:r>
      <w:r>
        <w:rPr>
          <w:rFonts w:eastAsia="Times New Roman"/>
          <w:lang w:val="en-US"/>
        </w:rPr>
        <w:t>et al</w:t>
      </w:r>
      <w:r w:rsidRPr="000C2FD0">
        <w:rPr>
          <w:rFonts w:eastAsia="Times New Roman"/>
        </w:rPr>
        <w:t xml:space="preserve">. The importance of cardiac biomarkers on remodelling after myocardial infarction. J Clin Med Res. 2012 Feb;4(1):20-5. doi: 10.4021/jocmr759w. </w:t>
      </w:r>
      <w:r>
        <w:rPr>
          <w:rFonts w:eastAsia="Times New Roman"/>
        </w:rPr>
        <w:t>PubMed PMID: 22383923</w:t>
      </w:r>
      <w:r>
        <w:rPr>
          <w:rFonts w:eastAsia="Times New Roman"/>
          <w:lang w:val="en-US"/>
        </w:rPr>
        <w:t>.</w:t>
      </w:r>
    </w:p>
    <w:p w:rsidR="005E2904" w:rsidRPr="007F1807"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0C2FD0">
        <w:rPr>
          <w:rFonts w:eastAsia="Times New Roman"/>
        </w:rPr>
        <w:t>Di Diego JM, Antzelevitch C. Acute myocardial ischemia: cellular mechanisms underlying ST segment elevation. J Electrocardiol. 2014 Jul-Aug;47(4):486-90. doi: 10.1016/j.jelectrocard.2014.02.005. PubMed PMID: 24742586</w:t>
      </w:r>
      <w:r>
        <w:rPr>
          <w:rFonts w:eastAsia="Times New Roman"/>
          <w:lang w:val="en-US"/>
        </w:rPr>
        <w:t>.</w:t>
      </w:r>
    </w:p>
    <w:p w:rsidR="005E2904" w:rsidRPr="00C861A6"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7F5DE5">
        <w:rPr>
          <w:rFonts w:eastAsia="Times New Roman"/>
        </w:rPr>
        <w:t>Ma Y, de Castro Br</w:t>
      </w:r>
      <w:r>
        <w:rPr>
          <w:rFonts w:eastAsia="Times New Roman"/>
          <w:lang w:val="en-US"/>
        </w:rPr>
        <w:t>a</w:t>
      </w:r>
      <w:r w:rsidRPr="007F5DE5">
        <w:rPr>
          <w:rFonts w:eastAsia="Times New Roman"/>
        </w:rPr>
        <w:t xml:space="preserve">s LE, Toba H, Iyer RP, Hall ME, Winniford MD, </w:t>
      </w:r>
      <w:r>
        <w:rPr>
          <w:rFonts w:eastAsia="Times New Roman"/>
          <w:lang w:val="en-US"/>
        </w:rPr>
        <w:t>et al</w:t>
      </w:r>
      <w:r w:rsidRPr="007F5DE5">
        <w:rPr>
          <w:rFonts w:eastAsia="Times New Roman"/>
        </w:rPr>
        <w:t>. Myofibroblasts and the extracellular matrix network in post-myocardial infarction cardiac remodeling. Pflugers Arch. 2014 Jun;466(6):1113-27. doi: 10.1007/s00424-014-1463-9. Review. PubMed PMID: 24519465</w:t>
      </w:r>
      <w:r>
        <w:rPr>
          <w:rFonts w:eastAsia="Times New Roman"/>
          <w:lang w:val="en-US"/>
        </w:rPr>
        <w:t>.</w:t>
      </w:r>
    </w:p>
    <w:p w:rsidR="0066492B"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rPr>
          <w:lang w:val="en-US"/>
        </w:rPr>
      </w:pPr>
      <w:r w:rsidRPr="00C861A6">
        <w:rPr>
          <w:lang w:val="en-US"/>
        </w:rPr>
        <w:t>Valavanis IK, Mougiakakou SG, Grimaldi KA, Nikita KS. A multifactorial analysis of obesity as CVD risk factor: use of neural network based methods in a nutrigenetics context. BMC Bioinformatics. 2010 Sep 8;11:453. doi: 10.1186/1471-2105-11-453. PubMed PMID: 20825661; PubMed Central PMCID: PMC2941694.</w:t>
      </w:r>
    </w:p>
    <w:p w:rsidR="0066492B" w:rsidRDefault="0066492B">
      <w:pPr>
        <w:rPr>
          <w:lang w:val="en-US"/>
        </w:rPr>
      </w:pPr>
      <w:r>
        <w:rPr>
          <w:lang w:val="en-US"/>
        </w:rPr>
        <w:br w:type="page"/>
      </w:r>
    </w:p>
    <w:p w:rsidR="0066492B"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567"/>
        <w:jc w:val="both"/>
        <w:outlineLvl w:val="0"/>
        <w:rPr>
          <w:sz w:val="144"/>
          <w:szCs w:val="144"/>
        </w:rPr>
      </w:pPr>
    </w:p>
    <w:p w:rsidR="0066492B"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567"/>
        <w:jc w:val="both"/>
        <w:outlineLvl w:val="0"/>
        <w:rPr>
          <w:sz w:val="144"/>
          <w:szCs w:val="144"/>
        </w:rPr>
      </w:pPr>
    </w:p>
    <w:p w:rsidR="0066492B"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567"/>
        <w:jc w:val="both"/>
        <w:outlineLvl w:val="0"/>
        <w:rPr>
          <w:b/>
          <w:sz w:val="144"/>
          <w:szCs w:val="144"/>
        </w:rPr>
      </w:pPr>
      <w:r w:rsidRPr="0066492B">
        <w:rPr>
          <w:b/>
          <w:sz w:val="144"/>
          <w:szCs w:val="144"/>
        </w:rPr>
        <w:t>ДОДАТКИ</w:t>
      </w:r>
    </w:p>
    <w:p w:rsidR="0066492B" w:rsidRDefault="0066492B">
      <w:pPr>
        <w:rPr>
          <w:b/>
          <w:sz w:val="144"/>
          <w:szCs w:val="144"/>
        </w:rPr>
      </w:pPr>
      <w:r>
        <w:rPr>
          <w:b/>
          <w:sz w:val="144"/>
          <w:szCs w:val="144"/>
        </w:rPr>
        <w:br w:type="page"/>
      </w:r>
    </w:p>
    <w:p w:rsidR="0066492B" w:rsidRDefault="0066492B" w:rsidP="0066492B">
      <w:pPr>
        <w:widowControl w:val="0"/>
        <w:tabs>
          <w:tab w:val="left" w:pos="426"/>
        </w:tabs>
        <w:suppressAutoHyphens/>
        <w:spacing w:after="0" w:line="360" w:lineRule="auto"/>
        <w:jc w:val="right"/>
        <w:rPr>
          <w:rFonts w:eastAsia="Lucida Sans Unicode"/>
          <w:szCs w:val="28"/>
          <w:lang w:eastAsia="ar-SA"/>
        </w:rPr>
      </w:pPr>
      <w:r>
        <w:rPr>
          <w:rFonts w:eastAsia="Lucida Sans Unicode"/>
          <w:szCs w:val="28"/>
          <w:lang w:eastAsia="ar-SA"/>
        </w:rPr>
        <w:lastRenderedPageBreak/>
        <w:t>Додаток  А.</w:t>
      </w:r>
    </w:p>
    <w:p w:rsidR="0066492B" w:rsidRDefault="0066492B" w:rsidP="0066492B">
      <w:pPr>
        <w:widowControl w:val="0"/>
        <w:tabs>
          <w:tab w:val="left" w:pos="426"/>
        </w:tabs>
        <w:suppressAutoHyphens/>
        <w:spacing w:after="0" w:line="360" w:lineRule="auto"/>
        <w:jc w:val="center"/>
        <w:rPr>
          <w:rFonts w:eastAsia="Lucida Sans Unicode"/>
          <w:b/>
          <w:szCs w:val="28"/>
          <w:lang w:eastAsia="ar-SA"/>
        </w:rPr>
      </w:pPr>
      <w:r>
        <w:rPr>
          <w:rFonts w:eastAsia="Lucida Sans Unicode"/>
          <w:b/>
          <w:szCs w:val="28"/>
          <w:lang w:eastAsia="ar-SA"/>
        </w:rPr>
        <w:t>Список публікацій здобувача</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774043">
        <w:rPr>
          <w:rFonts w:eastAsia="Times New Roman"/>
        </w:rPr>
        <w:t>,</w:t>
      </w:r>
      <w:r w:rsidRPr="003E5390">
        <w:rPr>
          <w:rFonts w:eastAsia="Times New Roman"/>
        </w:rPr>
        <w:t xml:space="preserve"> Р</w:t>
      </w:r>
      <w:r>
        <w:rPr>
          <w:rFonts w:eastAsia="Times New Roman"/>
        </w:rPr>
        <w:t>ы</w:t>
      </w:r>
      <w:r w:rsidRPr="003E5390">
        <w:rPr>
          <w:rFonts w:eastAsia="Times New Roman"/>
        </w:rPr>
        <w:t>нд</w:t>
      </w:r>
      <w:r>
        <w:rPr>
          <w:rFonts w:eastAsia="Times New Roman"/>
        </w:rPr>
        <w:t>и</w:t>
      </w:r>
      <w:r w:rsidRPr="003E5390">
        <w:rPr>
          <w:rFonts w:eastAsia="Times New Roman"/>
        </w:rPr>
        <w:t>на</w:t>
      </w:r>
      <w:r w:rsidRPr="00774043">
        <w:rPr>
          <w:rFonts w:eastAsia="Times New Roman"/>
        </w:rPr>
        <w:t xml:space="preserve"> </w:t>
      </w:r>
      <w:r>
        <w:rPr>
          <w:rFonts w:eastAsia="Times New Roman"/>
        </w:rPr>
        <w:t>НГ</w:t>
      </w:r>
      <w:r w:rsidRPr="003E5390">
        <w:rPr>
          <w:rFonts w:eastAsia="Times New Roman"/>
        </w:rPr>
        <w:t xml:space="preserve">, Кравчун </w:t>
      </w:r>
      <w:r>
        <w:rPr>
          <w:rFonts w:eastAsia="Times New Roman"/>
        </w:rPr>
        <w:t>ПГ.</w:t>
      </w:r>
      <w:r w:rsidRPr="00774043">
        <w:rPr>
          <w:rFonts w:eastAsia="Times New Roman"/>
        </w:rPr>
        <w:t xml:space="preserve"> </w:t>
      </w:r>
      <w:r w:rsidRPr="003E5390">
        <w:rPr>
          <w:rFonts w:eastAsia="Times New Roman"/>
        </w:rPr>
        <w:t xml:space="preserve">Уровень галектина-3 у пациентов с острым инфарктом миокарда и ожирением различной степени </w:t>
      </w:r>
      <w:r>
        <w:rPr>
          <w:rFonts w:eastAsia="Times New Roman"/>
        </w:rPr>
        <w:t>тяжести: связь с антропометрией</w:t>
      </w:r>
      <w:r w:rsidRPr="00774043">
        <w:rPr>
          <w:rFonts w:eastAsia="Times New Roman"/>
        </w:rPr>
        <w:t xml:space="preserve">. </w:t>
      </w:r>
      <w:r w:rsidRPr="003E5390">
        <w:rPr>
          <w:rFonts w:eastAsia="Times New Roman"/>
        </w:rPr>
        <w:t>Georgian Medical News</w:t>
      </w:r>
      <w:r>
        <w:rPr>
          <w:rFonts w:eastAsia="Times New Roman"/>
        </w:rPr>
        <w:t>. 2016</w:t>
      </w:r>
      <w:r w:rsidRPr="00FE71DB">
        <w:rPr>
          <w:rFonts w:eastAsia="Times New Roman"/>
        </w:rPr>
        <w:t>;(</w:t>
      </w:r>
      <w:r w:rsidRPr="003E5390">
        <w:rPr>
          <w:rFonts w:eastAsia="Times New Roman"/>
        </w:rPr>
        <w:t>12</w:t>
      </w:r>
      <w:r w:rsidRPr="00FE71DB">
        <w:rPr>
          <w:rFonts w:eastAsia="Times New Roman"/>
        </w:rPr>
        <w:t>):</w:t>
      </w:r>
      <w:r>
        <w:rPr>
          <w:rFonts w:eastAsia="Times New Roman"/>
        </w:rPr>
        <w:t>42</w:t>
      </w:r>
      <w:r w:rsidRPr="00FE71DB">
        <w:rPr>
          <w:rFonts w:eastAsia="Times New Roman"/>
        </w:rPr>
        <w:t>-</w:t>
      </w:r>
      <w:r w:rsidRPr="003E5390">
        <w:rPr>
          <w:rFonts w:eastAsia="Times New Roman"/>
        </w:rPr>
        <w:t xml:space="preserve">5.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w:t>
      </w:r>
      <w:r w:rsidRPr="00774043">
        <w:rPr>
          <w:rFonts w:eastAsia="Times New Roman"/>
        </w:rPr>
        <w:t xml:space="preserve"> </w:t>
      </w:r>
      <w:r>
        <w:rPr>
          <w:rFonts w:eastAsia="Times New Roman"/>
        </w:rPr>
        <w:t>КМ,</w:t>
      </w:r>
      <w:r w:rsidRPr="003E5390">
        <w:rPr>
          <w:rFonts w:eastAsia="Times New Roman"/>
        </w:rPr>
        <w:t xml:space="preserve"> Риндіна</w:t>
      </w:r>
      <w:r w:rsidRPr="00774043">
        <w:rPr>
          <w:rFonts w:eastAsia="Times New Roman"/>
        </w:rPr>
        <w:t xml:space="preserve"> </w:t>
      </w:r>
      <w:r>
        <w:rPr>
          <w:rFonts w:eastAsia="Times New Roman"/>
        </w:rPr>
        <w:t>НГ</w:t>
      </w:r>
      <w:r w:rsidRPr="003E5390">
        <w:rPr>
          <w:rFonts w:eastAsia="Times New Roman"/>
        </w:rPr>
        <w:t>, Кравчун</w:t>
      </w:r>
      <w:r w:rsidRPr="00774043">
        <w:rPr>
          <w:rFonts w:eastAsia="Times New Roman"/>
        </w:rPr>
        <w:t xml:space="preserve"> </w:t>
      </w:r>
      <w:r>
        <w:rPr>
          <w:rFonts w:eastAsia="Times New Roman"/>
        </w:rPr>
        <w:t>ПГ</w:t>
      </w:r>
      <w:r w:rsidRPr="003E5390">
        <w:rPr>
          <w:rFonts w:eastAsia="Times New Roman"/>
        </w:rPr>
        <w:t xml:space="preserve">, Сапричова </w:t>
      </w:r>
      <w:r>
        <w:rPr>
          <w:rFonts w:eastAsia="Times New Roman"/>
        </w:rPr>
        <w:t>Л</w:t>
      </w:r>
      <w:r w:rsidRPr="003E5390">
        <w:rPr>
          <w:rFonts w:eastAsia="Times New Roman"/>
        </w:rPr>
        <w:t>В. Особливості вітронектинемії та антропометричних параметрів у хворих на гострий інфаркт</w:t>
      </w:r>
      <w:r>
        <w:rPr>
          <w:rFonts w:eastAsia="Times New Roman"/>
        </w:rPr>
        <w:t xml:space="preserve"> міокарда за наявності ожиріння</w:t>
      </w:r>
      <w:r w:rsidRPr="00774043">
        <w:rPr>
          <w:rFonts w:eastAsia="Times New Roman"/>
        </w:rPr>
        <w:t xml:space="preserve">. </w:t>
      </w:r>
      <w:r w:rsidRPr="003E5390">
        <w:rPr>
          <w:rFonts w:eastAsia="Times New Roman"/>
        </w:rPr>
        <w:t>Акт</w:t>
      </w:r>
      <w:r w:rsidRPr="00774043">
        <w:rPr>
          <w:rFonts w:eastAsia="Times New Roman"/>
        </w:rPr>
        <w:t>.</w:t>
      </w:r>
      <w:r w:rsidRPr="003E5390">
        <w:rPr>
          <w:rFonts w:eastAsia="Times New Roman"/>
        </w:rPr>
        <w:t xml:space="preserve"> проблеми суч</w:t>
      </w:r>
      <w:r w:rsidRPr="00774043">
        <w:rPr>
          <w:rFonts w:eastAsia="Times New Roman"/>
        </w:rPr>
        <w:t>ас.</w:t>
      </w:r>
      <w:r w:rsidRPr="003E5390">
        <w:rPr>
          <w:rFonts w:eastAsia="Times New Roman"/>
        </w:rPr>
        <w:t xml:space="preserve"> медицини: </w:t>
      </w:r>
      <w:r>
        <w:rPr>
          <w:rFonts w:eastAsia="Times New Roman"/>
        </w:rPr>
        <w:t>Вісн.</w:t>
      </w:r>
      <w:r w:rsidRPr="003E5390">
        <w:rPr>
          <w:rFonts w:eastAsia="Times New Roman"/>
        </w:rPr>
        <w:t xml:space="preserve"> Укр</w:t>
      </w:r>
      <w:r>
        <w:rPr>
          <w:rFonts w:eastAsia="Times New Roman"/>
        </w:rPr>
        <w:t>.</w:t>
      </w:r>
      <w:r w:rsidRPr="003E5390">
        <w:rPr>
          <w:rFonts w:eastAsia="Times New Roman"/>
        </w:rPr>
        <w:t xml:space="preserve"> мед</w:t>
      </w:r>
      <w:r>
        <w:rPr>
          <w:rFonts w:eastAsia="Times New Roman"/>
        </w:rPr>
        <w:t xml:space="preserve">. </w:t>
      </w:r>
      <w:r w:rsidRPr="003E5390">
        <w:rPr>
          <w:rFonts w:eastAsia="Times New Roman"/>
        </w:rPr>
        <w:t>стоматол</w:t>
      </w:r>
      <w:r>
        <w:rPr>
          <w:rFonts w:eastAsia="Times New Roman"/>
        </w:rPr>
        <w:t>. акад</w:t>
      </w:r>
      <w:r w:rsidRPr="003E5390">
        <w:rPr>
          <w:rFonts w:eastAsia="Times New Roman"/>
        </w:rPr>
        <w:t>. 2017</w:t>
      </w:r>
      <w:r w:rsidRPr="00FE71DB">
        <w:rPr>
          <w:rFonts w:eastAsia="Times New Roman"/>
        </w:rPr>
        <w:t>; 17(</w:t>
      </w:r>
      <w:r w:rsidRPr="003E5390">
        <w:rPr>
          <w:rFonts w:eastAsia="Times New Roman"/>
        </w:rPr>
        <w:t>1</w:t>
      </w:r>
      <w:r w:rsidRPr="00FE71DB">
        <w:rPr>
          <w:rFonts w:eastAsia="Times New Roman"/>
        </w:rPr>
        <w:t>):</w:t>
      </w:r>
      <w:r>
        <w:rPr>
          <w:rFonts w:eastAsia="Times New Roman"/>
        </w:rPr>
        <w:t>60-</w:t>
      </w:r>
      <w:r w:rsidRPr="003E5390">
        <w:rPr>
          <w:rFonts w:eastAsia="Times New Roman"/>
        </w:rPr>
        <w:t xml:space="preserve">2.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w:t>
      </w:r>
      <w:r w:rsidRPr="003E5390">
        <w:rPr>
          <w:rFonts w:eastAsia="Times New Roman"/>
        </w:rPr>
        <w:t>М</w:t>
      </w:r>
      <w:r w:rsidRPr="00B05FBD">
        <w:rPr>
          <w:rFonts w:eastAsia="Times New Roman"/>
        </w:rPr>
        <w:t xml:space="preserve">, </w:t>
      </w:r>
      <w:r w:rsidRPr="003E5390">
        <w:rPr>
          <w:rFonts w:eastAsia="Times New Roman"/>
        </w:rPr>
        <w:t>Кравчун</w:t>
      </w:r>
      <w:r w:rsidRPr="00B05FBD">
        <w:rPr>
          <w:rFonts w:eastAsia="Times New Roman"/>
        </w:rPr>
        <w:t xml:space="preserve"> </w:t>
      </w:r>
      <w:r>
        <w:rPr>
          <w:rFonts w:eastAsia="Times New Roman"/>
        </w:rPr>
        <w:t>ПГ</w:t>
      </w:r>
      <w:r w:rsidRPr="003E5390">
        <w:rPr>
          <w:rFonts w:eastAsia="Times New Roman"/>
        </w:rPr>
        <w:t>, Риндіна</w:t>
      </w:r>
      <w:r w:rsidRPr="00B05FBD">
        <w:rPr>
          <w:rFonts w:eastAsia="Times New Roman"/>
        </w:rPr>
        <w:t xml:space="preserve"> </w:t>
      </w:r>
      <w:r>
        <w:rPr>
          <w:rFonts w:eastAsia="Times New Roman"/>
        </w:rPr>
        <w:t>НГ</w:t>
      </w:r>
      <w:r w:rsidRPr="003E5390">
        <w:rPr>
          <w:rFonts w:eastAsia="Times New Roman"/>
        </w:rPr>
        <w:t xml:space="preserve">. Вітронектин як маркер прогнозу повторних кардіоваскулярних подій протягом 6-місячного терміну спостереження після перенесеного гострого інфаркту міокарда </w:t>
      </w:r>
      <w:r>
        <w:rPr>
          <w:rFonts w:eastAsia="Times New Roman"/>
        </w:rPr>
        <w:t>за наявності ожиріння</w:t>
      </w:r>
      <w:r w:rsidRPr="00B05FBD">
        <w:rPr>
          <w:rFonts w:eastAsia="Times New Roman"/>
        </w:rPr>
        <w:t xml:space="preserve">. </w:t>
      </w:r>
      <w:r w:rsidRPr="003E5390">
        <w:rPr>
          <w:rFonts w:eastAsia="Times New Roman"/>
        </w:rPr>
        <w:t>Буков</w:t>
      </w:r>
      <w:r w:rsidRPr="00B05FBD">
        <w:rPr>
          <w:rFonts w:eastAsia="Times New Roman"/>
        </w:rPr>
        <w:t>.</w:t>
      </w:r>
      <w:r w:rsidRPr="003E5390">
        <w:rPr>
          <w:rFonts w:eastAsia="Times New Roman"/>
        </w:rPr>
        <w:t xml:space="preserve"> мед</w:t>
      </w:r>
      <w:r w:rsidRPr="00B05FBD">
        <w:rPr>
          <w:rFonts w:eastAsia="Times New Roman"/>
        </w:rPr>
        <w:t>.</w:t>
      </w:r>
      <w:r>
        <w:rPr>
          <w:rFonts w:eastAsia="Times New Roman"/>
        </w:rPr>
        <w:t xml:space="preserve"> вісн. 2017</w:t>
      </w:r>
      <w:r w:rsidRPr="00B05FBD">
        <w:rPr>
          <w:rFonts w:eastAsia="Times New Roman"/>
        </w:rPr>
        <w:t>;21(3):</w:t>
      </w:r>
      <w:r w:rsidRPr="003E5390">
        <w:rPr>
          <w:rFonts w:eastAsia="Times New Roman"/>
        </w:rPr>
        <w:t>8-14</w:t>
      </w:r>
      <w:r w:rsidRPr="00B05FBD">
        <w:rPr>
          <w:rFonts w:eastAsia="Times New Roman"/>
        </w:rPr>
        <w:t>.</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3E5390">
        <w:rPr>
          <w:rFonts w:eastAsia="Times New Roman"/>
        </w:rPr>
        <w:t>Боровик</w:t>
      </w:r>
      <w:r w:rsidRPr="00AE5FD3">
        <w:rPr>
          <w:rFonts w:eastAsia="Times New Roman"/>
        </w:rPr>
        <w:t xml:space="preserve"> </w:t>
      </w:r>
      <w:r>
        <w:rPr>
          <w:rFonts w:eastAsia="Times New Roman"/>
        </w:rPr>
        <w:t>КМ</w:t>
      </w:r>
      <w:r w:rsidRPr="003E5390">
        <w:rPr>
          <w:rFonts w:eastAsia="Times New Roman"/>
        </w:rPr>
        <w:t>, Кравчун</w:t>
      </w:r>
      <w:r w:rsidRPr="00AE5FD3">
        <w:rPr>
          <w:rFonts w:eastAsia="Times New Roman"/>
        </w:rPr>
        <w:t xml:space="preserve"> </w:t>
      </w:r>
      <w:r>
        <w:rPr>
          <w:rFonts w:eastAsia="Times New Roman"/>
        </w:rPr>
        <w:t>ПГ</w:t>
      </w:r>
      <w:r w:rsidRPr="003E5390">
        <w:rPr>
          <w:rFonts w:eastAsia="Times New Roman"/>
        </w:rPr>
        <w:t xml:space="preserve">, </w:t>
      </w:r>
      <w:r>
        <w:rPr>
          <w:rFonts w:eastAsia="Times New Roman"/>
        </w:rPr>
        <w:t>Риндіна</w:t>
      </w:r>
      <w:r w:rsidRPr="00AE5FD3">
        <w:rPr>
          <w:rFonts w:eastAsia="Times New Roman"/>
        </w:rPr>
        <w:t xml:space="preserve"> </w:t>
      </w:r>
      <w:r>
        <w:rPr>
          <w:rFonts w:eastAsia="Times New Roman"/>
        </w:rPr>
        <w:t>НГ</w:t>
      </w:r>
      <w:r w:rsidRPr="00AE5FD3">
        <w:rPr>
          <w:rFonts w:eastAsia="Times New Roman"/>
        </w:rPr>
        <w:t xml:space="preserve">, </w:t>
      </w:r>
      <w:r w:rsidRPr="003E5390">
        <w:rPr>
          <w:rFonts w:eastAsia="Times New Roman"/>
        </w:rPr>
        <w:t>Глєбова</w:t>
      </w:r>
      <w:r w:rsidRPr="00AE5FD3">
        <w:rPr>
          <w:rFonts w:eastAsia="Times New Roman"/>
        </w:rPr>
        <w:t xml:space="preserve"> </w:t>
      </w:r>
      <w:r>
        <w:rPr>
          <w:rFonts w:eastAsia="Times New Roman"/>
        </w:rPr>
        <w:t>ОВ</w:t>
      </w:r>
      <w:r w:rsidRPr="003E5390">
        <w:rPr>
          <w:rFonts w:eastAsia="Times New Roman"/>
        </w:rPr>
        <w:t xml:space="preserve">, Леонідова </w:t>
      </w:r>
      <w:r>
        <w:rPr>
          <w:rFonts w:eastAsia="Times New Roman"/>
        </w:rPr>
        <w:t>ВІ.</w:t>
      </w:r>
      <w:r w:rsidRPr="00AE5FD3">
        <w:rPr>
          <w:rFonts w:eastAsia="Times New Roman"/>
        </w:rPr>
        <w:t xml:space="preserve"> </w:t>
      </w:r>
      <w:r w:rsidRPr="003E5390">
        <w:rPr>
          <w:rFonts w:eastAsia="Times New Roman"/>
        </w:rPr>
        <w:t>Якість життя у хворих за коморбідності гострого інфаркту міокарда та ожиріння: фокус на фі</w:t>
      </w:r>
      <w:r>
        <w:rPr>
          <w:rFonts w:eastAsia="Times New Roman"/>
        </w:rPr>
        <w:t>зичний і емоційний компоненти</w:t>
      </w:r>
      <w:r w:rsidRPr="00AE5FD3">
        <w:rPr>
          <w:rFonts w:eastAsia="Times New Roman"/>
        </w:rPr>
        <w:t>.</w:t>
      </w:r>
      <w:r w:rsidRPr="003E5390">
        <w:rPr>
          <w:rFonts w:eastAsia="Times New Roman"/>
        </w:rPr>
        <w:t xml:space="preserve"> Кардіологія: від науки до практики. 2017</w:t>
      </w:r>
      <w:r w:rsidRPr="00FE71DB">
        <w:rPr>
          <w:rFonts w:eastAsia="Times New Roman"/>
        </w:rPr>
        <w:t>;(</w:t>
      </w:r>
      <w:r w:rsidRPr="003E5390">
        <w:rPr>
          <w:rFonts w:eastAsia="Times New Roman"/>
        </w:rPr>
        <w:t>1</w:t>
      </w:r>
      <w:r w:rsidRPr="00FE71DB">
        <w:rPr>
          <w:rFonts w:eastAsia="Times New Roman"/>
        </w:rPr>
        <w:t>):</w:t>
      </w:r>
      <w:r w:rsidRPr="003E5390">
        <w:rPr>
          <w:rFonts w:eastAsia="Times New Roman"/>
        </w:rPr>
        <w:t>26-32.</w:t>
      </w:r>
      <w:r w:rsidRPr="003E5390">
        <w:rPr>
          <w:rFonts w:eastAsia="Times New Roman"/>
          <w:i/>
        </w:rPr>
        <w:t xml:space="preserve"> (Здобувач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w:t>
      </w:r>
      <w:r w:rsidRPr="00AE5FD3">
        <w:rPr>
          <w:rFonts w:eastAsia="Times New Roman"/>
        </w:rPr>
        <w:t xml:space="preserve"> </w:t>
      </w:r>
      <w:r>
        <w:rPr>
          <w:rFonts w:eastAsia="Times New Roman"/>
        </w:rPr>
        <w:t>КМ</w:t>
      </w:r>
      <w:r w:rsidRPr="00AE5FD3">
        <w:rPr>
          <w:rFonts w:eastAsia="Times New Roman"/>
        </w:rPr>
        <w:t>,</w:t>
      </w:r>
      <w:r w:rsidRPr="003E5390">
        <w:rPr>
          <w:rFonts w:eastAsia="Times New Roman"/>
        </w:rPr>
        <w:t xml:space="preserve"> Кравчун</w:t>
      </w:r>
      <w:r w:rsidRPr="00AE5FD3">
        <w:rPr>
          <w:rFonts w:eastAsia="Times New Roman"/>
        </w:rPr>
        <w:t xml:space="preserve"> </w:t>
      </w:r>
      <w:r>
        <w:rPr>
          <w:rFonts w:eastAsia="Times New Roman"/>
        </w:rPr>
        <w:t>ПГ</w:t>
      </w:r>
      <w:r w:rsidRPr="003E5390">
        <w:rPr>
          <w:rFonts w:eastAsia="Times New Roman"/>
        </w:rPr>
        <w:t xml:space="preserve">, Риндіна </w:t>
      </w:r>
      <w:r>
        <w:rPr>
          <w:rFonts w:eastAsia="Times New Roman"/>
        </w:rPr>
        <w:t>НГ.</w:t>
      </w:r>
      <w:r w:rsidRPr="00AE5FD3">
        <w:rPr>
          <w:rFonts w:eastAsia="Times New Roman"/>
        </w:rPr>
        <w:t xml:space="preserve"> </w:t>
      </w:r>
      <w:r w:rsidRPr="003E5390">
        <w:rPr>
          <w:rFonts w:eastAsia="Times New Roman"/>
        </w:rPr>
        <w:t>Особливості ліпідограми, рівнів тропоніну та аналіз показників якості життя у хворих на Q-позитивний інфаркт міокарда з</w:t>
      </w:r>
      <w:r>
        <w:rPr>
          <w:rFonts w:eastAsia="Times New Roman"/>
        </w:rPr>
        <w:t>а наявності супутнього ожиріння</w:t>
      </w:r>
      <w:r w:rsidRPr="00AE5FD3">
        <w:rPr>
          <w:rFonts w:eastAsia="Times New Roman"/>
        </w:rPr>
        <w:t xml:space="preserve">. </w:t>
      </w:r>
      <w:r w:rsidRPr="003E5390">
        <w:rPr>
          <w:rFonts w:eastAsia="Times New Roman"/>
        </w:rPr>
        <w:t>Пробл</w:t>
      </w:r>
      <w:r w:rsidRPr="00AE5FD3">
        <w:rPr>
          <w:rFonts w:eastAsia="Times New Roman"/>
        </w:rPr>
        <w:t>.</w:t>
      </w:r>
      <w:r w:rsidRPr="003E5390">
        <w:rPr>
          <w:rFonts w:eastAsia="Times New Roman"/>
        </w:rPr>
        <w:t xml:space="preserve"> ендокрин</w:t>
      </w:r>
      <w:r w:rsidRPr="00AE5FD3">
        <w:rPr>
          <w:rFonts w:eastAsia="Times New Roman"/>
        </w:rPr>
        <w:t>.</w:t>
      </w:r>
      <w:r>
        <w:rPr>
          <w:rFonts w:eastAsia="Times New Roman"/>
        </w:rPr>
        <w:t xml:space="preserve"> патології. 2017</w:t>
      </w:r>
      <w:r w:rsidRPr="00FE71DB">
        <w:rPr>
          <w:rFonts w:eastAsia="Times New Roman"/>
        </w:rPr>
        <w:t>;(2):</w:t>
      </w:r>
      <w:r>
        <w:rPr>
          <w:rFonts w:eastAsia="Times New Roman"/>
        </w:rPr>
        <w:t>20-</w:t>
      </w:r>
      <w:r w:rsidRPr="003E5390">
        <w:rPr>
          <w:rFonts w:eastAsia="Times New Roman"/>
        </w:rPr>
        <w:t xml:space="preserve">6.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lastRenderedPageBreak/>
        <w:t>Боровик К</w:t>
      </w:r>
      <w:r w:rsidRPr="003E5390">
        <w:rPr>
          <w:rFonts w:eastAsia="Times New Roman"/>
        </w:rPr>
        <w:t>М. Фактори ризику розвитку повторних кардіоваскулярних подій у хворих протягом півроку після перенесеного гострого інфаркту міокарда за наявності ожиріння</w:t>
      </w:r>
      <w:r w:rsidRPr="00AE5FD3">
        <w:rPr>
          <w:rFonts w:eastAsia="Times New Roman"/>
        </w:rPr>
        <w:t>.</w:t>
      </w:r>
      <w:r w:rsidRPr="003E5390">
        <w:rPr>
          <w:rFonts w:eastAsia="Times New Roman"/>
        </w:rPr>
        <w:t xml:space="preserve"> Укр</w:t>
      </w:r>
      <w:r w:rsidRPr="00AE5FD3">
        <w:rPr>
          <w:rFonts w:eastAsia="Times New Roman"/>
        </w:rPr>
        <w:t>.</w:t>
      </w:r>
      <w:r w:rsidRPr="003E5390">
        <w:rPr>
          <w:rFonts w:eastAsia="Times New Roman"/>
        </w:rPr>
        <w:t xml:space="preserve"> журн</w:t>
      </w:r>
      <w:r w:rsidRPr="00AE5FD3">
        <w:rPr>
          <w:rFonts w:eastAsia="Times New Roman"/>
        </w:rPr>
        <w:t>.</w:t>
      </w:r>
      <w:r w:rsidRPr="003E5390">
        <w:rPr>
          <w:rFonts w:eastAsia="Times New Roman"/>
        </w:rPr>
        <w:t xml:space="preserve"> меди</w:t>
      </w:r>
      <w:r>
        <w:rPr>
          <w:rFonts w:eastAsia="Times New Roman"/>
        </w:rPr>
        <w:t>цини, біології та спорту. 2017</w:t>
      </w:r>
      <w:r w:rsidRPr="00FE71DB">
        <w:rPr>
          <w:rFonts w:eastAsia="Times New Roman"/>
        </w:rPr>
        <w:t>;(</w:t>
      </w:r>
      <w:r w:rsidRPr="003E5390">
        <w:rPr>
          <w:rFonts w:eastAsia="Times New Roman"/>
        </w:rPr>
        <w:t>6</w:t>
      </w:r>
      <w:r w:rsidRPr="00FE71DB">
        <w:rPr>
          <w:rFonts w:eastAsia="Times New Roman"/>
        </w:rPr>
        <w:t>):</w:t>
      </w:r>
      <w:r>
        <w:rPr>
          <w:rFonts w:eastAsia="Times New Roman"/>
        </w:rPr>
        <w:t>63-</w:t>
      </w:r>
      <w:r w:rsidRPr="003E5390">
        <w:rPr>
          <w:rFonts w:eastAsia="Times New Roman"/>
        </w:rPr>
        <w:t xml:space="preserve">7.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lang w:val="en-US"/>
        </w:rPr>
        <w:t>Borovyk K</w:t>
      </w:r>
      <w:r w:rsidRPr="003E5390">
        <w:rPr>
          <w:rFonts w:eastAsia="Times New Roman"/>
          <w:lang w:val="en-US"/>
        </w:rPr>
        <w:t>M</w:t>
      </w:r>
      <w:r>
        <w:rPr>
          <w:rFonts w:eastAsia="Times New Roman"/>
          <w:lang w:val="en-US"/>
        </w:rPr>
        <w:t>,</w:t>
      </w:r>
      <w:r w:rsidRPr="003E5390">
        <w:rPr>
          <w:rFonts w:eastAsia="Times New Roman"/>
          <w:lang w:val="en-US"/>
        </w:rPr>
        <w:t xml:space="preserve"> Kravchun</w:t>
      </w:r>
      <w:r w:rsidRPr="00471290">
        <w:rPr>
          <w:rFonts w:eastAsia="Times New Roman"/>
          <w:lang w:val="en-US"/>
        </w:rPr>
        <w:t xml:space="preserve"> </w:t>
      </w:r>
      <w:r>
        <w:rPr>
          <w:rFonts w:eastAsia="Times New Roman"/>
          <w:lang w:val="en-US"/>
        </w:rPr>
        <w:t>PG</w:t>
      </w:r>
      <w:r w:rsidRPr="003E5390">
        <w:rPr>
          <w:rFonts w:eastAsia="Times New Roman"/>
          <w:lang w:val="en-US"/>
        </w:rPr>
        <w:t xml:space="preserve">, Ryndina </w:t>
      </w:r>
      <w:r>
        <w:rPr>
          <w:rFonts w:eastAsia="Times New Roman"/>
          <w:lang w:val="en-US"/>
        </w:rPr>
        <w:t>N</w:t>
      </w:r>
      <w:r w:rsidRPr="003E5390">
        <w:rPr>
          <w:rFonts w:eastAsia="Times New Roman"/>
          <w:lang w:val="en-US"/>
        </w:rPr>
        <w:t>G. Forecasting of recurrent cardiovascular events in 6 months of monitoring of patients after acute myocardial infa</w:t>
      </w:r>
      <w:r>
        <w:rPr>
          <w:rFonts w:eastAsia="Times New Roman"/>
          <w:lang w:val="en-US"/>
        </w:rPr>
        <w:t xml:space="preserve">rction with concomitant obesity. </w:t>
      </w:r>
      <w:r w:rsidRPr="003E5390">
        <w:rPr>
          <w:rFonts w:eastAsia="Times New Roman"/>
          <w:lang w:val="en-US"/>
        </w:rPr>
        <w:t>Science</w:t>
      </w:r>
      <w:r w:rsidRPr="00FE71DB">
        <w:rPr>
          <w:rFonts w:eastAsia="Times New Roman"/>
        </w:rPr>
        <w:t xml:space="preserve"> </w:t>
      </w:r>
      <w:r w:rsidRPr="003E5390">
        <w:rPr>
          <w:rFonts w:eastAsia="Times New Roman"/>
          <w:lang w:val="en-US"/>
        </w:rPr>
        <w:t>Review</w:t>
      </w:r>
      <w:r w:rsidRPr="00FE71DB">
        <w:rPr>
          <w:rFonts w:eastAsia="Times New Roman"/>
        </w:rPr>
        <w:t xml:space="preserve">. </w:t>
      </w:r>
      <w:r>
        <w:rPr>
          <w:rFonts w:eastAsia="Times New Roman"/>
        </w:rPr>
        <w:t>2018</w:t>
      </w:r>
      <w:r w:rsidRPr="00FE71DB">
        <w:rPr>
          <w:rFonts w:eastAsia="Times New Roman"/>
        </w:rPr>
        <w:t>;(</w:t>
      </w:r>
      <w:r w:rsidRPr="003E5390">
        <w:rPr>
          <w:rFonts w:eastAsia="Times New Roman"/>
        </w:rPr>
        <w:t>1</w:t>
      </w:r>
      <w:r w:rsidRPr="00FE71DB">
        <w:rPr>
          <w:rFonts w:eastAsia="Times New Roman"/>
        </w:rPr>
        <w:t>):</w:t>
      </w:r>
      <w:r>
        <w:rPr>
          <w:rFonts w:eastAsia="Times New Roman"/>
        </w:rPr>
        <w:t>41-</w:t>
      </w:r>
      <w:r w:rsidRPr="003E5390">
        <w:rPr>
          <w:rFonts w:eastAsia="Times New Roman"/>
        </w:rPr>
        <w:t xml:space="preserve">5.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bCs/>
        </w:rPr>
      </w:pPr>
      <w:r w:rsidRPr="003E5390">
        <w:rPr>
          <w:rFonts w:eastAsia="Times New Roman"/>
          <w:lang w:val="en-US"/>
        </w:rPr>
        <w:t>Borovyk</w:t>
      </w:r>
      <w:r w:rsidRPr="003E5390">
        <w:rPr>
          <w:rFonts w:eastAsia="Times New Roman"/>
        </w:rPr>
        <w:t> </w:t>
      </w:r>
      <w:r>
        <w:rPr>
          <w:rFonts w:eastAsia="Times New Roman"/>
          <w:lang w:val="en-US"/>
        </w:rPr>
        <w:t>KM</w:t>
      </w:r>
      <w:r w:rsidRPr="00471290">
        <w:rPr>
          <w:rFonts w:eastAsia="Times New Roman"/>
          <w:lang w:val="en-US"/>
        </w:rPr>
        <w:t xml:space="preserve">, </w:t>
      </w:r>
      <w:r w:rsidRPr="003E5390">
        <w:rPr>
          <w:rFonts w:eastAsia="Times New Roman"/>
          <w:lang w:val="en-US"/>
        </w:rPr>
        <w:t>Kravchun</w:t>
      </w:r>
      <w:r w:rsidRPr="00471290">
        <w:rPr>
          <w:rFonts w:eastAsia="Times New Roman"/>
          <w:lang w:val="en-US"/>
        </w:rPr>
        <w:t xml:space="preserve"> </w:t>
      </w:r>
      <w:r>
        <w:rPr>
          <w:rFonts w:eastAsia="Times New Roman"/>
          <w:lang w:val="en-US"/>
        </w:rPr>
        <w:t>P</w:t>
      </w:r>
      <w:r w:rsidRPr="003E5390">
        <w:rPr>
          <w:rFonts w:eastAsia="Times New Roman"/>
          <w:lang w:val="en-US"/>
        </w:rPr>
        <w:t>G</w:t>
      </w:r>
      <w:r w:rsidRPr="00471290">
        <w:rPr>
          <w:rFonts w:eastAsia="Times New Roman"/>
          <w:lang w:val="en-US"/>
        </w:rPr>
        <w:t xml:space="preserve">, </w:t>
      </w:r>
      <w:r w:rsidRPr="003E5390">
        <w:rPr>
          <w:rFonts w:eastAsia="Times New Roman"/>
          <w:lang w:val="en-US"/>
        </w:rPr>
        <w:t>Ryndina</w:t>
      </w:r>
      <w:r w:rsidRPr="00471290">
        <w:rPr>
          <w:rFonts w:eastAsia="Times New Roman"/>
          <w:lang w:val="en-US"/>
        </w:rPr>
        <w:t xml:space="preserve"> </w:t>
      </w:r>
      <w:r>
        <w:rPr>
          <w:rFonts w:eastAsia="Times New Roman"/>
          <w:lang w:val="en-US"/>
        </w:rPr>
        <w:t>NG</w:t>
      </w:r>
      <w:r w:rsidRPr="00471290">
        <w:rPr>
          <w:rFonts w:eastAsia="Times New Roman"/>
          <w:lang w:val="en-US"/>
        </w:rPr>
        <w:t xml:space="preserve">, </w:t>
      </w:r>
      <w:r w:rsidRPr="003E5390">
        <w:rPr>
          <w:rFonts w:eastAsia="Times New Roman"/>
          <w:lang w:val="en-US"/>
        </w:rPr>
        <w:t>Tytova</w:t>
      </w:r>
      <w:r w:rsidRPr="00471290">
        <w:rPr>
          <w:rFonts w:eastAsia="Times New Roman"/>
          <w:lang w:val="en-US"/>
        </w:rPr>
        <w:t xml:space="preserve"> </w:t>
      </w:r>
      <w:r>
        <w:rPr>
          <w:rFonts w:eastAsia="Times New Roman"/>
          <w:lang w:val="en-US"/>
        </w:rPr>
        <w:t>GYu</w:t>
      </w:r>
      <w:r w:rsidRPr="00471290">
        <w:rPr>
          <w:rFonts w:eastAsia="Times New Roman"/>
          <w:lang w:val="en-US"/>
        </w:rPr>
        <w:t xml:space="preserve">, </w:t>
      </w:r>
      <w:r w:rsidRPr="003E5390">
        <w:rPr>
          <w:rFonts w:eastAsia="Times New Roman"/>
          <w:lang w:val="en-US"/>
        </w:rPr>
        <w:t>Yermak</w:t>
      </w:r>
      <w:r w:rsidRPr="00471290">
        <w:rPr>
          <w:rFonts w:eastAsia="Times New Roman"/>
          <w:lang w:val="en-US"/>
        </w:rPr>
        <w:t xml:space="preserve"> </w:t>
      </w:r>
      <w:r>
        <w:rPr>
          <w:rFonts w:eastAsia="Times New Roman"/>
          <w:lang w:val="en-US"/>
        </w:rPr>
        <w:t>O</w:t>
      </w:r>
      <w:r w:rsidRPr="003E5390">
        <w:rPr>
          <w:rFonts w:eastAsia="Times New Roman"/>
          <w:lang w:val="en-US"/>
        </w:rPr>
        <w:t>S</w:t>
      </w:r>
      <w:r w:rsidRPr="00471290">
        <w:rPr>
          <w:rFonts w:eastAsia="Times New Roman"/>
          <w:lang w:val="en-US"/>
        </w:rPr>
        <w:t xml:space="preserve">. </w:t>
      </w:r>
      <w:r w:rsidRPr="003E5390">
        <w:rPr>
          <w:rFonts w:eastAsia="Times New Roman"/>
          <w:lang w:val="en-US"/>
        </w:rPr>
        <w:t>Gensini score as a marker of the coronary artery atherosclerotic lesions severity and its relation with galectin-3 concentration in patients with acute myocardial i</w:t>
      </w:r>
      <w:r>
        <w:rPr>
          <w:rFonts w:eastAsia="Times New Roman"/>
          <w:lang w:val="en-US"/>
        </w:rPr>
        <w:t xml:space="preserve">nfarction and abdominal obesity. </w:t>
      </w:r>
      <w:r w:rsidRPr="003E5390">
        <w:rPr>
          <w:rFonts w:eastAsia="Times New Roman"/>
          <w:lang w:val="en-US"/>
        </w:rPr>
        <w:t>World</w:t>
      </w:r>
      <w:r w:rsidRPr="00FE71DB">
        <w:rPr>
          <w:rFonts w:eastAsia="Times New Roman"/>
        </w:rPr>
        <w:t xml:space="preserve"> </w:t>
      </w:r>
      <w:r w:rsidRPr="003E5390">
        <w:rPr>
          <w:rFonts w:eastAsia="Times New Roman"/>
          <w:lang w:val="en-US"/>
        </w:rPr>
        <w:t>Science</w:t>
      </w:r>
      <w:r w:rsidRPr="00FE71DB">
        <w:rPr>
          <w:rFonts w:eastAsia="Times New Roman"/>
        </w:rPr>
        <w:t xml:space="preserve">. </w:t>
      </w:r>
      <w:r w:rsidRPr="003E5390">
        <w:rPr>
          <w:rFonts w:eastAsia="Times New Roman"/>
        </w:rPr>
        <w:t>2018</w:t>
      </w:r>
      <w:r w:rsidRPr="00FE71DB">
        <w:rPr>
          <w:rFonts w:eastAsia="Times New Roman"/>
        </w:rPr>
        <w:t>;(</w:t>
      </w:r>
      <w:r w:rsidRPr="003E5390">
        <w:rPr>
          <w:rFonts w:eastAsia="Times New Roman"/>
        </w:rPr>
        <w:t>4</w:t>
      </w:r>
      <w:r w:rsidRPr="00FE71DB">
        <w:rPr>
          <w:rFonts w:eastAsia="Times New Roman"/>
        </w:rPr>
        <w:t>):</w:t>
      </w:r>
      <w:r>
        <w:rPr>
          <w:rFonts w:eastAsia="Times New Roman"/>
        </w:rPr>
        <w:t>22-</w:t>
      </w:r>
      <w:r w:rsidRPr="003E5390">
        <w:rPr>
          <w:rFonts w:eastAsia="Times New Roman"/>
        </w:rPr>
        <w:t xml:space="preserve">7.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bCs/>
        </w:rPr>
        <w:t xml:space="preserve">Боровик КМ, Риндіна НГ, Кравчун ПГ, винахідники; Харківський національний медичний університет, патентовласник. </w:t>
      </w:r>
      <w:r w:rsidRPr="00471290">
        <w:rPr>
          <w:rFonts w:eastAsia="Times New Roman"/>
          <w:bCs/>
        </w:rPr>
        <w:t>Спосіб прогнозування повторних кардіоваскулярних подій протягом 6-місячного терміну спостереження у хворих після перенесеного гострого інфаркту міокарда в поєднанні з ожирінням за рівне</w:t>
      </w:r>
      <w:r>
        <w:rPr>
          <w:rFonts w:eastAsia="Times New Roman"/>
          <w:bCs/>
        </w:rPr>
        <w:t>м вітронектину. Патент України</w:t>
      </w:r>
      <w:r w:rsidRPr="00471290">
        <w:rPr>
          <w:rFonts w:eastAsia="Times New Roman"/>
          <w:bCs/>
        </w:rPr>
        <w:t xml:space="preserve"> </w:t>
      </w:r>
      <w:r w:rsidRPr="00471290">
        <w:rPr>
          <w:rFonts w:eastAsia="Times New Roman"/>
          <w:bCs/>
          <w:lang w:val="en-US"/>
        </w:rPr>
        <w:t>U</w:t>
      </w:r>
      <w:r w:rsidRPr="00471290">
        <w:rPr>
          <w:rFonts w:eastAsia="Times New Roman"/>
          <w:bCs/>
        </w:rPr>
        <w:t>А 121305</w:t>
      </w:r>
      <w:r>
        <w:rPr>
          <w:rFonts w:eastAsia="Times New Roman"/>
          <w:bCs/>
        </w:rPr>
        <w:t xml:space="preserve"> U</w:t>
      </w:r>
      <w:r w:rsidRPr="00471290">
        <w:rPr>
          <w:rFonts w:eastAsia="Times New Roman"/>
          <w:bCs/>
        </w:rPr>
        <w:t xml:space="preserve">. 2017 Лист </w:t>
      </w:r>
      <w:r>
        <w:rPr>
          <w:rFonts w:eastAsia="Times New Roman"/>
          <w:bCs/>
        </w:rPr>
        <w:t>27.</w:t>
      </w:r>
      <w:r w:rsidRPr="00471290">
        <w:rPr>
          <w:rFonts w:eastAsia="Times New Roman"/>
          <w:i/>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заявки на патент).</w:t>
      </w:r>
    </w:p>
    <w:p w:rsidR="0066492B" w:rsidRPr="006267CA" w:rsidRDefault="0066492B" w:rsidP="0066492B">
      <w:pPr>
        <w:numPr>
          <w:ilvl w:val="0"/>
          <w:numId w:val="20"/>
        </w:numPr>
        <w:tabs>
          <w:tab w:val="left" w:pos="426"/>
        </w:tabs>
        <w:spacing w:after="0" w:line="360" w:lineRule="auto"/>
        <w:ind w:left="0" w:firstLine="709"/>
        <w:jc w:val="both"/>
        <w:rPr>
          <w:rFonts w:eastAsia="Times New Roman"/>
          <w:i/>
        </w:rPr>
      </w:pPr>
      <w:r w:rsidRPr="004D0003">
        <w:rPr>
          <w:rFonts w:eastAsia="Times New Roman"/>
          <w:bCs/>
        </w:rPr>
        <w:t xml:space="preserve">Боровик КМ, Риндіна НГ, Кравчун ПГ, винахідники; </w:t>
      </w:r>
      <w:r>
        <w:rPr>
          <w:rFonts w:eastAsia="Times New Roman"/>
          <w:bCs/>
        </w:rPr>
        <w:t>Харківський національний медичний університет</w:t>
      </w:r>
      <w:r w:rsidRPr="004D0003">
        <w:rPr>
          <w:rFonts w:eastAsia="Times New Roman"/>
          <w:bCs/>
        </w:rPr>
        <w:t xml:space="preserve"> патентовласник. Спосіб оцінки факторів ризику розвитку повторного інфаркту міокарда після перенесеного гострого коронарного синдрому з елевацією сегмента ST та ожирінням. Патент України </w:t>
      </w:r>
      <w:r w:rsidRPr="004D0003">
        <w:rPr>
          <w:rFonts w:eastAsia="Times New Roman"/>
          <w:bCs/>
          <w:lang w:val="en-US"/>
        </w:rPr>
        <w:t>U</w:t>
      </w:r>
      <w:r w:rsidRPr="004D0003">
        <w:rPr>
          <w:rFonts w:eastAsia="Times New Roman"/>
          <w:bCs/>
        </w:rPr>
        <w:t xml:space="preserve">А 123559. 2018 </w:t>
      </w:r>
      <w:r w:rsidRPr="004D0003">
        <w:rPr>
          <w:rFonts w:eastAsia="Times New Roman"/>
          <w:bCs/>
        </w:rPr>
        <w:lastRenderedPageBreak/>
        <w:t>Лют 26.</w:t>
      </w:r>
      <w:r w:rsidRPr="006267CA">
        <w:rPr>
          <w:rFonts w:eastAsia="Times New Roman"/>
          <w:bCs/>
        </w:rPr>
        <w:t xml:space="preserve"> </w:t>
      </w:r>
      <w:r w:rsidRPr="006267CA">
        <w:rPr>
          <w:rFonts w:eastAsia="Times New Roman"/>
          <w:i/>
        </w:rPr>
        <w:t>(Здобувач здійснила обстеження хворих, провела статистичну обробку та аналіз отриманих результатів, оформлення заявки на патент).</w:t>
      </w:r>
    </w:p>
    <w:p w:rsidR="0066492B" w:rsidRPr="00FE71DB"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8165A6">
        <w:rPr>
          <w:rFonts w:eastAsia="Times New Roman"/>
        </w:rPr>
        <w:t xml:space="preserve"> </w:t>
      </w:r>
      <w:r w:rsidRPr="003E5390">
        <w:rPr>
          <w:rFonts w:eastAsia="Times New Roman"/>
        </w:rPr>
        <w:t>Кравчун</w:t>
      </w:r>
      <w:r w:rsidRPr="008165A6">
        <w:rPr>
          <w:rFonts w:eastAsia="Times New Roman"/>
        </w:rPr>
        <w:t xml:space="preserve"> </w:t>
      </w:r>
      <w:r>
        <w:rPr>
          <w:rFonts w:eastAsia="Times New Roman"/>
        </w:rPr>
        <w:t>ПГ</w:t>
      </w:r>
      <w:r w:rsidRPr="003E5390">
        <w:rPr>
          <w:rFonts w:eastAsia="Times New Roman"/>
        </w:rPr>
        <w:t>, Рындина</w:t>
      </w:r>
      <w:r w:rsidRPr="008165A6">
        <w:rPr>
          <w:rFonts w:eastAsia="Times New Roman"/>
        </w:rPr>
        <w:t xml:space="preserve"> </w:t>
      </w:r>
      <w:r>
        <w:rPr>
          <w:rFonts w:eastAsia="Times New Roman"/>
        </w:rPr>
        <w:t>НГ</w:t>
      </w:r>
      <w:r w:rsidRPr="003E5390">
        <w:rPr>
          <w:rFonts w:eastAsia="Times New Roman"/>
        </w:rPr>
        <w:t>. Особенности эмоциональной составляющей качества жизни у больных с острым инфарктом мио</w:t>
      </w:r>
      <w:r>
        <w:rPr>
          <w:rFonts w:eastAsia="Times New Roman"/>
        </w:rPr>
        <w:t xml:space="preserve">карда и сопутствующим ожирением. В: </w:t>
      </w:r>
      <w:r w:rsidRPr="003E5390">
        <w:rPr>
          <w:rFonts w:eastAsia="Times New Roman"/>
        </w:rPr>
        <w:t xml:space="preserve">VəliYusifOğluAxundovun: 100 illikyubileyinə həsrhəsredilmiş elmi-praktikkonfransıntezislər. </w:t>
      </w:r>
      <w:r w:rsidRPr="00FE71DB">
        <w:rPr>
          <w:rFonts w:eastAsia="Times New Roman"/>
        </w:rPr>
        <w:t>Баку; 2016. с.</w:t>
      </w:r>
      <w:r w:rsidRPr="003E5390">
        <w:rPr>
          <w:rFonts w:eastAsia="Times New Roman"/>
        </w:rPr>
        <w:t> </w:t>
      </w:r>
      <w:r w:rsidRPr="00FE71DB">
        <w:rPr>
          <w:rFonts w:eastAsia="Times New Roman"/>
        </w:rPr>
        <w:t xml:space="preserve">91. </w:t>
      </w:r>
      <w:r w:rsidRPr="00FE71DB">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КМ,</w:t>
      </w:r>
      <w:r w:rsidRPr="003E5390">
        <w:rPr>
          <w:rFonts w:eastAsia="Times New Roman"/>
        </w:rPr>
        <w:t xml:space="preserve"> </w:t>
      </w:r>
      <w:r>
        <w:rPr>
          <w:rFonts w:eastAsia="Times New Roman"/>
        </w:rPr>
        <w:t>Риндіна НГ, Кравчун П</w:t>
      </w:r>
      <w:r w:rsidRPr="003E5390">
        <w:rPr>
          <w:rFonts w:eastAsia="Times New Roman"/>
        </w:rPr>
        <w:t>Г. Визначення ефектів галектину-3 на розвиток та прогресування перебігу гострого інфаркту міокарда у поєднанні з ожирінням</w:t>
      </w:r>
      <w:r>
        <w:rPr>
          <w:rFonts w:eastAsia="Times New Roman"/>
        </w:rPr>
        <w:t>.</w:t>
      </w:r>
      <w:r w:rsidRPr="003E5390">
        <w:rPr>
          <w:rFonts w:eastAsia="Times New Roman"/>
        </w:rPr>
        <w:t xml:space="preserve"> </w:t>
      </w:r>
      <w:r>
        <w:rPr>
          <w:rFonts w:eastAsia="Times New Roman"/>
        </w:rPr>
        <w:t xml:space="preserve">В: </w:t>
      </w:r>
      <w:r w:rsidRPr="003E5390">
        <w:rPr>
          <w:rFonts w:eastAsia="Times New Roman"/>
        </w:rPr>
        <w:t>Щорічні терапевтичні читання: лікувально-діагностичні технології сучасної терапії</w:t>
      </w:r>
      <w:r>
        <w:rPr>
          <w:rFonts w:eastAsia="Times New Roman"/>
        </w:rPr>
        <w:t>.</w:t>
      </w:r>
      <w:r w:rsidRPr="003E5390">
        <w:rPr>
          <w:rFonts w:eastAsia="Times New Roman"/>
        </w:rPr>
        <w:t xml:space="preserve"> </w:t>
      </w:r>
      <w:r>
        <w:rPr>
          <w:rFonts w:eastAsia="Times New Roman"/>
        </w:rPr>
        <w:t>М</w:t>
      </w:r>
      <w:r w:rsidRPr="003E5390">
        <w:rPr>
          <w:rFonts w:eastAsia="Times New Roman"/>
        </w:rPr>
        <w:t>атеріали науково-практичної конференції з міжнародною участю, присвяченої пам´яті академіка Л.</w:t>
      </w:r>
      <w:r>
        <w:rPr>
          <w:rFonts w:eastAsia="Times New Roman"/>
        </w:rPr>
        <w:t> </w:t>
      </w:r>
      <w:r w:rsidRPr="003E5390">
        <w:rPr>
          <w:rFonts w:eastAsia="Times New Roman"/>
        </w:rPr>
        <w:t>Т.</w:t>
      </w:r>
      <w:r>
        <w:rPr>
          <w:rFonts w:eastAsia="Times New Roman"/>
        </w:rPr>
        <w:t> </w:t>
      </w:r>
      <w:r w:rsidRPr="003E5390">
        <w:rPr>
          <w:rFonts w:eastAsia="Times New Roman"/>
        </w:rPr>
        <w:t>Малої</w:t>
      </w:r>
      <w:r>
        <w:rPr>
          <w:rFonts w:eastAsia="Times New Roman"/>
        </w:rPr>
        <w:t>. 2016 Квіт 25-26; Харків, Україна. Харків;</w:t>
      </w:r>
      <w:r w:rsidRPr="003E5390">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 xml:space="preserve">54.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43C4"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3E5390">
        <w:rPr>
          <w:rFonts w:eastAsia="Times New Roman"/>
        </w:rPr>
        <w:t xml:space="preserve"> Мухамедова </w:t>
      </w:r>
      <w:r>
        <w:rPr>
          <w:rFonts w:eastAsia="Times New Roman"/>
        </w:rPr>
        <w:t xml:space="preserve">Н. </w:t>
      </w:r>
      <w:r w:rsidRPr="003E5390">
        <w:rPr>
          <w:rFonts w:eastAsia="Times New Roman"/>
        </w:rPr>
        <w:t>Оценка качества жизни больных с острым инфарктом миокарда с сопутс</w:t>
      </w:r>
      <w:r>
        <w:rPr>
          <w:rFonts w:eastAsia="Times New Roman"/>
        </w:rPr>
        <w:t xml:space="preserve">твующим ожирением. В: </w:t>
      </w:r>
      <w:r w:rsidRPr="003E5390">
        <w:rPr>
          <w:rFonts w:eastAsia="Times New Roman"/>
        </w:rPr>
        <w:t>Медицинская наука: достижения и перспективы</w:t>
      </w:r>
      <w:r>
        <w:rPr>
          <w:rFonts w:eastAsia="Times New Roman"/>
        </w:rPr>
        <w:t>.</w:t>
      </w:r>
      <w:r w:rsidRPr="003E5390">
        <w:rPr>
          <w:rFonts w:eastAsia="Times New Roman"/>
        </w:rPr>
        <w:t xml:space="preserve"> </w:t>
      </w:r>
      <w:r>
        <w:rPr>
          <w:rFonts w:eastAsia="Times New Roman"/>
        </w:rPr>
        <w:t>М</w:t>
      </w:r>
      <w:r w:rsidRPr="003E5390">
        <w:rPr>
          <w:rFonts w:eastAsia="Times New Roman"/>
        </w:rPr>
        <w:t>атериалы XI научно-практической конференции молодых ученых и студентов ТГМУ им.</w:t>
      </w:r>
      <w:r>
        <w:rPr>
          <w:rFonts w:eastAsia="Times New Roman"/>
        </w:rPr>
        <w:t xml:space="preserve"> </w:t>
      </w:r>
      <w:r w:rsidRPr="003E5390">
        <w:rPr>
          <w:rFonts w:eastAsia="Times New Roman"/>
        </w:rPr>
        <w:t xml:space="preserve">Абуали ибни Сино с международным участием посвященная 25-летию государственной независимости Республики Таджикистан. </w:t>
      </w:r>
      <w:r>
        <w:rPr>
          <w:rFonts w:eastAsia="Times New Roman"/>
        </w:rPr>
        <w:t xml:space="preserve">2016 Апр 29; </w:t>
      </w:r>
      <w:r w:rsidRPr="003E43C4">
        <w:rPr>
          <w:rFonts w:eastAsia="Times New Roman"/>
        </w:rPr>
        <w:t>Душанбе</w:t>
      </w:r>
      <w:r>
        <w:rPr>
          <w:rFonts w:eastAsia="Times New Roman"/>
        </w:rPr>
        <w:t>, Таджикистан. Душанбе; 2016. с</w:t>
      </w:r>
      <w:r w:rsidRPr="003E43C4">
        <w:rPr>
          <w:rFonts w:eastAsia="Times New Roman"/>
        </w:rPr>
        <w:t>.</w:t>
      </w:r>
      <w:r>
        <w:rPr>
          <w:rFonts w:eastAsia="Times New Roman"/>
        </w:rPr>
        <w:t> </w:t>
      </w:r>
      <w:r w:rsidRPr="003E43C4">
        <w:rPr>
          <w:rFonts w:eastAsia="Times New Roman"/>
        </w:rPr>
        <w:t xml:space="preserve">19. </w:t>
      </w:r>
      <w:r w:rsidRPr="003E43C4">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sidRPr="003E43C4">
        <w:rPr>
          <w:rFonts w:eastAsia="Times New Roman"/>
        </w:rPr>
        <w:t>Боровик</w:t>
      </w:r>
      <w:r w:rsidRPr="003E5390">
        <w:rPr>
          <w:rFonts w:eastAsia="Times New Roman"/>
        </w:rPr>
        <w:t> </w:t>
      </w:r>
      <w:r>
        <w:rPr>
          <w:rFonts w:eastAsia="Times New Roman"/>
        </w:rPr>
        <w:t>КМ,</w:t>
      </w:r>
      <w:r w:rsidRPr="003E43C4">
        <w:rPr>
          <w:rFonts w:eastAsia="Times New Roman"/>
        </w:rPr>
        <w:t xml:space="preserve"> Риндіна </w:t>
      </w:r>
      <w:r>
        <w:rPr>
          <w:rFonts w:eastAsia="Times New Roman"/>
        </w:rPr>
        <w:t>НГ</w:t>
      </w:r>
      <w:r w:rsidRPr="003E43C4">
        <w:rPr>
          <w:rFonts w:eastAsia="Times New Roman"/>
        </w:rPr>
        <w:t xml:space="preserve">, Кравчун </w:t>
      </w:r>
      <w:r>
        <w:rPr>
          <w:rFonts w:eastAsia="Times New Roman"/>
        </w:rPr>
        <w:t>П</w:t>
      </w:r>
      <w:r w:rsidRPr="003E43C4">
        <w:rPr>
          <w:rFonts w:eastAsia="Times New Roman"/>
        </w:rPr>
        <w:t>Г.</w:t>
      </w:r>
      <w:r>
        <w:rPr>
          <w:rFonts w:eastAsia="Times New Roman"/>
        </w:rPr>
        <w:t xml:space="preserve"> </w:t>
      </w:r>
      <w:r w:rsidRPr="003E43C4">
        <w:rPr>
          <w:rFonts w:eastAsia="Times New Roman"/>
        </w:rPr>
        <w:t>Роль вітронектину та галектину-3 у розвитку та прогнозуванні перебігу гострого інфаркту м</w:t>
      </w:r>
      <w:r>
        <w:rPr>
          <w:rFonts w:eastAsia="Times New Roman"/>
        </w:rPr>
        <w:t xml:space="preserve">іокарда у поєднанні з ожирінням. В: </w:t>
      </w:r>
      <w:r w:rsidRPr="003E43C4">
        <w:rPr>
          <w:rFonts w:eastAsia="Times New Roman"/>
        </w:rPr>
        <w:t>Щорічні терапевтичні читання: лікувально-діагностичні технології сучасної терапії</w:t>
      </w:r>
      <w:r>
        <w:rPr>
          <w:rFonts w:eastAsia="Times New Roman"/>
        </w:rPr>
        <w:t>.</w:t>
      </w:r>
      <w:r w:rsidRPr="003E43C4">
        <w:rPr>
          <w:rFonts w:eastAsia="Times New Roman"/>
        </w:rPr>
        <w:t xml:space="preserve"> </w:t>
      </w:r>
      <w:r>
        <w:rPr>
          <w:rFonts w:eastAsia="Times New Roman"/>
        </w:rPr>
        <w:t>М</w:t>
      </w:r>
      <w:r w:rsidRPr="003E43C4">
        <w:rPr>
          <w:rFonts w:eastAsia="Times New Roman"/>
        </w:rPr>
        <w:t xml:space="preserve">атеріали науково-практичної конференції з міжнародною участю, </w:t>
      </w:r>
      <w:r w:rsidRPr="003E43C4">
        <w:rPr>
          <w:rFonts w:eastAsia="Times New Roman"/>
        </w:rPr>
        <w:lastRenderedPageBreak/>
        <w:t>присвяченої пам´яті академіка Л.</w:t>
      </w:r>
      <w:r>
        <w:rPr>
          <w:rFonts w:eastAsia="Times New Roman"/>
        </w:rPr>
        <w:t> </w:t>
      </w:r>
      <w:r w:rsidRPr="003E43C4">
        <w:rPr>
          <w:rFonts w:eastAsia="Times New Roman"/>
        </w:rPr>
        <w:t>Т.</w:t>
      </w:r>
      <w:r>
        <w:rPr>
          <w:rFonts w:eastAsia="Times New Roman"/>
        </w:rPr>
        <w:t> </w:t>
      </w:r>
      <w:r w:rsidRPr="003E43C4">
        <w:rPr>
          <w:rFonts w:eastAsia="Times New Roman"/>
        </w:rPr>
        <w:t xml:space="preserve">Малої. </w:t>
      </w:r>
      <w:r>
        <w:rPr>
          <w:rFonts w:eastAsia="Times New Roman"/>
        </w:rPr>
        <w:t>2016 Квіт 25-26; Харків, Україна. Харків;</w:t>
      </w:r>
      <w:r w:rsidRPr="003E5390">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5</w:t>
      </w:r>
      <w:r>
        <w:rPr>
          <w:rFonts w:eastAsia="Times New Roman"/>
        </w:rPr>
        <w:t>5</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КМ, Риндіна НГ.</w:t>
      </w:r>
      <w:r w:rsidRPr="003E5390">
        <w:rPr>
          <w:rFonts w:eastAsia="Times New Roman"/>
        </w:rPr>
        <w:t xml:space="preserve"> Визначення особливостей основних складових якості життя у хворих на гострий інфаркт міок</w:t>
      </w:r>
      <w:r>
        <w:rPr>
          <w:rFonts w:eastAsia="Times New Roman"/>
        </w:rPr>
        <w:t xml:space="preserve">арда на тлі супутнього ожиріння. В: </w:t>
      </w:r>
      <w:r w:rsidRPr="003E43C4">
        <w:rPr>
          <w:rFonts w:eastAsia="Times New Roman"/>
        </w:rPr>
        <w:t>Стратегії профілактики неінфекційних хвороб та шляхи їх реалізації: від постулатів минулого в майбутнє</w:t>
      </w:r>
      <w:r>
        <w:rPr>
          <w:rFonts w:eastAsia="Times New Roman"/>
        </w:rPr>
        <w:t>.</w:t>
      </w:r>
      <w:r w:rsidRPr="003E43C4">
        <w:rPr>
          <w:rFonts w:eastAsia="Times New Roman"/>
        </w:rPr>
        <w:t xml:space="preserve"> </w:t>
      </w:r>
      <w:r>
        <w:rPr>
          <w:rFonts w:eastAsia="Times New Roman"/>
        </w:rPr>
        <w:t>М</w:t>
      </w:r>
      <w:r w:rsidRPr="003E43C4">
        <w:rPr>
          <w:rFonts w:eastAsia="Times New Roman"/>
        </w:rPr>
        <w:t>атеріали науково-практичної конференції з міжнародною участю</w:t>
      </w:r>
      <w:r>
        <w:rPr>
          <w:rFonts w:eastAsia="Times New Roman"/>
        </w:rPr>
        <w:t xml:space="preserve">. 2016 Лист 4; Харків, Україна. </w:t>
      </w:r>
      <w:r w:rsidRPr="003E5390">
        <w:rPr>
          <w:rFonts w:eastAsia="Times New Roman"/>
        </w:rPr>
        <w:t>Харків</w:t>
      </w:r>
      <w:r>
        <w:rPr>
          <w:rFonts w:eastAsia="Times New Roman"/>
        </w:rPr>
        <w:t>;</w:t>
      </w:r>
      <w:r w:rsidRPr="003E5390">
        <w:rPr>
          <w:rFonts w:eastAsia="Times New Roman"/>
        </w:rPr>
        <w:t xml:space="preserve"> 2016. </w:t>
      </w:r>
      <w:r>
        <w:rPr>
          <w:rFonts w:eastAsia="Times New Roman"/>
        </w:rPr>
        <w:t>с</w:t>
      </w:r>
      <w:r w:rsidRPr="003E5390">
        <w:rPr>
          <w:rFonts w:eastAsia="Times New Roman"/>
        </w:rPr>
        <w:t xml:space="preserve">. 32.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4767F8"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3E5390">
        <w:rPr>
          <w:rFonts w:eastAsia="Times New Roman"/>
        </w:rPr>
        <w:t xml:space="preserve"> Кравчун</w:t>
      </w:r>
      <w:r w:rsidRPr="004767F8">
        <w:rPr>
          <w:rFonts w:eastAsia="Times New Roman"/>
        </w:rPr>
        <w:t xml:space="preserve"> </w:t>
      </w:r>
      <w:r>
        <w:rPr>
          <w:rFonts w:eastAsia="Times New Roman"/>
        </w:rPr>
        <w:t>ПГ</w:t>
      </w:r>
      <w:r w:rsidRPr="003E5390">
        <w:rPr>
          <w:rFonts w:eastAsia="Times New Roman"/>
        </w:rPr>
        <w:t xml:space="preserve">, Рындина </w:t>
      </w:r>
      <w:r>
        <w:rPr>
          <w:rFonts w:eastAsia="Times New Roman"/>
        </w:rPr>
        <w:t>Н</w:t>
      </w:r>
      <w:r w:rsidRPr="003E5390">
        <w:rPr>
          <w:rFonts w:eastAsia="Times New Roman"/>
        </w:rPr>
        <w:t>Г. Влияние физического и эмоционального компонента на качество жизни больных с коморбидной патологией остро</w:t>
      </w:r>
      <w:r>
        <w:rPr>
          <w:rFonts w:eastAsia="Times New Roman"/>
        </w:rPr>
        <w:t xml:space="preserve">го инфаркта миокарда и ожирения. В: </w:t>
      </w:r>
      <w:r w:rsidRPr="003E5390">
        <w:rPr>
          <w:rFonts w:eastAsia="Times New Roman"/>
        </w:rPr>
        <w:t>Метаболический синдром и современны</w:t>
      </w:r>
      <w:r>
        <w:rPr>
          <w:rFonts w:eastAsia="Times New Roman"/>
        </w:rPr>
        <w:t>е методы лечения дисметаболизма. Т</w:t>
      </w:r>
      <w:r w:rsidRPr="003E5390">
        <w:rPr>
          <w:rFonts w:eastAsia="Times New Roman"/>
        </w:rPr>
        <w:t>езисы Республиканской научно-практической конференции</w:t>
      </w:r>
      <w:r>
        <w:rPr>
          <w:rFonts w:eastAsia="Times New Roman"/>
        </w:rPr>
        <w:t>. 2016 Апр 15; Ташкент, Узбекистан. Ташкент; 2016</w:t>
      </w:r>
      <w:r w:rsidRPr="004767F8">
        <w:rPr>
          <w:rFonts w:eastAsia="Times New Roman"/>
        </w:rPr>
        <w:t xml:space="preserve">. </w:t>
      </w:r>
      <w:r>
        <w:rPr>
          <w:rFonts w:eastAsia="Times New Roman"/>
        </w:rPr>
        <w:t>с</w:t>
      </w:r>
      <w:r w:rsidRPr="004767F8">
        <w:rPr>
          <w:rFonts w:eastAsia="Times New Roman"/>
        </w:rPr>
        <w:t>.</w:t>
      </w:r>
      <w:r>
        <w:rPr>
          <w:rFonts w:eastAsia="Times New Roman"/>
        </w:rPr>
        <w:t> </w:t>
      </w:r>
      <w:r w:rsidRPr="004767F8">
        <w:rPr>
          <w:rFonts w:eastAsia="Times New Roman"/>
        </w:rPr>
        <w:t xml:space="preserve">21. </w:t>
      </w:r>
      <w:r w:rsidRPr="004767F8">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sidRPr="004767F8">
        <w:rPr>
          <w:rFonts w:eastAsia="Times New Roman"/>
        </w:rPr>
        <w:t>Боровик</w:t>
      </w:r>
      <w:r w:rsidRPr="003E5390">
        <w:rPr>
          <w:rFonts w:eastAsia="Times New Roman"/>
        </w:rPr>
        <w:t> </w:t>
      </w:r>
      <w:r>
        <w:rPr>
          <w:rFonts w:eastAsia="Times New Roman"/>
        </w:rPr>
        <w:t>К</w:t>
      </w:r>
      <w:r w:rsidRPr="004767F8">
        <w:rPr>
          <w:rFonts w:eastAsia="Times New Roman"/>
        </w:rPr>
        <w:t>М</w:t>
      </w:r>
      <w:r>
        <w:rPr>
          <w:rFonts w:eastAsia="Times New Roman"/>
        </w:rPr>
        <w:t>,</w:t>
      </w:r>
      <w:r w:rsidRPr="004767F8">
        <w:rPr>
          <w:rFonts w:eastAsia="Times New Roman"/>
        </w:rPr>
        <w:t xml:space="preserve"> </w:t>
      </w:r>
      <w:r w:rsidRPr="003E5390">
        <w:rPr>
          <w:rFonts w:eastAsia="Times New Roman"/>
        </w:rPr>
        <w:t>Риндіна</w:t>
      </w:r>
      <w:r w:rsidRPr="004767F8">
        <w:rPr>
          <w:rFonts w:eastAsia="Times New Roman"/>
        </w:rPr>
        <w:t xml:space="preserve"> </w:t>
      </w:r>
      <w:r w:rsidRPr="003E5390">
        <w:rPr>
          <w:rFonts w:eastAsia="Times New Roman"/>
        </w:rPr>
        <w:t>Н</w:t>
      </w:r>
      <w:r>
        <w:rPr>
          <w:rFonts w:eastAsia="Times New Roman"/>
        </w:rPr>
        <w:t>Г</w:t>
      </w:r>
      <w:r w:rsidRPr="003E5390">
        <w:rPr>
          <w:rFonts w:eastAsia="Times New Roman"/>
        </w:rPr>
        <w:t>, Кравчун</w:t>
      </w:r>
      <w:r w:rsidRPr="004767F8">
        <w:rPr>
          <w:rFonts w:eastAsia="Times New Roman"/>
        </w:rPr>
        <w:t xml:space="preserve"> </w:t>
      </w:r>
      <w:r>
        <w:rPr>
          <w:rFonts w:eastAsia="Times New Roman"/>
        </w:rPr>
        <w:t>ПГ</w:t>
      </w:r>
      <w:r w:rsidRPr="004767F8">
        <w:rPr>
          <w:rFonts w:eastAsia="Times New Roman"/>
        </w:rPr>
        <w:t>. Визначення ефектів вітронектину на розвиток та прогресування перебігу гострого інфаркту міокарда</w:t>
      </w:r>
      <w:r>
        <w:rPr>
          <w:rFonts w:eastAsia="Times New Roman"/>
        </w:rPr>
        <w:t xml:space="preserve"> у поєднанні з ожирінням. В: </w:t>
      </w:r>
      <w:r w:rsidRPr="004767F8">
        <w:rPr>
          <w:rFonts w:eastAsia="Times New Roman"/>
        </w:rPr>
        <w:t>Щорічні терапевтичні читання: лікувально-діагности</w:t>
      </w:r>
      <w:r>
        <w:rPr>
          <w:rFonts w:eastAsia="Times New Roman"/>
        </w:rPr>
        <w:t>чні технології сучасної терапії</w:t>
      </w:r>
      <w:r w:rsidRPr="00FE71DB">
        <w:rPr>
          <w:rFonts w:eastAsia="Times New Roman"/>
        </w:rPr>
        <w:t>.</w:t>
      </w:r>
      <w:r w:rsidRPr="004767F8">
        <w:rPr>
          <w:rFonts w:eastAsia="Times New Roman"/>
        </w:rPr>
        <w:t xml:space="preserve"> Матеріали науково-практичної конференції з міжнародною участю, присвяченої пам´яті академіка Л.</w:t>
      </w:r>
      <w:r>
        <w:rPr>
          <w:rFonts w:eastAsia="Times New Roman"/>
        </w:rPr>
        <w:t> </w:t>
      </w:r>
      <w:r w:rsidRPr="004767F8">
        <w:rPr>
          <w:rFonts w:eastAsia="Times New Roman"/>
        </w:rPr>
        <w:t>Т.</w:t>
      </w:r>
      <w:r w:rsidRPr="003E5390">
        <w:rPr>
          <w:rFonts w:eastAsia="Times New Roman"/>
        </w:rPr>
        <w:t> </w:t>
      </w:r>
      <w:r w:rsidRPr="004767F8">
        <w:rPr>
          <w:rFonts w:eastAsia="Times New Roman"/>
        </w:rPr>
        <w:t>Малої</w:t>
      </w:r>
      <w:r>
        <w:rPr>
          <w:rFonts w:eastAsia="Times New Roman"/>
        </w:rPr>
        <w:t>. 2016 Квіт 25-26; Харків, Україна. Харків;</w:t>
      </w:r>
      <w:r w:rsidRPr="003E5390">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5</w:t>
      </w:r>
      <w:r>
        <w:rPr>
          <w:rFonts w:eastAsia="Times New Roman"/>
        </w:rPr>
        <w:t>3</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3E5390">
        <w:rPr>
          <w:rFonts w:eastAsia="Times New Roman"/>
          <w:lang w:val="en-US"/>
        </w:rPr>
        <w:t>Borovyk</w:t>
      </w:r>
      <w:r w:rsidRPr="003E5390">
        <w:rPr>
          <w:rFonts w:eastAsia="Times New Roman"/>
        </w:rPr>
        <w:t> </w:t>
      </w:r>
      <w:r>
        <w:rPr>
          <w:rFonts w:eastAsia="Times New Roman"/>
          <w:lang w:val="en-US"/>
        </w:rPr>
        <w:t>K</w:t>
      </w:r>
      <w:r w:rsidRPr="00FE71DB">
        <w:rPr>
          <w:rFonts w:eastAsia="Times New Roman"/>
          <w:lang w:val="en-US"/>
        </w:rPr>
        <w:t>,</w:t>
      </w:r>
      <w:r w:rsidRPr="003E5390">
        <w:rPr>
          <w:rFonts w:eastAsia="Times New Roman"/>
          <w:lang w:val="en-US"/>
        </w:rPr>
        <w:t xml:space="preserve"> Saiika </w:t>
      </w:r>
      <w:r>
        <w:rPr>
          <w:rFonts w:eastAsia="Times New Roman"/>
          <w:lang w:val="en-US"/>
        </w:rPr>
        <w:t>A</w:t>
      </w:r>
      <w:r w:rsidRPr="003E5390">
        <w:rPr>
          <w:rFonts w:eastAsia="Times New Roman"/>
          <w:lang w:val="en-US"/>
        </w:rPr>
        <w:t>I.</w:t>
      </w:r>
      <w:r>
        <w:rPr>
          <w:rFonts w:eastAsia="Times New Roman"/>
        </w:rPr>
        <w:t xml:space="preserve"> </w:t>
      </w:r>
      <w:r w:rsidRPr="003E5390">
        <w:rPr>
          <w:rFonts w:eastAsia="Times New Roman"/>
          <w:lang w:val="en-US"/>
        </w:rPr>
        <w:t>The features of the quality of life in patients with acute myocardial inf</w:t>
      </w:r>
      <w:r>
        <w:rPr>
          <w:rFonts w:eastAsia="Times New Roman"/>
          <w:lang w:val="en-US"/>
        </w:rPr>
        <w:t>arction and concomitant obesity</w:t>
      </w:r>
      <w:r w:rsidRPr="00FE71DB">
        <w:rPr>
          <w:rFonts w:eastAsia="Times New Roman"/>
          <w:lang w:val="en-US"/>
        </w:rPr>
        <w:t xml:space="preserve">. </w:t>
      </w:r>
      <w:r>
        <w:rPr>
          <w:rFonts w:eastAsia="Times New Roman"/>
          <w:lang w:val="en-US"/>
        </w:rPr>
        <w:t xml:space="preserve">In: </w:t>
      </w:r>
      <w:r w:rsidRPr="003E5390">
        <w:rPr>
          <w:rFonts w:eastAsia="Times New Roman"/>
          <w:lang w:val="en-US"/>
        </w:rPr>
        <w:t>Actual problems of cl</w:t>
      </w:r>
      <w:r>
        <w:rPr>
          <w:rFonts w:eastAsia="Times New Roman"/>
          <w:lang w:val="en-US"/>
        </w:rPr>
        <w:t>inical and theoretical medicine</w:t>
      </w:r>
      <w:r w:rsidRPr="00FE71DB">
        <w:rPr>
          <w:rFonts w:eastAsia="Times New Roman"/>
          <w:lang w:val="en-US"/>
        </w:rPr>
        <w:t>.</w:t>
      </w:r>
      <w:r w:rsidRPr="003E5390">
        <w:rPr>
          <w:rFonts w:eastAsia="Times New Roman"/>
          <w:lang w:val="en-US"/>
        </w:rPr>
        <w:t xml:space="preserve"> Materials of IX International Interdisciplinary Scientific Conference </w:t>
      </w:r>
      <w:r w:rsidRPr="003E5390">
        <w:rPr>
          <w:rFonts w:eastAsia="Times New Roman"/>
          <w:lang w:val="en-US"/>
        </w:rPr>
        <w:lastRenderedPageBreak/>
        <w:t>of Young Scientists and m</w:t>
      </w:r>
      <w:r>
        <w:rPr>
          <w:rFonts w:eastAsia="Times New Roman"/>
          <w:lang w:val="en-US"/>
        </w:rPr>
        <w:t>edical students</w:t>
      </w:r>
      <w:r w:rsidRPr="00FE71DB">
        <w:rPr>
          <w:rFonts w:eastAsia="Times New Roman"/>
          <w:lang w:val="en-US"/>
        </w:rPr>
        <w:t xml:space="preserve">; </w:t>
      </w:r>
      <w:r>
        <w:rPr>
          <w:rFonts w:eastAsia="Times New Roman"/>
          <w:lang w:val="en-US"/>
        </w:rPr>
        <w:t xml:space="preserve">2016 Apr 25-26; </w:t>
      </w:r>
      <w:r w:rsidRPr="003E5390">
        <w:rPr>
          <w:rFonts w:eastAsia="Times New Roman"/>
        </w:rPr>
        <w:t>Kharkiv</w:t>
      </w:r>
      <w:r>
        <w:rPr>
          <w:rFonts w:eastAsia="Times New Roman"/>
        </w:rPr>
        <w:t xml:space="preserve">, </w:t>
      </w:r>
      <w:r w:rsidRPr="005F31E6">
        <w:rPr>
          <w:rFonts w:eastAsia="Times New Roman"/>
          <w:lang w:val="en-US"/>
        </w:rPr>
        <w:t>Ukraine</w:t>
      </w:r>
      <w:r>
        <w:rPr>
          <w:rFonts w:eastAsia="Times New Roman"/>
          <w:lang w:val="en-US"/>
        </w:rPr>
        <w:t xml:space="preserve">. </w:t>
      </w:r>
      <w:r w:rsidRPr="003E5390">
        <w:rPr>
          <w:rFonts w:eastAsia="Times New Roman"/>
          <w:lang w:val="en-US"/>
        </w:rPr>
        <w:t>Kharkiv</w:t>
      </w:r>
      <w:r w:rsidRPr="00195477">
        <w:rPr>
          <w:rFonts w:eastAsia="Times New Roman"/>
        </w:rPr>
        <w:t xml:space="preserve">; 2016. </w:t>
      </w:r>
      <w:r>
        <w:rPr>
          <w:rFonts w:eastAsia="Times New Roman"/>
          <w:lang w:val="en-US"/>
        </w:rPr>
        <w:t>p</w:t>
      </w:r>
      <w:r w:rsidRPr="00195477">
        <w:rPr>
          <w:rFonts w:eastAsia="Times New Roman"/>
        </w:rPr>
        <w:t>.</w:t>
      </w:r>
      <w:r>
        <w:rPr>
          <w:rFonts w:eastAsia="Times New Roman"/>
          <w:lang w:val="en-US"/>
        </w:rPr>
        <w:t> </w:t>
      </w:r>
      <w:r w:rsidRPr="00195477">
        <w:rPr>
          <w:rFonts w:eastAsia="Times New Roman"/>
        </w:rPr>
        <w:t xml:space="preserve">317. </w:t>
      </w:r>
      <w:r w:rsidRPr="00195477">
        <w:rPr>
          <w:rFonts w:eastAsia="Times New Roman"/>
          <w:i/>
        </w:rPr>
        <w:t>(</w:t>
      </w:r>
      <w:r w:rsidRPr="003E5390">
        <w:rPr>
          <w:rFonts w:eastAsia="Times New Roman"/>
          <w:i/>
        </w:rPr>
        <w:t>Здобувач</w:t>
      </w:r>
      <w:r w:rsidRPr="00195477">
        <w:rPr>
          <w:rFonts w:eastAsia="Times New Roman"/>
          <w:i/>
        </w:rPr>
        <w:t xml:space="preserve"> </w:t>
      </w:r>
      <w:r w:rsidRPr="003E5390">
        <w:rPr>
          <w:rFonts w:eastAsia="Times New Roman"/>
          <w:i/>
        </w:rPr>
        <w:t>здійснила</w:t>
      </w:r>
      <w:r w:rsidRPr="00195477">
        <w:rPr>
          <w:rFonts w:eastAsia="Times New Roman"/>
          <w:i/>
        </w:rPr>
        <w:t xml:space="preserve"> </w:t>
      </w:r>
      <w:r w:rsidRPr="003E5390">
        <w:rPr>
          <w:rFonts w:eastAsia="Times New Roman"/>
          <w:i/>
        </w:rPr>
        <w:t>обстеження</w:t>
      </w:r>
      <w:r w:rsidRPr="00195477">
        <w:rPr>
          <w:rFonts w:eastAsia="Times New Roman"/>
          <w:i/>
        </w:rPr>
        <w:t xml:space="preserve"> </w:t>
      </w:r>
      <w:r w:rsidRPr="003E5390">
        <w:rPr>
          <w:rFonts w:eastAsia="Times New Roman"/>
          <w:i/>
        </w:rPr>
        <w:t>хворих</w:t>
      </w:r>
      <w:r w:rsidRPr="00195477">
        <w:rPr>
          <w:rFonts w:eastAsia="Times New Roman"/>
          <w:i/>
        </w:rPr>
        <w:t xml:space="preserve">, </w:t>
      </w:r>
      <w:r w:rsidRPr="003E5390">
        <w:rPr>
          <w:rFonts w:eastAsia="Times New Roman"/>
          <w:i/>
        </w:rPr>
        <w:t>провела</w:t>
      </w:r>
      <w:r w:rsidRPr="00195477">
        <w:rPr>
          <w:rFonts w:eastAsia="Times New Roman"/>
          <w:i/>
        </w:rPr>
        <w:t xml:space="preserve"> </w:t>
      </w:r>
      <w:r w:rsidRPr="003E5390">
        <w:rPr>
          <w:rFonts w:eastAsia="Times New Roman"/>
          <w:i/>
        </w:rPr>
        <w:t>статистичну</w:t>
      </w:r>
      <w:r w:rsidRPr="00195477">
        <w:rPr>
          <w:rFonts w:eastAsia="Times New Roman"/>
          <w:i/>
        </w:rPr>
        <w:t xml:space="preserve"> </w:t>
      </w:r>
      <w:r w:rsidRPr="003E5390">
        <w:rPr>
          <w:rFonts w:eastAsia="Times New Roman"/>
          <w:i/>
        </w:rPr>
        <w:t>обробку</w:t>
      </w:r>
      <w:r w:rsidRPr="00195477">
        <w:rPr>
          <w:rFonts w:eastAsia="Times New Roman"/>
          <w:i/>
        </w:rPr>
        <w:t xml:space="preserve"> </w:t>
      </w:r>
      <w:r w:rsidRPr="003E5390">
        <w:rPr>
          <w:rFonts w:eastAsia="Times New Roman"/>
          <w:i/>
        </w:rPr>
        <w:t>та</w:t>
      </w:r>
      <w:r w:rsidRPr="00195477">
        <w:rPr>
          <w:rFonts w:eastAsia="Times New Roman"/>
          <w:i/>
        </w:rPr>
        <w:t xml:space="preserve"> </w:t>
      </w:r>
      <w:r w:rsidRPr="003E5390">
        <w:rPr>
          <w:rFonts w:eastAsia="Times New Roman"/>
          <w:i/>
        </w:rPr>
        <w:t>аналіз</w:t>
      </w:r>
      <w:r w:rsidRPr="00195477">
        <w:rPr>
          <w:rFonts w:eastAsia="Times New Roman"/>
          <w:i/>
        </w:rPr>
        <w:t xml:space="preserve"> </w:t>
      </w:r>
      <w:r w:rsidRPr="003E5390">
        <w:rPr>
          <w:rFonts w:eastAsia="Times New Roman"/>
          <w:i/>
        </w:rPr>
        <w:t>отриманих</w:t>
      </w:r>
      <w:r w:rsidRPr="00195477">
        <w:rPr>
          <w:rFonts w:eastAsia="Times New Roman"/>
          <w:i/>
        </w:rPr>
        <w:t xml:space="preserve"> </w:t>
      </w:r>
      <w:r w:rsidRPr="003E5390">
        <w:rPr>
          <w:rFonts w:eastAsia="Times New Roman"/>
          <w:i/>
        </w:rPr>
        <w:t>результатів</w:t>
      </w:r>
      <w:r w:rsidRPr="00195477">
        <w:rPr>
          <w:rFonts w:eastAsia="Times New Roman"/>
          <w:i/>
        </w:rPr>
        <w:t xml:space="preserve">, </w:t>
      </w:r>
      <w:r w:rsidRPr="003E5390">
        <w:rPr>
          <w:rFonts w:eastAsia="Times New Roman"/>
          <w:i/>
        </w:rPr>
        <w:t>оформлення</w:t>
      </w:r>
      <w:r w:rsidRPr="00195477">
        <w:rPr>
          <w:rFonts w:eastAsia="Times New Roman"/>
          <w:i/>
        </w:rPr>
        <w:t xml:space="preserve"> </w:t>
      </w:r>
      <w:r w:rsidRPr="003E5390">
        <w:rPr>
          <w:rFonts w:eastAsia="Times New Roman"/>
          <w:i/>
        </w:rPr>
        <w:t>тез</w:t>
      </w:r>
      <w:r w:rsidRPr="00195477">
        <w:rPr>
          <w:rFonts w:eastAsia="Times New Roman"/>
          <w:i/>
        </w:rPr>
        <w:t>).</w:t>
      </w:r>
    </w:p>
    <w:p w:rsidR="0066492B" w:rsidRPr="00FE71DB"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w:t>
      </w:r>
      <w:r w:rsidRPr="003E5390">
        <w:rPr>
          <w:rFonts w:eastAsia="Times New Roman"/>
        </w:rPr>
        <w:t>М</w:t>
      </w:r>
      <w:r>
        <w:rPr>
          <w:rFonts w:eastAsia="Times New Roman"/>
        </w:rPr>
        <w:t>,</w:t>
      </w:r>
      <w:r w:rsidRPr="003E5390">
        <w:rPr>
          <w:rFonts w:eastAsia="Times New Roman"/>
        </w:rPr>
        <w:t xml:space="preserve"> Кравчун</w:t>
      </w:r>
      <w:r>
        <w:rPr>
          <w:rFonts w:eastAsia="Times New Roman"/>
        </w:rPr>
        <w:t xml:space="preserve"> ПГ, </w:t>
      </w:r>
      <w:r w:rsidRPr="003E5390">
        <w:rPr>
          <w:rFonts w:eastAsia="Times New Roman"/>
        </w:rPr>
        <w:t>Риндіна</w:t>
      </w:r>
      <w:r>
        <w:rPr>
          <w:rFonts w:eastAsia="Times New Roman"/>
        </w:rPr>
        <w:t xml:space="preserve"> НГ.</w:t>
      </w:r>
      <w:r w:rsidRPr="003E5390">
        <w:rPr>
          <w:rFonts w:eastAsia="Times New Roman"/>
        </w:rPr>
        <w:t xml:space="preserve"> Вплив вітронектину та галектину-3 на розвиток та прогнозування перебігу гострого інфаркту м</w:t>
      </w:r>
      <w:r>
        <w:rPr>
          <w:rFonts w:eastAsia="Times New Roman"/>
        </w:rPr>
        <w:t xml:space="preserve">іокарда у поєднанні з ожирінням. В: </w:t>
      </w:r>
      <w:r w:rsidRPr="003E5390">
        <w:rPr>
          <w:rFonts w:eastAsia="Times New Roman"/>
        </w:rPr>
        <w:t>Досягнення та перспективи експериментальної та клінічної ендокринології</w:t>
      </w:r>
      <w:r>
        <w:rPr>
          <w:rFonts w:eastAsia="Times New Roman"/>
        </w:rPr>
        <w:t>.</w:t>
      </w:r>
      <w:r w:rsidRPr="003E5390">
        <w:rPr>
          <w:rFonts w:eastAsia="Times New Roman"/>
        </w:rPr>
        <w:t xml:space="preserve"> </w:t>
      </w:r>
      <w:r w:rsidRPr="00FE71DB">
        <w:rPr>
          <w:rFonts w:eastAsia="Times New Roman"/>
        </w:rPr>
        <w:t>П’ятнадцяті Данілевські читання</w:t>
      </w:r>
      <w:r>
        <w:rPr>
          <w:rFonts w:eastAsia="Times New Roman"/>
        </w:rPr>
        <w:t>. М</w:t>
      </w:r>
      <w:r w:rsidRPr="003E5390">
        <w:rPr>
          <w:rFonts w:eastAsia="Times New Roman"/>
        </w:rPr>
        <w:t>атеріали науково-практичної к</w:t>
      </w:r>
      <w:r>
        <w:rPr>
          <w:rFonts w:eastAsia="Times New Roman"/>
        </w:rPr>
        <w:t>онференції з міжнародною участю. 2016 Бер 10-11; Харків, Україна. Харків;</w:t>
      </w:r>
      <w:r w:rsidRPr="00FE71DB">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3</w:t>
      </w:r>
      <w:r w:rsidRPr="00FE71DB">
        <w:rPr>
          <w:rFonts w:eastAsia="Times New Roman"/>
        </w:rPr>
        <w:t xml:space="preserve">5. </w:t>
      </w:r>
      <w:r w:rsidRPr="00FE71DB">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КМ,</w:t>
      </w:r>
      <w:r w:rsidRPr="00FE71DB">
        <w:rPr>
          <w:rFonts w:eastAsia="Times New Roman"/>
        </w:rPr>
        <w:t xml:space="preserve"> </w:t>
      </w:r>
      <w:r w:rsidRPr="006F01AF">
        <w:rPr>
          <w:rFonts w:eastAsia="Times New Roman"/>
        </w:rPr>
        <w:t xml:space="preserve">Пайміна </w:t>
      </w:r>
      <w:r>
        <w:rPr>
          <w:rFonts w:eastAsia="Times New Roman"/>
        </w:rPr>
        <w:t>І</w:t>
      </w:r>
      <w:r w:rsidRPr="006F01AF">
        <w:rPr>
          <w:rFonts w:eastAsia="Times New Roman"/>
        </w:rPr>
        <w:t xml:space="preserve">С. </w:t>
      </w:r>
      <w:r w:rsidRPr="00FE71DB">
        <w:rPr>
          <w:rFonts w:eastAsia="Times New Roman"/>
        </w:rPr>
        <w:t>З</w:t>
      </w:r>
      <w:r>
        <w:rPr>
          <w:rFonts w:eastAsia="Times New Roman"/>
        </w:rPr>
        <w:t>міни активності вітронектинемії</w:t>
      </w:r>
      <w:r w:rsidRPr="00FE71DB">
        <w:rPr>
          <w:rFonts w:eastAsia="Times New Roman"/>
        </w:rPr>
        <w:t xml:space="preserve"> у хворих на гострий інфаркт міокарда на тлі супутнього ожиріння з урахуванням ти</w:t>
      </w:r>
      <w:r w:rsidRPr="006F01AF">
        <w:rPr>
          <w:rFonts w:eastAsia="Times New Roman"/>
        </w:rPr>
        <w:t xml:space="preserve">пу </w:t>
      </w:r>
      <w:r>
        <w:rPr>
          <w:rFonts w:eastAsia="Times New Roman"/>
        </w:rPr>
        <w:t xml:space="preserve">розподілу жирової тканини. В: </w:t>
      </w:r>
      <w:r w:rsidRPr="006F01AF">
        <w:rPr>
          <w:rFonts w:eastAsia="Times New Roman"/>
        </w:rPr>
        <w:t>Медицина третього тисячоліття</w:t>
      </w:r>
      <w:r>
        <w:rPr>
          <w:rFonts w:eastAsia="Times New Roman"/>
        </w:rPr>
        <w:t>.</w:t>
      </w:r>
      <w:r w:rsidRPr="006F01AF">
        <w:rPr>
          <w:rFonts w:eastAsia="Times New Roman"/>
        </w:rPr>
        <w:t xml:space="preserve"> </w:t>
      </w:r>
      <w:r>
        <w:rPr>
          <w:rFonts w:eastAsia="Times New Roman"/>
        </w:rPr>
        <w:t>З</w:t>
      </w:r>
      <w:r w:rsidRPr="006F01AF">
        <w:rPr>
          <w:rFonts w:eastAsia="Times New Roman"/>
        </w:rPr>
        <w:t>бірник тез міжвузівської конферен</w:t>
      </w:r>
      <w:r>
        <w:rPr>
          <w:rFonts w:eastAsia="Times New Roman"/>
        </w:rPr>
        <w:t>ції молодих вчених та студентів; 2017 Січ 16-17; Харків, Україна. Харків;</w:t>
      </w:r>
      <w:r w:rsidRPr="003E5390">
        <w:rPr>
          <w:rFonts w:eastAsia="Times New Roman"/>
        </w:rPr>
        <w:t xml:space="preserve"> 2017. </w:t>
      </w:r>
      <w:r>
        <w:rPr>
          <w:rFonts w:eastAsia="Times New Roman"/>
        </w:rPr>
        <w:t>с</w:t>
      </w:r>
      <w:r w:rsidRPr="003E5390">
        <w:rPr>
          <w:rFonts w:eastAsia="Times New Roman"/>
        </w:rPr>
        <w:t>. 105.</w:t>
      </w:r>
      <w:r w:rsidRPr="003E5390">
        <w:rPr>
          <w:rFonts w:eastAsia="Times New Roman"/>
          <w:i/>
        </w:rPr>
        <w:t xml:space="preserve"> (Здобувач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ЕН, Рындина НГ.</w:t>
      </w:r>
      <w:r w:rsidRPr="003E5390">
        <w:rPr>
          <w:rFonts w:eastAsia="Times New Roman"/>
        </w:rPr>
        <w:t xml:space="preserve"> Взаимосвязь концентрации витронектина с индексом массы тела у больных с острым инфарктом миокарда </w:t>
      </w:r>
      <w:r>
        <w:rPr>
          <w:rFonts w:eastAsia="Times New Roman"/>
        </w:rPr>
        <w:t xml:space="preserve">и ожирением абдоминального типа. В: </w:t>
      </w:r>
      <w:r w:rsidRPr="003E5390">
        <w:rPr>
          <w:rFonts w:eastAsia="Times New Roman"/>
        </w:rPr>
        <w:t>Метаболический синдром и другие категории дисметаболизма в различных областях медицины</w:t>
      </w:r>
      <w:r>
        <w:rPr>
          <w:rFonts w:eastAsia="Times New Roman"/>
        </w:rPr>
        <w:t>. Т</w:t>
      </w:r>
      <w:r w:rsidRPr="003E5390">
        <w:rPr>
          <w:rFonts w:eastAsia="Times New Roman"/>
        </w:rPr>
        <w:t xml:space="preserve">езисы Республиканской </w:t>
      </w:r>
      <w:r>
        <w:rPr>
          <w:rFonts w:eastAsia="Times New Roman"/>
        </w:rPr>
        <w:t>научно-практической конференции; 2017 Апр13; Ташкент, Узбекистан. Ташкент; 2017. с</w:t>
      </w:r>
      <w:r w:rsidRPr="003E5390">
        <w:rPr>
          <w:rFonts w:eastAsia="Times New Roman"/>
        </w:rPr>
        <w:t xml:space="preserve">. 32. </w:t>
      </w:r>
      <w:r w:rsidRPr="003E5390">
        <w:rPr>
          <w:rFonts w:eastAsia="Times New Roman"/>
          <w:i/>
        </w:rPr>
        <w:t xml:space="preserve">(Здобувач здійснила 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w:t>
      </w:r>
      <w:r w:rsidRPr="003E5390">
        <w:rPr>
          <w:rFonts w:eastAsia="Times New Roman"/>
        </w:rPr>
        <w:t>М</w:t>
      </w:r>
      <w:r>
        <w:rPr>
          <w:rFonts w:eastAsia="Times New Roman"/>
        </w:rPr>
        <w:t>, Риндіна НГ</w:t>
      </w:r>
      <w:r w:rsidRPr="003E5390">
        <w:rPr>
          <w:rFonts w:eastAsia="Times New Roman"/>
        </w:rPr>
        <w:t>. Аналіз показників антропометрії та вітронектинемії у хворих на гострий інфарк</w:t>
      </w:r>
      <w:r>
        <w:rPr>
          <w:rFonts w:eastAsia="Times New Roman"/>
        </w:rPr>
        <w:t xml:space="preserve">т міокарда з супутнім ожирінням. В: </w:t>
      </w:r>
      <w:r w:rsidRPr="006F01AF">
        <w:rPr>
          <w:rFonts w:eastAsia="Times New Roman"/>
        </w:rPr>
        <w:t>Матеріали 78-ї загальноуніверситетської наукової конференції студентів та молодих вчених</w:t>
      </w:r>
      <w:r>
        <w:rPr>
          <w:rFonts w:eastAsia="Times New Roman"/>
        </w:rPr>
        <w:t xml:space="preserve">; 2017 Квіт 26-28; Львів, Україна. </w:t>
      </w:r>
      <w:r w:rsidRPr="006F01AF">
        <w:rPr>
          <w:rFonts w:eastAsia="Times New Roman"/>
        </w:rPr>
        <w:t>Львів</w:t>
      </w:r>
      <w:r>
        <w:rPr>
          <w:rFonts w:eastAsia="Times New Roman"/>
        </w:rPr>
        <w:t>;</w:t>
      </w:r>
      <w:r w:rsidRPr="003E5390">
        <w:rPr>
          <w:rFonts w:eastAsia="Times New Roman"/>
        </w:rPr>
        <w:t xml:space="preserve"> 2017</w:t>
      </w:r>
      <w:r w:rsidRPr="006F01AF">
        <w:rPr>
          <w:rFonts w:eastAsia="Times New Roman"/>
        </w:rPr>
        <w:t>.</w:t>
      </w:r>
      <w:r w:rsidRPr="003E5390">
        <w:rPr>
          <w:rFonts w:eastAsia="Times New Roman"/>
        </w:rPr>
        <w:t xml:space="preserve"> </w:t>
      </w:r>
      <w:r>
        <w:rPr>
          <w:rFonts w:eastAsia="Times New Roman"/>
        </w:rPr>
        <w:t>с</w:t>
      </w:r>
      <w:r w:rsidRPr="003E5390">
        <w:rPr>
          <w:rFonts w:eastAsia="Times New Roman"/>
        </w:rPr>
        <w:t>.</w:t>
      </w:r>
      <w:r>
        <w:rPr>
          <w:rFonts w:eastAsia="Times New Roman"/>
        </w:rPr>
        <w:t> </w:t>
      </w:r>
      <w:r w:rsidRPr="003E5390">
        <w:rPr>
          <w:rFonts w:eastAsia="Times New Roman"/>
        </w:rPr>
        <w:t xml:space="preserve">11-12. </w:t>
      </w:r>
      <w:r w:rsidRPr="003E5390">
        <w:rPr>
          <w:rFonts w:eastAsia="Times New Roman"/>
          <w:i/>
        </w:rPr>
        <w:t xml:space="preserve">(Здобувач здійснила </w:t>
      </w:r>
      <w:r w:rsidRPr="003E5390">
        <w:rPr>
          <w:rFonts w:eastAsia="Times New Roman"/>
          <w:i/>
        </w:rPr>
        <w:lastRenderedPageBreak/>
        <w:t xml:space="preserve">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3E5390">
        <w:rPr>
          <w:rFonts w:eastAsia="Times New Roman"/>
          <w:lang w:val="en-US"/>
        </w:rPr>
        <w:t>Borovyk</w:t>
      </w:r>
      <w:r w:rsidRPr="003E5390">
        <w:rPr>
          <w:rFonts w:eastAsia="Times New Roman"/>
        </w:rPr>
        <w:t> </w:t>
      </w:r>
      <w:r>
        <w:rPr>
          <w:rFonts w:eastAsia="Times New Roman"/>
          <w:lang w:val="en-US"/>
        </w:rPr>
        <w:t>K</w:t>
      </w:r>
      <w:r w:rsidRPr="003E5390">
        <w:rPr>
          <w:rFonts w:eastAsia="Times New Roman"/>
          <w:lang w:val="en-US"/>
        </w:rPr>
        <w:t>M</w:t>
      </w:r>
      <w:r>
        <w:rPr>
          <w:rFonts w:eastAsia="Times New Roman"/>
        </w:rPr>
        <w:t>,</w:t>
      </w:r>
      <w:r w:rsidRPr="006F01AF">
        <w:rPr>
          <w:rFonts w:eastAsia="Times New Roman"/>
          <w:lang w:val="en-US"/>
        </w:rPr>
        <w:t xml:space="preserve"> </w:t>
      </w:r>
      <w:r w:rsidRPr="003E5390">
        <w:rPr>
          <w:rFonts w:eastAsia="Times New Roman"/>
          <w:lang w:val="en-US"/>
        </w:rPr>
        <w:t>Koteliukh</w:t>
      </w:r>
      <w:r w:rsidRPr="006F01AF">
        <w:rPr>
          <w:rFonts w:eastAsia="Times New Roman"/>
          <w:lang w:val="en-US"/>
        </w:rPr>
        <w:t xml:space="preserve"> </w:t>
      </w:r>
      <w:r>
        <w:rPr>
          <w:rFonts w:eastAsia="Times New Roman"/>
          <w:lang w:val="en-US"/>
        </w:rPr>
        <w:t>M</w:t>
      </w:r>
      <w:r w:rsidRPr="003E5390">
        <w:rPr>
          <w:rFonts w:eastAsia="Times New Roman"/>
          <w:lang w:val="en-US"/>
        </w:rPr>
        <w:t>Yu, Ryndina</w:t>
      </w:r>
      <w:r w:rsidRPr="006F01AF">
        <w:rPr>
          <w:rFonts w:eastAsia="Times New Roman"/>
          <w:lang w:val="en-US"/>
        </w:rPr>
        <w:t xml:space="preserve"> </w:t>
      </w:r>
      <w:r>
        <w:rPr>
          <w:rFonts w:eastAsia="Times New Roman"/>
          <w:lang w:val="en-US"/>
        </w:rPr>
        <w:t>NG</w:t>
      </w:r>
      <w:r w:rsidRPr="003E5390">
        <w:rPr>
          <w:rFonts w:eastAsia="Times New Roman"/>
          <w:lang w:val="en-US"/>
        </w:rPr>
        <w:t>. The features of acute myocardial infarction in pa</w:t>
      </w:r>
      <w:r>
        <w:rPr>
          <w:rFonts w:eastAsia="Times New Roman"/>
          <w:lang w:val="en-US"/>
        </w:rPr>
        <w:t>tients with metabolic disorders</w:t>
      </w:r>
      <w:r>
        <w:rPr>
          <w:rFonts w:eastAsia="Times New Roman"/>
        </w:rPr>
        <w:t xml:space="preserve">. </w:t>
      </w:r>
      <w:r>
        <w:rPr>
          <w:rFonts w:eastAsia="Times New Roman"/>
          <w:lang w:val="en-US"/>
        </w:rPr>
        <w:t xml:space="preserve">In: </w:t>
      </w:r>
      <w:r w:rsidRPr="003E5390">
        <w:rPr>
          <w:rFonts w:eastAsia="Times New Roman"/>
          <w:lang w:val="en-US"/>
        </w:rPr>
        <w:t>10th International Scientific Interdisciplinary Conference (ISIC) for medical students and young scientists</w:t>
      </w:r>
      <w:r>
        <w:rPr>
          <w:rFonts w:eastAsia="Times New Roman"/>
        </w:rPr>
        <w:t xml:space="preserve">; </w:t>
      </w:r>
      <w:r>
        <w:rPr>
          <w:rFonts w:eastAsia="Times New Roman"/>
          <w:lang w:val="en-US"/>
        </w:rPr>
        <w:t xml:space="preserve">2017 May 24-26; </w:t>
      </w:r>
      <w:r w:rsidRPr="003E5390">
        <w:rPr>
          <w:rFonts w:eastAsia="Times New Roman"/>
          <w:lang w:val="en-US"/>
        </w:rPr>
        <w:t>Kharkiv</w:t>
      </w:r>
      <w:r>
        <w:rPr>
          <w:rFonts w:eastAsia="Times New Roman"/>
        </w:rPr>
        <w:t xml:space="preserve">, </w:t>
      </w:r>
      <w:r w:rsidRPr="005F31E6">
        <w:rPr>
          <w:rFonts w:eastAsia="Times New Roman"/>
          <w:lang w:val="en-US"/>
        </w:rPr>
        <w:t>Ukraine</w:t>
      </w:r>
      <w:r>
        <w:rPr>
          <w:rFonts w:eastAsia="Times New Roman"/>
          <w:lang w:val="en-US"/>
        </w:rPr>
        <w:t xml:space="preserve">. </w:t>
      </w:r>
      <w:r w:rsidRPr="003E5390">
        <w:rPr>
          <w:rFonts w:eastAsia="Times New Roman"/>
          <w:lang w:val="en-US"/>
        </w:rPr>
        <w:t>Kharkiv</w:t>
      </w:r>
      <w:r w:rsidRPr="00195477">
        <w:rPr>
          <w:rFonts w:eastAsia="Times New Roman"/>
        </w:rPr>
        <w:t xml:space="preserve">; 2017. </w:t>
      </w:r>
      <w:r>
        <w:rPr>
          <w:rFonts w:eastAsia="Times New Roman"/>
          <w:lang w:val="en-US"/>
        </w:rPr>
        <w:t>p</w:t>
      </w:r>
      <w:r w:rsidRPr="003E5390">
        <w:rPr>
          <w:rFonts w:eastAsia="Times New Roman"/>
        </w:rPr>
        <w:t>.</w:t>
      </w:r>
      <w:r>
        <w:rPr>
          <w:rFonts w:eastAsia="Times New Roman"/>
          <w:lang w:val="en-US"/>
        </w:rPr>
        <w:t> </w:t>
      </w:r>
      <w:r w:rsidRPr="003E5390">
        <w:rPr>
          <w:rFonts w:eastAsia="Times New Roman"/>
        </w:rPr>
        <w:t xml:space="preserve">50. </w:t>
      </w:r>
      <w:r w:rsidRPr="003E5390">
        <w:rPr>
          <w:rFonts w:eastAsia="Times New Roman"/>
          <w:i/>
        </w:rPr>
        <w:t xml:space="preserve">(Здобувач здійснила 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w:t>
      </w:r>
      <w:r w:rsidRPr="003E5390">
        <w:rPr>
          <w:rFonts w:eastAsia="Times New Roman"/>
        </w:rPr>
        <w:t>М</w:t>
      </w:r>
      <w:r w:rsidRPr="006F01AF">
        <w:rPr>
          <w:rFonts w:eastAsia="Times New Roman"/>
        </w:rPr>
        <w:t>,</w:t>
      </w:r>
      <w:r w:rsidRPr="003E5390">
        <w:rPr>
          <w:rFonts w:eastAsia="Times New Roman"/>
        </w:rPr>
        <w:t xml:space="preserve"> Єрмак</w:t>
      </w:r>
      <w:r w:rsidRPr="006F01AF">
        <w:rPr>
          <w:rFonts w:eastAsia="Times New Roman"/>
        </w:rPr>
        <w:t xml:space="preserve"> </w:t>
      </w:r>
      <w:r>
        <w:rPr>
          <w:rFonts w:eastAsia="Times New Roman"/>
        </w:rPr>
        <w:t>ОС</w:t>
      </w:r>
      <w:r w:rsidRPr="003E5390">
        <w:rPr>
          <w:rFonts w:eastAsia="Times New Roman"/>
        </w:rPr>
        <w:t xml:space="preserve">, Риндіна </w:t>
      </w:r>
      <w:r>
        <w:rPr>
          <w:rFonts w:eastAsia="Times New Roman"/>
        </w:rPr>
        <w:t>Н</w:t>
      </w:r>
      <w:r w:rsidRPr="003E5390">
        <w:rPr>
          <w:rFonts w:eastAsia="Times New Roman"/>
        </w:rPr>
        <w:t>Г. Визначення рівнів вітронектину як маркера прогнозу повторних кардіоваскулярних подій протягом півроку після перенесеного гострого інфаркту</w:t>
      </w:r>
      <w:r>
        <w:rPr>
          <w:rFonts w:eastAsia="Times New Roman"/>
        </w:rPr>
        <w:t xml:space="preserve"> міокарда за наявності ожиріння. В: </w:t>
      </w:r>
      <w:r w:rsidRPr="003E5390">
        <w:rPr>
          <w:rFonts w:eastAsia="Times New Roman"/>
        </w:rPr>
        <w:t xml:space="preserve">Цукровий діабет як інтегральна </w:t>
      </w:r>
      <w:r>
        <w:rPr>
          <w:rFonts w:eastAsia="Times New Roman"/>
        </w:rPr>
        <w:t>проблема в внутрішньої медицини.</w:t>
      </w:r>
      <w:r w:rsidRPr="003E5390">
        <w:rPr>
          <w:rFonts w:eastAsia="Times New Roman"/>
        </w:rPr>
        <w:t xml:space="preserve"> </w:t>
      </w:r>
      <w:r>
        <w:rPr>
          <w:rFonts w:eastAsia="Times New Roman"/>
        </w:rPr>
        <w:t>М</w:t>
      </w:r>
      <w:r w:rsidRPr="003E5390">
        <w:rPr>
          <w:rFonts w:eastAsia="Times New Roman"/>
        </w:rPr>
        <w:t>атеріали науково-практичної конференції з міжнародною участю</w:t>
      </w:r>
      <w:r>
        <w:rPr>
          <w:rFonts w:eastAsia="Times New Roman"/>
        </w:rPr>
        <w:t>; 2017 Вер 7; Харків, Україна.</w:t>
      </w:r>
      <w:r w:rsidRPr="003E5390">
        <w:rPr>
          <w:rFonts w:eastAsia="Times New Roman"/>
        </w:rPr>
        <w:t xml:space="preserve"> Харків</w:t>
      </w:r>
      <w:r>
        <w:rPr>
          <w:rFonts w:eastAsia="Times New Roman"/>
        </w:rPr>
        <w:t>;</w:t>
      </w:r>
      <w:r w:rsidRPr="003E5390">
        <w:rPr>
          <w:rFonts w:eastAsia="Times New Roman"/>
        </w:rPr>
        <w:t xml:space="preserve"> 2017. </w:t>
      </w:r>
      <w:r>
        <w:rPr>
          <w:rFonts w:eastAsia="Times New Roman"/>
        </w:rPr>
        <w:t>с</w:t>
      </w:r>
      <w:r w:rsidRPr="003E5390">
        <w:rPr>
          <w:rFonts w:eastAsia="Times New Roman"/>
        </w:rPr>
        <w:t>. 42</w:t>
      </w:r>
      <w:r>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КМ,</w:t>
      </w:r>
      <w:r w:rsidRPr="003E5390">
        <w:rPr>
          <w:rFonts w:eastAsia="Times New Roman"/>
        </w:rPr>
        <w:t xml:space="preserve"> Риндіна </w:t>
      </w:r>
      <w:r>
        <w:rPr>
          <w:rFonts w:eastAsia="Times New Roman"/>
        </w:rPr>
        <w:t xml:space="preserve">НГ. </w:t>
      </w:r>
      <w:r w:rsidRPr="006F01AF">
        <w:rPr>
          <w:rFonts w:eastAsia="Times New Roman"/>
        </w:rPr>
        <w:t>Асоціація вітронектинемії з індексом маси тіла у хворих на гострий інфаркт міокарда на тлі супутнього ожиріння абдомінального типу</w:t>
      </w:r>
      <w:r>
        <w:rPr>
          <w:rFonts w:eastAsia="Times New Roman"/>
        </w:rPr>
        <w:t xml:space="preserve">. В: </w:t>
      </w:r>
      <w:r w:rsidRPr="003E5390">
        <w:rPr>
          <w:rFonts w:eastAsia="Times New Roman"/>
        </w:rPr>
        <w:t>Матеріали XV</w:t>
      </w:r>
      <w:r w:rsidRPr="003E5390">
        <w:rPr>
          <w:rFonts w:eastAsia="Times New Roman"/>
          <w:lang w:val="en-US"/>
        </w:rPr>
        <w:t>III</w:t>
      </w:r>
      <w:r w:rsidRPr="003E5390">
        <w:rPr>
          <w:rFonts w:eastAsia="Times New Roman"/>
        </w:rPr>
        <w:t xml:space="preserve"> Національного конгресу кардіологів України</w:t>
      </w:r>
      <w:r>
        <w:rPr>
          <w:rFonts w:eastAsia="Times New Roman"/>
        </w:rPr>
        <w:t>; 2017 Вер 20-22;</w:t>
      </w:r>
      <w:r w:rsidRPr="003E5390">
        <w:rPr>
          <w:rFonts w:eastAsia="Times New Roman"/>
        </w:rPr>
        <w:t xml:space="preserve"> Київ</w:t>
      </w:r>
      <w:r>
        <w:rPr>
          <w:rFonts w:eastAsia="Times New Roman"/>
        </w:rPr>
        <w:t>, Україна. Київ;</w:t>
      </w:r>
      <w:r w:rsidRPr="003E5390">
        <w:rPr>
          <w:rFonts w:eastAsia="Times New Roman"/>
        </w:rPr>
        <w:t xml:space="preserve"> 2017. </w:t>
      </w:r>
      <w:r>
        <w:rPr>
          <w:rFonts w:eastAsia="Times New Roman"/>
        </w:rPr>
        <w:t>с</w:t>
      </w:r>
      <w:r w:rsidRPr="003E5390">
        <w:rPr>
          <w:rFonts w:eastAsia="Times New Roman"/>
        </w:rPr>
        <w:t>.</w:t>
      </w:r>
      <w:r>
        <w:rPr>
          <w:rFonts w:eastAsia="Times New Roman"/>
        </w:rPr>
        <w:t> </w:t>
      </w:r>
      <w:r w:rsidRPr="003E5390">
        <w:rPr>
          <w:rFonts w:eastAsia="Times New Roman"/>
        </w:rPr>
        <w:t xml:space="preserve">45.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 та стендової доповіді).</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Фарес А.</w:t>
      </w:r>
      <w:r>
        <w:rPr>
          <w:rFonts w:eastAsia="Times New Roman"/>
        </w:rPr>
        <w:t xml:space="preserve"> </w:t>
      </w:r>
      <w:r w:rsidRPr="003E5390">
        <w:rPr>
          <w:rFonts w:eastAsia="Times New Roman"/>
        </w:rPr>
        <w:t>Аналіз основних показників якості життя у хворих на гострий коронарний синдром з елевацією сегмента ST на т</w:t>
      </w:r>
      <w:r>
        <w:rPr>
          <w:rFonts w:eastAsia="Times New Roman"/>
        </w:rPr>
        <w:t>лі абдомінального ожиріння. В: Медицина третього тисячоліття.</w:t>
      </w:r>
      <w:r w:rsidRPr="003E5390">
        <w:rPr>
          <w:rFonts w:eastAsia="Times New Roman"/>
        </w:rPr>
        <w:t xml:space="preserve"> </w:t>
      </w:r>
      <w:r>
        <w:rPr>
          <w:rFonts w:eastAsia="Times New Roman"/>
        </w:rPr>
        <w:t>З</w:t>
      </w:r>
      <w:r w:rsidRPr="003E5390">
        <w:rPr>
          <w:rFonts w:eastAsia="Times New Roman"/>
        </w:rPr>
        <w:t>бірник тез міжвузівської конференції молодих вчених та студентів</w:t>
      </w:r>
      <w:r>
        <w:rPr>
          <w:rFonts w:eastAsia="Times New Roman"/>
        </w:rPr>
        <w:t>; 2018 Січ 22-24; Харків, Україна.</w:t>
      </w:r>
      <w:r w:rsidRPr="003E5390">
        <w:rPr>
          <w:rFonts w:eastAsia="Times New Roman"/>
        </w:rPr>
        <w:t xml:space="preserve"> Харків</w:t>
      </w:r>
      <w:r>
        <w:rPr>
          <w:rFonts w:eastAsia="Times New Roman"/>
        </w:rPr>
        <w:t>;</w:t>
      </w:r>
      <w:r w:rsidRPr="003E5390">
        <w:rPr>
          <w:rFonts w:eastAsia="Times New Roman"/>
        </w:rPr>
        <w:t xml:space="preserve"> 201</w:t>
      </w:r>
      <w:r>
        <w:rPr>
          <w:rFonts w:eastAsia="Times New Roman"/>
        </w:rPr>
        <w:t>8</w:t>
      </w:r>
      <w:r w:rsidRPr="003E5390">
        <w:rPr>
          <w:rFonts w:eastAsia="Times New Roman"/>
        </w:rPr>
        <w:t xml:space="preserve">. </w:t>
      </w:r>
      <w:r>
        <w:rPr>
          <w:rFonts w:eastAsia="Times New Roman"/>
        </w:rPr>
        <w:t>с</w:t>
      </w:r>
      <w:r w:rsidRPr="003E5390">
        <w:rPr>
          <w:rFonts w:eastAsia="Times New Roman"/>
        </w:rPr>
        <w:t>.</w:t>
      </w:r>
      <w:r>
        <w:rPr>
          <w:rFonts w:eastAsia="Times New Roman"/>
        </w:rPr>
        <w:t> </w:t>
      </w:r>
      <w:r w:rsidRPr="003E5390">
        <w:rPr>
          <w:rFonts w:eastAsia="Times New Roman"/>
        </w:rPr>
        <w:t>91-2.</w:t>
      </w:r>
      <w:r w:rsidRPr="003E5390">
        <w:rPr>
          <w:rFonts w:eastAsia="Times New Roman"/>
          <w:i/>
        </w:rPr>
        <w:t xml:space="preserve"> (Здобувач здійснила 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lastRenderedPageBreak/>
        <w:t>Боровик КМ,</w:t>
      </w:r>
      <w:r w:rsidRPr="003E5390">
        <w:rPr>
          <w:rFonts w:eastAsia="Times New Roman"/>
        </w:rPr>
        <w:t xml:space="preserve"> Мартовицкий</w:t>
      </w:r>
      <w:r w:rsidRPr="006F01AF">
        <w:rPr>
          <w:rFonts w:eastAsia="Times New Roman"/>
        </w:rPr>
        <w:t xml:space="preserve"> </w:t>
      </w:r>
      <w:r>
        <w:rPr>
          <w:rFonts w:eastAsia="Times New Roman"/>
        </w:rPr>
        <w:t>ДВ</w:t>
      </w:r>
      <w:r w:rsidRPr="003E5390">
        <w:rPr>
          <w:rFonts w:eastAsia="Times New Roman"/>
        </w:rPr>
        <w:t xml:space="preserve">, Глєбова </w:t>
      </w:r>
      <w:r>
        <w:rPr>
          <w:rFonts w:eastAsia="Times New Roman"/>
        </w:rPr>
        <w:t xml:space="preserve">ОВ. </w:t>
      </w:r>
      <w:r w:rsidRPr="006F01AF">
        <w:rPr>
          <w:rFonts w:eastAsia="Times New Roman"/>
        </w:rPr>
        <w:t xml:space="preserve">Оцінка ризику розвитку повторного інфаркту міокарда у хворих після перенесеного гострого коронарного синдрому з елевацією сегменту </w:t>
      </w:r>
      <w:r w:rsidRPr="003E5390">
        <w:rPr>
          <w:rFonts w:eastAsia="Times New Roman"/>
        </w:rPr>
        <w:t>ST</w:t>
      </w:r>
      <w:r w:rsidRPr="006F01AF">
        <w:rPr>
          <w:rFonts w:eastAsia="Times New Roman"/>
        </w:rPr>
        <w:t xml:space="preserve"> за наявності ожиріння протягом 6-мі</w:t>
      </w:r>
      <w:r>
        <w:rPr>
          <w:rFonts w:eastAsia="Times New Roman"/>
        </w:rPr>
        <w:t xml:space="preserve">сячного терміну спостереження. В: </w:t>
      </w:r>
      <w:r w:rsidRPr="006F01AF">
        <w:rPr>
          <w:rFonts w:eastAsia="Times New Roman"/>
        </w:rPr>
        <w:t>Медицина третього тисячоліття</w:t>
      </w:r>
      <w:r>
        <w:rPr>
          <w:rFonts w:eastAsia="Times New Roman"/>
        </w:rPr>
        <w:t>.</w:t>
      </w:r>
      <w:r w:rsidRPr="006F01AF">
        <w:rPr>
          <w:rFonts w:eastAsia="Times New Roman"/>
        </w:rPr>
        <w:t xml:space="preserve"> </w:t>
      </w:r>
      <w:r>
        <w:rPr>
          <w:rFonts w:eastAsia="Times New Roman"/>
        </w:rPr>
        <w:t>З</w:t>
      </w:r>
      <w:r w:rsidRPr="006F01AF">
        <w:rPr>
          <w:rFonts w:eastAsia="Times New Roman"/>
        </w:rPr>
        <w:t>бірник тез міжвузівської конференції молодих вчених та студентів</w:t>
      </w:r>
      <w:r>
        <w:rPr>
          <w:rFonts w:eastAsia="Times New Roman"/>
        </w:rPr>
        <w:t>; 2018 Січ 22-24; Харків, Україна</w:t>
      </w:r>
      <w:r w:rsidRPr="006F01AF">
        <w:rPr>
          <w:rFonts w:eastAsia="Times New Roman"/>
        </w:rPr>
        <w:t xml:space="preserve">. </w:t>
      </w:r>
      <w:r w:rsidRPr="003E5390">
        <w:rPr>
          <w:rFonts w:eastAsia="Times New Roman"/>
        </w:rPr>
        <w:t>Харків</w:t>
      </w:r>
      <w:r>
        <w:rPr>
          <w:rFonts w:eastAsia="Times New Roman"/>
        </w:rPr>
        <w:t>;</w:t>
      </w:r>
      <w:r w:rsidRPr="003E5390">
        <w:rPr>
          <w:rFonts w:eastAsia="Times New Roman"/>
        </w:rPr>
        <w:t xml:space="preserve"> 201</w:t>
      </w:r>
      <w:r>
        <w:rPr>
          <w:rFonts w:eastAsia="Times New Roman"/>
        </w:rPr>
        <w:t>8</w:t>
      </w:r>
      <w:r w:rsidRPr="003E5390">
        <w:rPr>
          <w:rFonts w:eastAsia="Times New Roman"/>
        </w:rPr>
        <w:t xml:space="preserve">. </w:t>
      </w:r>
      <w:r>
        <w:rPr>
          <w:rFonts w:eastAsia="Times New Roman"/>
        </w:rPr>
        <w:t>с</w:t>
      </w:r>
      <w:r w:rsidRPr="003E5390">
        <w:rPr>
          <w:rFonts w:eastAsia="Times New Roman"/>
        </w:rPr>
        <w:t>.</w:t>
      </w:r>
      <w:r>
        <w:rPr>
          <w:rFonts w:eastAsia="Times New Roman"/>
        </w:rPr>
        <w:t> </w:t>
      </w:r>
      <w:r w:rsidRPr="003E5390">
        <w:rPr>
          <w:rFonts w:eastAsia="Times New Roman"/>
        </w:rPr>
        <w:t>92.</w:t>
      </w:r>
      <w:r w:rsidRPr="003E5390">
        <w:rPr>
          <w:rFonts w:eastAsia="Times New Roman"/>
          <w:i/>
        </w:rPr>
        <w:t xml:space="preserve"> (Здобувач здійснила обстеження хворих, провела статистичну обробку та аналіз отриманих результатів, оформлення тез). </w:t>
      </w:r>
    </w:p>
    <w:p w:rsidR="0066492B" w:rsidRPr="009D5C7B"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КМ,</w:t>
      </w:r>
      <w:r w:rsidRPr="003E5390">
        <w:rPr>
          <w:rFonts w:eastAsia="Times New Roman"/>
        </w:rPr>
        <w:t xml:space="preserve"> Риндіна</w:t>
      </w:r>
      <w:r w:rsidRPr="009D5C7B">
        <w:rPr>
          <w:rFonts w:eastAsia="Times New Roman"/>
        </w:rPr>
        <w:t xml:space="preserve"> </w:t>
      </w:r>
      <w:r>
        <w:rPr>
          <w:rFonts w:eastAsia="Times New Roman"/>
        </w:rPr>
        <w:t>НГ</w:t>
      </w:r>
      <w:r w:rsidRPr="003E5390">
        <w:rPr>
          <w:rFonts w:eastAsia="Times New Roman"/>
        </w:rPr>
        <w:t xml:space="preserve">, Глєбова </w:t>
      </w:r>
      <w:r>
        <w:rPr>
          <w:rFonts w:eastAsia="Times New Roman"/>
        </w:rPr>
        <w:t>О</w:t>
      </w:r>
      <w:r w:rsidRPr="003E5390">
        <w:rPr>
          <w:rFonts w:eastAsia="Times New Roman"/>
        </w:rPr>
        <w:t>В.</w:t>
      </w:r>
      <w:r>
        <w:rPr>
          <w:rFonts w:eastAsia="Times New Roman"/>
        </w:rPr>
        <w:t xml:space="preserve"> </w:t>
      </w:r>
      <w:r w:rsidRPr="009D5C7B">
        <w:rPr>
          <w:rFonts w:eastAsia="Times New Roman"/>
        </w:rPr>
        <w:t>Зв'язок вітронектину та показників антропометрії у хворих на гострий і</w:t>
      </w:r>
      <w:r>
        <w:rPr>
          <w:rFonts w:eastAsia="Times New Roman"/>
        </w:rPr>
        <w:t xml:space="preserve">нфаркт міокарда на тлі ожиріння. В: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w:t>
      </w:r>
      <w:r w:rsidRPr="009D5C7B">
        <w:rPr>
          <w:rFonts w:eastAsia="Times New Roman"/>
        </w:rPr>
        <w:t xml:space="preserve"> Харків</w:t>
      </w:r>
      <w:r>
        <w:rPr>
          <w:rFonts w:eastAsia="Times New Roman"/>
        </w:rPr>
        <w:t>;</w:t>
      </w:r>
      <w:r w:rsidRPr="009D5C7B">
        <w:rPr>
          <w:rFonts w:eastAsia="Times New Roman"/>
        </w:rPr>
        <w:t xml:space="preserve"> 2018 с.</w:t>
      </w:r>
      <w:r w:rsidRPr="003E5390">
        <w:rPr>
          <w:rFonts w:eastAsia="Times New Roman"/>
        </w:rPr>
        <w:t> </w:t>
      </w:r>
      <w:r w:rsidRPr="009D5C7B">
        <w:rPr>
          <w:rFonts w:eastAsia="Times New Roman"/>
        </w:rPr>
        <w:t xml:space="preserve">24. </w:t>
      </w:r>
      <w:r w:rsidRPr="009D5C7B">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9D5C7B">
        <w:rPr>
          <w:rFonts w:eastAsia="Times New Roman"/>
        </w:rPr>
        <w:t>Боровик</w:t>
      </w:r>
      <w:r w:rsidRPr="003E5390">
        <w:rPr>
          <w:rFonts w:eastAsia="Times New Roman"/>
        </w:rPr>
        <w:t> </w:t>
      </w:r>
      <w:r>
        <w:rPr>
          <w:rFonts w:eastAsia="Times New Roman"/>
        </w:rPr>
        <w:t>К</w:t>
      </w:r>
      <w:r w:rsidRPr="009D5C7B">
        <w:rPr>
          <w:rFonts w:eastAsia="Times New Roman"/>
        </w:rPr>
        <w:t>М</w:t>
      </w:r>
      <w:r w:rsidRPr="003E5390">
        <w:rPr>
          <w:rFonts w:eastAsia="Times New Roman"/>
        </w:rPr>
        <w:t>, Риндіна</w:t>
      </w:r>
      <w:r w:rsidRPr="009D5C7B">
        <w:rPr>
          <w:rFonts w:eastAsia="Times New Roman"/>
        </w:rPr>
        <w:t xml:space="preserve"> </w:t>
      </w:r>
      <w:r>
        <w:rPr>
          <w:rFonts w:eastAsia="Times New Roman"/>
        </w:rPr>
        <w:t>НГ</w:t>
      </w:r>
      <w:r w:rsidRPr="003E5390">
        <w:rPr>
          <w:rFonts w:eastAsia="Times New Roman"/>
        </w:rPr>
        <w:t>, Сапричова</w:t>
      </w:r>
      <w:r w:rsidRPr="009D5C7B">
        <w:rPr>
          <w:rFonts w:eastAsia="Times New Roman"/>
        </w:rPr>
        <w:t xml:space="preserve"> </w:t>
      </w:r>
      <w:r>
        <w:rPr>
          <w:rFonts w:eastAsia="Times New Roman"/>
        </w:rPr>
        <w:t>ЛВ</w:t>
      </w:r>
      <w:r w:rsidRPr="009D5C7B">
        <w:rPr>
          <w:rFonts w:eastAsia="Times New Roman"/>
        </w:rPr>
        <w:t xml:space="preserve">. Предикторні властивості галектину-3 щодо розвитку повторного інфаркту міокарда у хворих після перенесенного гострого коронарного синдрому в елевацією сегмента </w:t>
      </w:r>
      <w:r w:rsidRPr="003E5390">
        <w:rPr>
          <w:rFonts w:eastAsia="Times New Roman"/>
        </w:rPr>
        <w:t>ST</w:t>
      </w:r>
      <w:r w:rsidRPr="009D5C7B">
        <w:rPr>
          <w:rFonts w:eastAsia="Times New Roman"/>
        </w:rPr>
        <w:t xml:space="preserve"> за наявності ожиріння протягом 6-</w:t>
      </w:r>
      <w:r>
        <w:rPr>
          <w:rFonts w:eastAsia="Times New Roman"/>
        </w:rPr>
        <w:t xml:space="preserve">місячного терміну спостереження. В: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w:t>
      </w:r>
      <w:r w:rsidRPr="009D5C7B">
        <w:rPr>
          <w:rFonts w:eastAsia="Times New Roman"/>
        </w:rPr>
        <w:t xml:space="preserve"> Харків</w:t>
      </w:r>
      <w:r>
        <w:rPr>
          <w:rFonts w:eastAsia="Times New Roman"/>
        </w:rPr>
        <w:t>;</w:t>
      </w:r>
      <w:r w:rsidRPr="009D5C7B">
        <w:rPr>
          <w:rFonts w:eastAsia="Times New Roman"/>
        </w:rPr>
        <w:t xml:space="preserve"> 2018 с.</w:t>
      </w:r>
      <w:r w:rsidRPr="003E5390">
        <w:rPr>
          <w:rFonts w:eastAsia="Times New Roman"/>
        </w:rPr>
        <w:t> </w:t>
      </w:r>
      <w:r w:rsidRPr="009D5C7B">
        <w:rPr>
          <w:rFonts w:eastAsia="Times New Roman"/>
        </w:rPr>
        <w:t>2</w:t>
      </w:r>
      <w:r>
        <w:rPr>
          <w:rFonts w:eastAsia="Times New Roman"/>
        </w:rPr>
        <w:t>5</w:t>
      </w:r>
      <w:r w:rsidRPr="009D5C7B">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Риндіна</w:t>
      </w:r>
      <w:r>
        <w:rPr>
          <w:rFonts w:eastAsia="Times New Roman"/>
        </w:rPr>
        <w:t xml:space="preserve"> НГ</w:t>
      </w:r>
      <w:r w:rsidRPr="003E5390">
        <w:rPr>
          <w:rFonts w:eastAsia="Times New Roman"/>
        </w:rPr>
        <w:t>, Цівенко</w:t>
      </w:r>
      <w:r>
        <w:rPr>
          <w:rFonts w:eastAsia="Times New Roman"/>
        </w:rPr>
        <w:t xml:space="preserve"> ВМ.</w:t>
      </w:r>
      <w:r w:rsidRPr="003E5390">
        <w:rPr>
          <w:rFonts w:eastAsia="Times New Roman"/>
        </w:rPr>
        <w:t xml:space="preserve"> Вітронектин та особливості реактивності організму хворих на гострий інфаркт міок</w:t>
      </w:r>
      <w:r>
        <w:rPr>
          <w:rFonts w:eastAsia="Times New Roman"/>
        </w:rPr>
        <w:t xml:space="preserve">арда на тлі супутнього ожиріння. В: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w:t>
      </w:r>
      <w:r w:rsidRPr="009D5C7B">
        <w:rPr>
          <w:rFonts w:eastAsia="Times New Roman"/>
        </w:rPr>
        <w:t xml:space="preserve"> Харків</w:t>
      </w:r>
      <w:r>
        <w:rPr>
          <w:rFonts w:eastAsia="Times New Roman"/>
        </w:rPr>
        <w:t>;</w:t>
      </w:r>
      <w:r w:rsidRPr="009D5C7B">
        <w:rPr>
          <w:rFonts w:eastAsia="Times New Roman"/>
        </w:rPr>
        <w:t xml:space="preserve"> 2018 </w:t>
      </w:r>
      <w:r w:rsidRPr="009D5C7B">
        <w:rPr>
          <w:rFonts w:eastAsia="Times New Roman"/>
        </w:rPr>
        <w:lastRenderedPageBreak/>
        <w:t>с.</w:t>
      </w:r>
      <w:r w:rsidRPr="003E5390">
        <w:rPr>
          <w:rFonts w:eastAsia="Times New Roman"/>
        </w:rPr>
        <w:t> </w:t>
      </w:r>
      <w:r w:rsidRPr="009D5C7B">
        <w:rPr>
          <w:rFonts w:eastAsia="Times New Roman"/>
        </w:rPr>
        <w:t>2</w:t>
      </w:r>
      <w:r>
        <w:rPr>
          <w:rFonts w:eastAsia="Times New Roman"/>
        </w:rPr>
        <w:t>6</w:t>
      </w:r>
      <w:r w:rsidRPr="009D5C7B">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Риндіна</w:t>
      </w:r>
      <w:r>
        <w:rPr>
          <w:rFonts w:eastAsia="Times New Roman"/>
        </w:rPr>
        <w:t xml:space="preserve"> НГ, Ткаченко МО. </w:t>
      </w:r>
      <w:r w:rsidRPr="009D5C7B">
        <w:rPr>
          <w:rFonts w:eastAsia="Times New Roman"/>
        </w:rPr>
        <w:t>Галектин-3 як маркер атеросклеротичного ураження артерій коронарного русла у хворих на гострий інфаркт міокарда на тлі супутнь</w:t>
      </w:r>
      <w:r>
        <w:rPr>
          <w:rFonts w:eastAsia="Times New Roman"/>
        </w:rPr>
        <w:t xml:space="preserve">ого ожиріння. В: </w:t>
      </w:r>
      <w:r w:rsidRPr="009D5C7B">
        <w:rPr>
          <w:rFonts w:eastAsia="Times New Roman"/>
        </w:rPr>
        <w:t>Профілактична медицина сьогодні: внесок молодих спеціалістів</w:t>
      </w:r>
      <w:r>
        <w:rPr>
          <w:rFonts w:eastAsia="Times New Roman"/>
        </w:rPr>
        <w:t>.</w:t>
      </w:r>
      <w:r w:rsidRPr="009D5C7B">
        <w:rPr>
          <w:rFonts w:eastAsia="Times New Roman"/>
        </w:rPr>
        <w:t xml:space="preserve"> </w:t>
      </w:r>
      <w:r>
        <w:rPr>
          <w:rFonts w:eastAsia="Times New Roman"/>
        </w:rPr>
        <w:t>М</w:t>
      </w:r>
      <w:r w:rsidRPr="009D5C7B">
        <w:rPr>
          <w:rFonts w:eastAsia="Times New Roman"/>
        </w:rPr>
        <w:t>атеріали науково-практичної конференції молодих вчених з міжнародною участю присвяченої 25-річному ювілею НАМН України та Дню науки</w:t>
      </w:r>
      <w:r>
        <w:rPr>
          <w:rFonts w:eastAsia="Times New Roman"/>
        </w:rPr>
        <w:t>; 2018 Трав 24; Харків, Україна</w:t>
      </w:r>
      <w:r w:rsidRPr="003E5390">
        <w:rPr>
          <w:rFonts w:eastAsia="Times New Roman"/>
        </w:rPr>
        <w:t>. Харків</w:t>
      </w:r>
      <w:r>
        <w:rPr>
          <w:rFonts w:eastAsia="Times New Roman"/>
        </w:rPr>
        <w:t>;</w:t>
      </w:r>
      <w:r w:rsidRPr="003E5390">
        <w:rPr>
          <w:rFonts w:eastAsia="Times New Roman"/>
        </w:rPr>
        <w:t xml:space="preserve"> 2017. </w:t>
      </w:r>
      <w:r>
        <w:rPr>
          <w:rFonts w:eastAsia="Times New Roman"/>
        </w:rPr>
        <w:t>с</w:t>
      </w:r>
      <w:r w:rsidRPr="003E5390">
        <w:rPr>
          <w:rFonts w:eastAsia="Times New Roman"/>
        </w:rPr>
        <w:t xml:space="preserve">. 9.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Риндіна</w:t>
      </w:r>
      <w:r>
        <w:rPr>
          <w:rFonts w:eastAsia="Times New Roman"/>
        </w:rPr>
        <w:t xml:space="preserve"> НГ, </w:t>
      </w:r>
      <w:r w:rsidRPr="003E5390">
        <w:rPr>
          <w:rFonts w:eastAsia="Times New Roman"/>
        </w:rPr>
        <w:t>Глєбова</w:t>
      </w:r>
      <w:r w:rsidRPr="009D5C7B">
        <w:rPr>
          <w:rFonts w:eastAsia="Times New Roman"/>
        </w:rPr>
        <w:t xml:space="preserve"> </w:t>
      </w:r>
      <w:r>
        <w:rPr>
          <w:rFonts w:eastAsia="Times New Roman"/>
        </w:rPr>
        <w:t>ОВ</w:t>
      </w:r>
      <w:r w:rsidRPr="003E5390">
        <w:rPr>
          <w:rFonts w:eastAsia="Times New Roman"/>
        </w:rPr>
        <w:t xml:space="preserve">, Цівенко </w:t>
      </w:r>
      <w:r>
        <w:rPr>
          <w:rFonts w:eastAsia="Times New Roman"/>
        </w:rPr>
        <w:t xml:space="preserve">ВМ. </w:t>
      </w:r>
      <w:r w:rsidRPr="009D5C7B">
        <w:rPr>
          <w:rFonts w:eastAsia="Times New Roman"/>
        </w:rPr>
        <w:t>Асоціація вітронектину та індексу маси тіла у хворих на гострий інфаркт міокарда</w:t>
      </w:r>
      <w:r>
        <w:rPr>
          <w:rFonts w:eastAsia="Times New Roman"/>
        </w:rPr>
        <w:t xml:space="preserve"> на тлі абдомінального ожиріння. В: </w:t>
      </w:r>
      <w:r w:rsidRPr="009D5C7B">
        <w:rPr>
          <w:rFonts w:eastAsia="Times New Roman"/>
        </w:rPr>
        <w:t>Профілактична медицина сьогодні: внесок молодих спеціалістів</w:t>
      </w:r>
      <w:r>
        <w:rPr>
          <w:rFonts w:eastAsia="Times New Roman"/>
        </w:rPr>
        <w:t>.</w:t>
      </w:r>
      <w:r w:rsidRPr="009D5C7B">
        <w:rPr>
          <w:rFonts w:eastAsia="Times New Roman"/>
        </w:rPr>
        <w:t xml:space="preserve"> </w:t>
      </w:r>
      <w:r>
        <w:rPr>
          <w:rFonts w:eastAsia="Times New Roman"/>
        </w:rPr>
        <w:t>М</w:t>
      </w:r>
      <w:r w:rsidRPr="009D5C7B">
        <w:rPr>
          <w:rFonts w:eastAsia="Times New Roman"/>
        </w:rPr>
        <w:t>атеріали науково-практичної конференції молодих вчених з міжнародною участю присвяченої 25-річному ювілею НАМН України та Дню науки</w:t>
      </w:r>
      <w:r>
        <w:rPr>
          <w:rFonts w:eastAsia="Times New Roman"/>
        </w:rPr>
        <w:t>; 2018 Трав 24; Харків, Україна</w:t>
      </w:r>
      <w:r w:rsidRPr="003E5390">
        <w:rPr>
          <w:rFonts w:eastAsia="Times New Roman"/>
        </w:rPr>
        <w:t>. Харків</w:t>
      </w:r>
      <w:r>
        <w:rPr>
          <w:rFonts w:eastAsia="Times New Roman"/>
        </w:rPr>
        <w:t>;</w:t>
      </w:r>
      <w:r w:rsidRPr="003E5390">
        <w:rPr>
          <w:rFonts w:eastAsia="Times New Roman"/>
        </w:rPr>
        <w:t xml:space="preserve"> 2017. </w:t>
      </w:r>
      <w:r>
        <w:rPr>
          <w:rFonts w:eastAsia="Times New Roman"/>
        </w:rPr>
        <w:t>с</w:t>
      </w:r>
      <w:r w:rsidRPr="003E5390">
        <w:rPr>
          <w:rFonts w:eastAsia="Times New Roman"/>
        </w:rPr>
        <w:t xml:space="preserve">. </w:t>
      </w:r>
      <w:r>
        <w:rPr>
          <w:rFonts w:eastAsia="Times New Roman"/>
        </w:rPr>
        <w:t>10</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pPr>
      <w:r w:rsidRPr="003E5390">
        <w:rPr>
          <w:rFonts w:eastAsia="Times New Roman"/>
          <w:lang w:val="en-US"/>
        </w:rPr>
        <w:t>Borovyk</w:t>
      </w:r>
      <w:r w:rsidRPr="003E5390">
        <w:rPr>
          <w:rFonts w:eastAsia="Times New Roman"/>
        </w:rPr>
        <w:t> </w:t>
      </w:r>
      <w:r>
        <w:rPr>
          <w:rFonts w:eastAsia="Times New Roman"/>
          <w:lang w:val="en-US"/>
        </w:rPr>
        <w:t>K</w:t>
      </w:r>
      <w:r>
        <w:rPr>
          <w:rFonts w:eastAsia="Times New Roman"/>
        </w:rPr>
        <w:t xml:space="preserve">, </w:t>
      </w:r>
      <w:r w:rsidRPr="003E5390">
        <w:rPr>
          <w:rFonts w:eastAsia="Times New Roman"/>
          <w:lang w:val="en-US"/>
        </w:rPr>
        <w:t>Sultan</w:t>
      </w:r>
      <w:r>
        <w:rPr>
          <w:rFonts w:eastAsia="Times New Roman"/>
        </w:rPr>
        <w:t> </w:t>
      </w:r>
      <w:r w:rsidRPr="003E5390">
        <w:rPr>
          <w:rFonts w:eastAsia="Times New Roman"/>
          <w:lang w:val="en-US"/>
        </w:rPr>
        <w:t>N.</w:t>
      </w:r>
      <w:r>
        <w:rPr>
          <w:rFonts w:eastAsia="Times New Roman"/>
        </w:rPr>
        <w:t xml:space="preserve"> </w:t>
      </w:r>
      <w:r w:rsidRPr="003E5390">
        <w:rPr>
          <w:rFonts w:eastAsia="Times New Roman"/>
          <w:lang w:val="en-US"/>
        </w:rPr>
        <w:t>The relation between galectin-3 concentration and coronary artery atherosclerotic lesions severity in patients with acute myocardial i</w:t>
      </w:r>
      <w:r>
        <w:rPr>
          <w:rFonts w:eastAsia="Times New Roman"/>
          <w:lang w:val="en-US"/>
        </w:rPr>
        <w:t>nfarction and abdominal obesity. In: I</w:t>
      </w:r>
      <w:r w:rsidRPr="009D5C7B">
        <w:rPr>
          <w:rFonts w:eastAsia="Times New Roman"/>
          <w:lang w:val="en-US"/>
        </w:rPr>
        <w:t>SIC-2018</w:t>
      </w:r>
      <w:r>
        <w:rPr>
          <w:rFonts w:eastAsia="Times New Roman"/>
          <w:lang w:val="en-US"/>
        </w:rPr>
        <w:t>.</w:t>
      </w:r>
      <w:r w:rsidRPr="009D5C7B">
        <w:rPr>
          <w:rFonts w:eastAsia="Times New Roman"/>
          <w:lang w:val="en-US"/>
        </w:rPr>
        <w:t xml:space="preserve"> International Scientific Interdisciplinary Conference for medical students and young scientists</w:t>
      </w:r>
      <w:r>
        <w:rPr>
          <w:rFonts w:eastAsia="Times New Roman"/>
          <w:lang w:val="en-US"/>
        </w:rPr>
        <w:t xml:space="preserve">: Abstract book; 2018 May 23-25; </w:t>
      </w:r>
      <w:r w:rsidRPr="009D5C7B">
        <w:rPr>
          <w:rFonts w:eastAsia="Times New Roman"/>
          <w:lang w:val="en-US"/>
        </w:rPr>
        <w:t>Kharkiv</w:t>
      </w:r>
      <w:r>
        <w:rPr>
          <w:rFonts w:eastAsia="Times New Roman"/>
          <w:lang w:val="en-US"/>
        </w:rPr>
        <w:t>,</w:t>
      </w:r>
      <w:r w:rsidRPr="005F31E6">
        <w:rPr>
          <w:rFonts w:eastAsia="Times New Roman"/>
          <w:lang w:val="en-US"/>
        </w:rPr>
        <w:t xml:space="preserve"> Ukraine</w:t>
      </w:r>
      <w:r>
        <w:rPr>
          <w:rFonts w:eastAsia="Times New Roman"/>
          <w:lang w:val="en-US"/>
        </w:rPr>
        <w:t xml:space="preserve">. </w:t>
      </w:r>
      <w:r w:rsidRPr="003E5390">
        <w:rPr>
          <w:rFonts w:eastAsia="Times New Roman"/>
          <w:lang w:val="en-US"/>
        </w:rPr>
        <w:t>Kharkiv</w:t>
      </w:r>
      <w:r w:rsidRPr="009D5C7B">
        <w:rPr>
          <w:rFonts w:eastAsia="Times New Roman"/>
        </w:rPr>
        <w:t>; 201</w:t>
      </w:r>
      <w:r w:rsidRPr="00195477">
        <w:rPr>
          <w:rFonts w:eastAsia="Times New Roman"/>
        </w:rPr>
        <w:t>8</w:t>
      </w:r>
      <w:r w:rsidRPr="009D5C7B">
        <w:rPr>
          <w:rFonts w:eastAsia="Times New Roman"/>
        </w:rPr>
        <w:t xml:space="preserve">. </w:t>
      </w:r>
      <w:r>
        <w:rPr>
          <w:rFonts w:eastAsia="Times New Roman"/>
          <w:lang w:val="en-US"/>
        </w:rPr>
        <w:t>p</w:t>
      </w:r>
      <w:r w:rsidRPr="009D5C7B">
        <w:rPr>
          <w:rFonts w:eastAsia="Times New Roman"/>
        </w:rPr>
        <w:t>.</w:t>
      </w:r>
      <w:r>
        <w:rPr>
          <w:rFonts w:eastAsia="Times New Roman"/>
          <w:lang w:val="en-US"/>
        </w:rPr>
        <w:t> </w:t>
      </w:r>
      <w:r w:rsidRPr="009D5C7B">
        <w:rPr>
          <w:rFonts w:eastAsia="Times New Roman"/>
        </w:rPr>
        <w:t xml:space="preserve">94. </w:t>
      </w:r>
      <w:r w:rsidRPr="009D5C7B">
        <w:rPr>
          <w:rFonts w:eastAsia="Times New Roman"/>
          <w:i/>
        </w:rPr>
        <w:t>(</w:t>
      </w:r>
      <w:r w:rsidRPr="003E5390">
        <w:rPr>
          <w:rFonts w:eastAsia="Times New Roman"/>
          <w:i/>
        </w:rPr>
        <w:t>Здобувач</w:t>
      </w:r>
      <w:r w:rsidRPr="009D5C7B">
        <w:rPr>
          <w:rFonts w:eastAsia="Times New Roman"/>
          <w:i/>
        </w:rPr>
        <w:t xml:space="preserve"> </w:t>
      </w:r>
      <w:r w:rsidRPr="003E5390">
        <w:rPr>
          <w:rFonts w:eastAsia="Times New Roman"/>
          <w:i/>
        </w:rPr>
        <w:t>здійснила</w:t>
      </w:r>
      <w:r w:rsidRPr="009D5C7B">
        <w:rPr>
          <w:rFonts w:eastAsia="Times New Roman"/>
          <w:i/>
        </w:rPr>
        <w:t xml:space="preserve"> </w:t>
      </w:r>
      <w:r w:rsidRPr="003E5390">
        <w:rPr>
          <w:rFonts w:eastAsia="Times New Roman"/>
          <w:i/>
        </w:rPr>
        <w:t>обстеження</w:t>
      </w:r>
      <w:r w:rsidRPr="009D5C7B">
        <w:rPr>
          <w:rFonts w:eastAsia="Times New Roman"/>
          <w:i/>
        </w:rPr>
        <w:t xml:space="preserve"> </w:t>
      </w:r>
      <w:r w:rsidRPr="003E5390">
        <w:rPr>
          <w:rFonts w:eastAsia="Times New Roman"/>
          <w:i/>
        </w:rPr>
        <w:t>хворих</w:t>
      </w:r>
      <w:r w:rsidRPr="009D5C7B">
        <w:rPr>
          <w:rFonts w:eastAsia="Times New Roman"/>
          <w:i/>
        </w:rPr>
        <w:t xml:space="preserve">, </w:t>
      </w:r>
      <w:r w:rsidRPr="003E5390">
        <w:rPr>
          <w:rFonts w:eastAsia="Times New Roman"/>
          <w:i/>
        </w:rPr>
        <w:t>провела</w:t>
      </w:r>
      <w:r w:rsidRPr="009D5C7B">
        <w:rPr>
          <w:rFonts w:eastAsia="Times New Roman"/>
          <w:i/>
        </w:rPr>
        <w:t xml:space="preserve"> </w:t>
      </w:r>
      <w:r w:rsidRPr="003E5390">
        <w:rPr>
          <w:rFonts w:eastAsia="Times New Roman"/>
          <w:i/>
        </w:rPr>
        <w:t>статистичну</w:t>
      </w:r>
      <w:r w:rsidRPr="009D5C7B">
        <w:rPr>
          <w:rFonts w:eastAsia="Times New Roman"/>
          <w:i/>
        </w:rPr>
        <w:t xml:space="preserve"> </w:t>
      </w:r>
      <w:r w:rsidRPr="003E5390">
        <w:rPr>
          <w:rFonts w:eastAsia="Times New Roman"/>
          <w:i/>
        </w:rPr>
        <w:t>обробку</w:t>
      </w:r>
      <w:r w:rsidRPr="009D5C7B">
        <w:rPr>
          <w:rFonts w:eastAsia="Times New Roman"/>
          <w:i/>
        </w:rPr>
        <w:t xml:space="preserve"> </w:t>
      </w:r>
      <w:r w:rsidRPr="003E5390">
        <w:rPr>
          <w:rFonts w:eastAsia="Times New Roman"/>
          <w:i/>
        </w:rPr>
        <w:t>та</w:t>
      </w:r>
      <w:r w:rsidRPr="009D5C7B">
        <w:rPr>
          <w:rFonts w:eastAsia="Times New Roman"/>
          <w:i/>
        </w:rPr>
        <w:t xml:space="preserve"> </w:t>
      </w:r>
      <w:r w:rsidRPr="003E5390">
        <w:rPr>
          <w:rFonts w:eastAsia="Times New Roman"/>
          <w:i/>
        </w:rPr>
        <w:t>аналіз</w:t>
      </w:r>
      <w:r w:rsidRPr="009D5C7B">
        <w:rPr>
          <w:rFonts w:eastAsia="Times New Roman"/>
          <w:i/>
        </w:rPr>
        <w:t xml:space="preserve"> </w:t>
      </w:r>
      <w:r w:rsidRPr="003E5390">
        <w:rPr>
          <w:rFonts w:eastAsia="Times New Roman"/>
          <w:i/>
        </w:rPr>
        <w:t>отриманих</w:t>
      </w:r>
      <w:r w:rsidRPr="009D5C7B">
        <w:rPr>
          <w:rFonts w:eastAsia="Times New Roman"/>
          <w:i/>
        </w:rPr>
        <w:t xml:space="preserve"> </w:t>
      </w:r>
      <w:r w:rsidRPr="003E5390">
        <w:rPr>
          <w:rFonts w:eastAsia="Times New Roman"/>
          <w:i/>
        </w:rPr>
        <w:t>результатів</w:t>
      </w:r>
      <w:r w:rsidRPr="009D5C7B">
        <w:rPr>
          <w:rFonts w:eastAsia="Times New Roman"/>
          <w:i/>
        </w:rPr>
        <w:t xml:space="preserve">, </w:t>
      </w:r>
      <w:r w:rsidRPr="003E5390">
        <w:rPr>
          <w:rFonts w:eastAsia="Times New Roman"/>
          <w:i/>
        </w:rPr>
        <w:t>оформлення</w:t>
      </w:r>
      <w:r w:rsidRPr="009D5C7B">
        <w:rPr>
          <w:rFonts w:eastAsia="Times New Roman"/>
          <w:i/>
        </w:rPr>
        <w:t xml:space="preserve"> </w:t>
      </w:r>
      <w:r w:rsidRPr="003E5390">
        <w:rPr>
          <w:rFonts w:eastAsia="Times New Roman"/>
          <w:i/>
        </w:rPr>
        <w:t>тез</w:t>
      </w:r>
      <w:r w:rsidRPr="009D5C7B">
        <w:rPr>
          <w:rFonts w:eastAsia="Times New Roman"/>
          <w:i/>
        </w:rPr>
        <w:t xml:space="preserve"> </w:t>
      </w:r>
      <w:r w:rsidRPr="003E5390">
        <w:rPr>
          <w:rFonts w:eastAsia="Times New Roman"/>
          <w:i/>
        </w:rPr>
        <w:t>та</w:t>
      </w:r>
      <w:r w:rsidRPr="009D5C7B">
        <w:rPr>
          <w:rFonts w:eastAsia="Times New Roman"/>
          <w:i/>
        </w:rPr>
        <w:t xml:space="preserve"> </w:t>
      </w:r>
      <w:r w:rsidRPr="003E5390">
        <w:rPr>
          <w:rFonts w:eastAsia="Times New Roman"/>
          <w:i/>
        </w:rPr>
        <w:t>усної</w:t>
      </w:r>
      <w:r w:rsidRPr="009D5C7B">
        <w:rPr>
          <w:rFonts w:eastAsia="Times New Roman"/>
          <w:i/>
        </w:rPr>
        <w:t xml:space="preserve"> </w:t>
      </w:r>
      <w:r w:rsidRPr="003E5390">
        <w:rPr>
          <w:rFonts w:eastAsia="Times New Roman"/>
          <w:i/>
        </w:rPr>
        <w:t>доповіді</w:t>
      </w:r>
      <w:r w:rsidRPr="009D5C7B">
        <w:rPr>
          <w:rFonts w:eastAsia="Times New Roman"/>
          <w:i/>
        </w:rPr>
        <w:t>).</w:t>
      </w:r>
    </w:p>
    <w:p w:rsidR="0066492B" w:rsidRPr="003E5390" w:rsidRDefault="0066492B" w:rsidP="0066492B">
      <w:pPr>
        <w:numPr>
          <w:ilvl w:val="0"/>
          <w:numId w:val="20"/>
        </w:numPr>
        <w:tabs>
          <w:tab w:val="left" w:pos="426"/>
        </w:tabs>
        <w:spacing w:after="0" w:line="360" w:lineRule="auto"/>
        <w:ind w:left="0" w:firstLine="709"/>
        <w:jc w:val="both"/>
      </w:pPr>
      <w:r w:rsidRPr="003E5390">
        <w:rPr>
          <w:rFonts w:eastAsia="Times New Roman"/>
          <w:lang w:val="en-US"/>
        </w:rPr>
        <w:t>Borovyk</w:t>
      </w:r>
      <w:r w:rsidRPr="003E5390">
        <w:rPr>
          <w:rFonts w:eastAsia="Times New Roman"/>
        </w:rPr>
        <w:t> </w:t>
      </w:r>
      <w:r>
        <w:rPr>
          <w:rFonts w:eastAsia="Times New Roman"/>
          <w:lang w:val="en-US"/>
        </w:rPr>
        <w:t>K,</w:t>
      </w:r>
      <w:r w:rsidRPr="003E5390">
        <w:rPr>
          <w:rFonts w:eastAsia="Times New Roman"/>
          <w:lang w:val="en-US"/>
        </w:rPr>
        <w:t xml:space="preserve"> Davis</w:t>
      </w:r>
      <w:r w:rsidRPr="009D5C7B">
        <w:rPr>
          <w:rFonts w:eastAsia="Times New Roman"/>
          <w:lang w:val="en-US"/>
        </w:rPr>
        <w:t xml:space="preserve"> </w:t>
      </w:r>
      <w:r w:rsidRPr="003E5390">
        <w:rPr>
          <w:rFonts w:eastAsia="Times New Roman"/>
          <w:lang w:val="en-US"/>
        </w:rPr>
        <w:t xml:space="preserve">H, Yermak </w:t>
      </w:r>
      <w:r>
        <w:rPr>
          <w:rFonts w:eastAsia="Times New Roman"/>
          <w:lang w:val="en-US"/>
        </w:rPr>
        <w:t>O</w:t>
      </w:r>
      <w:r w:rsidRPr="003E5390">
        <w:rPr>
          <w:rFonts w:eastAsia="Times New Roman"/>
          <w:lang w:val="en-US"/>
        </w:rPr>
        <w:t>S.</w:t>
      </w:r>
      <w:r>
        <w:rPr>
          <w:rFonts w:eastAsia="Times New Roman"/>
          <w:lang w:val="en-US"/>
        </w:rPr>
        <w:t xml:space="preserve"> </w:t>
      </w:r>
      <w:r w:rsidRPr="003E5390">
        <w:rPr>
          <w:rFonts w:eastAsia="Times New Roman"/>
          <w:lang w:val="en-US"/>
        </w:rPr>
        <w:t>The frequency of the coronary arteries damage in patients with acute myocardial inf</w:t>
      </w:r>
      <w:r>
        <w:rPr>
          <w:rFonts w:eastAsia="Times New Roman"/>
          <w:lang w:val="en-US"/>
        </w:rPr>
        <w:t>arction and concomitant obesity. In: I</w:t>
      </w:r>
      <w:r w:rsidRPr="009D5C7B">
        <w:rPr>
          <w:rFonts w:eastAsia="Times New Roman"/>
          <w:lang w:val="en-US"/>
        </w:rPr>
        <w:t>SIC-</w:t>
      </w:r>
      <w:r w:rsidRPr="009D5C7B">
        <w:rPr>
          <w:rFonts w:eastAsia="Times New Roman"/>
          <w:lang w:val="en-US"/>
        </w:rPr>
        <w:lastRenderedPageBreak/>
        <w:t>2018</w:t>
      </w:r>
      <w:r>
        <w:rPr>
          <w:rFonts w:eastAsia="Times New Roman"/>
          <w:lang w:val="en-US"/>
        </w:rPr>
        <w:t>.</w:t>
      </w:r>
      <w:r w:rsidRPr="009D5C7B">
        <w:rPr>
          <w:rFonts w:eastAsia="Times New Roman"/>
          <w:lang w:val="en-US"/>
        </w:rPr>
        <w:t xml:space="preserve"> International Scientific Interdisciplinary Conference for medical students and young scientists</w:t>
      </w:r>
      <w:r>
        <w:rPr>
          <w:rFonts w:eastAsia="Times New Roman"/>
          <w:lang w:val="en-US"/>
        </w:rPr>
        <w:t xml:space="preserve">: Abstract book; 2018 May 23-25; </w:t>
      </w:r>
      <w:r w:rsidRPr="009D5C7B">
        <w:rPr>
          <w:rFonts w:eastAsia="Times New Roman"/>
          <w:lang w:val="en-US"/>
        </w:rPr>
        <w:t>Kharkiv</w:t>
      </w:r>
      <w:r>
        <w:rPr>
          <w:rFonts w:eastAsia="Times New Roman"/>
          <w:lang w:val="en-US"/>
        </w:rPr>
        <w:t>,</w:t>
      </w:r>
      <w:r w:rsidRPr="005F31E6">
        <w:rPr>
          <w:rFonts w:eastAsia="Times New Roman"/>
          <w:lang w:val="en-US"/>
        </w:rPr>
        <w:t xml:space="preserve"> Ukraine</w:t>
      </w:r>
      <w:r>
        <w:rPr>
          <w:rFonts w:eastAsia="Times New Roman"/>
          <w:lang w:val="en-US"/>
        </w:rPr>
        <w:t xml:space="preserve">. </w:t>
      </w:r>
      <w:r w:rsidRPr="003E5390">
        <w:rPr>
          <w:rFonts w:eastAsia="Times New Roman"/>
          <w:lang w:val="en-US"/>
        </w:rPr>
        <w:t>Kharkiv</w:t>
      </w:r>
      <w:r w:rsidRPr="009D5C7B">
        <w:rPr>
          <w:rFonts w:eastAsia="Times New Roman"/>
        </w:rPr>
        <w:t xml:space="preserve">; 2018. </w:t>
      </w:r>
      <w:r>
        <w:rPr>
          <w:rFonts w:eastAsia="Times New Roman"/>
          <w:lang w:val="en-US"/>
        </w:rPr>
        <w:t>p</w:t>
      </w:r>
      <w:r w:rsidRPr="009D5C7B">
        <w:rPr>
          <w:rFonts w:eastAsia="Times New Roman"/>
        </w:rPr>
        <w:t>.</w:t>
      </w:r>
      <w:r>
        <w:rPr>
          <w:rFonts w:eastAsia="Times New Roman"/>
          <w:lang w:val="en-US"/>
        </w:rPr>
        <w:t> </w:t>
      </w:r>
      <w:r w:rsidRPr="009D5C7B">
        <w:rPr>
          <w:rFonts w:eastAsia="Times New Roman"/>
        </w:rPr>
        <w:t xml:space="preserve">99.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 та стендової доповіді).</w:t>
      </w:r>
    </w:p>
    <w:p w:rsidR="0066492B" w:rsidRDefault="0066492B">
      <w:pPr>
        <w:rPr>
          <w:rFonts w:eastAsia="Lucida Sans Unicode"/>
          <w:b/>
          <w:szCs w:val="28"/>
          <w:lang w:eastAsia="ar-SA"/>
        </w:rPr>
      </w:pPr>
      <w:r>
        <w:rPr>
          <w:rFonts w:eastAsia="Lucida Sans Unicode"/>
          <w:b/>
          <w:szCs w:val="28"/>
          <w:lang w:eastAsia="ar-SA"/>
        </w:rPr>
        <w:br w:type="page"/>
      </w:r>
    </w:p>
    <w:p w:rsidR="005E2904" w:rsidRPr="00A64EC9"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0" w:firstLine="709"/>
        <w:jc w:val="right"/>
        <w:outlineLvl w:val="0"/>
        <w:rPr>
          <w:b/>
          <w:szCs w:val="28"/>
        </w:rPr>
      </w:pPr>
      <w:r w:rsidRPr="00A64EC9">
        <w:rPr>
          <w:b/>
          <w:szCs w:val="28"/>
        </w:rPr>
        <w:lastRenderedPageBreak/>
        <w:t>Додаток Б</w:t>
      </w:r>
    </w:p>
    <w:p w:rsidR="00A64EC9" w:rsidRDefault="00A64EC9" w:rsidP="00A64EC9">
      <w:pPr>
        <w:tabs>
          <w:tab w:val="left" w:pos="426"/>
          <w:tab w:val="left" w:pos="540"/>
        </w:tabs>
        <w:spacing w:after="0" w:line="360" w:lineRule="auto"/>
        <w:jc w:val="center"/>
        <w:rPr>
          <w:b/>
          <w:color w:val="000000"/>
          <w:szCs w:val="28"/>
        </w:rPr>
      </w:pPr>
      <w:r>
        <w:rPr>
          <w:b/>
          <w:color w:val="000000"/>
          <w:szCs w:val="28"/>
        </w:rPr>
        <w:t>В</w:t>
      </w:r>
      <w:r w:rsidRPr="00CC25E7">
        <w:rPr>
          <w:b/>
          <w:color w:val="000000"/>
          <w:szCs w:val="28"/>
        </w:rPr>
        <w:t>ідомості про апробацію результатів дисертації</w:t>
      </w:r>
    </w:p>
    <w:p w:rsidR="00D87C59" w:rsidRPr="00F06F2A" w:rsidRDefault="00D87C5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rPr>
        <w:t>Метаболический синдром и современны</w:t>
      </w:r>
      <w:r>
        <w:rPr>
          <w:rFonts w:eastAsia="Times New Roman"/>
        </w:rPr>
        <w:t>е методы лечения дисметаболизма. Т</w:t>
      </w:r>
      <w:r w:rsidRPr="003E5390">
        <w:rPr>
          <w:rFonts w:eastAsia="Times New Roman"/>
        </w:rPr>
        <w:t>езисы Республиканской научно-практической конференции</w:t>
      </w:r>
      <w:r>
        <w:rPr>
          <w:rFonts w:eastAsia="Times New Roman"/>
        </w:rPr>
        <w:t xml:space="preserve">. 2016 Апр 15; Ташкент, Узбекистан - </w:t>
      </w:r>
      <w:r>
        <w:rPr>
          <w:color w:val="000000"/>
          <w:szCs w:val="28"/>
          <w:lang w:eastAsia="ar-SA"/>
        </w:rPr>
        <w:t>публікація тез.</w:t>
      </w:r>
    </w:p>
    <w:p w:rsidR="00D87C59" w:rsidRPr="004F40D5" w:rsidRDefault="00D87C5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rPr>
        <w:t>Медицинская наука: достижения и перспективы</w:t>
      </w:r>
      <w:r>
        <w:rPr>
          <w:rFonts w:eastAsia="Times New Roman"/>
        </w:rPr>
        <w:t>.</w:t>
      </w:r>
      <w:r w:rsidRPr="003E5390">
        <w:rPr>
          <w:rFonts w:eastAsia="Times New Roman"/>
        </w:rPr>
        <w:t xml:space="preserve"> </w:t>
      </w:r>
      <w:r>
        <w:rPr>
          <w:rFonts w:eastAsia="Times New Roman"/>
        </w:rPr>
        <w:t>М</w:t>
      </w:r>
      <w:r w:rsidRPr="003E5390">
        <w:rPr>
          <w:rFonts w:eastAsia="Times New Roman"/>
        </w:rPr>
        <w:t>атериалы XI научно-практической конференции молодых ученых и студентов ТГМУ им.</w:t>
      </w:r>
      <w:r>
        <w:rPr>
          <w:rFonts w:eastAsia="Times New Roman"/>
        </w:rPr>
        <w:t xml:space="preserve"> </w:t>
      </w:r>
      <w:r w:rsidRPr="003E5390">
        <w:rPr>
          <w:rFonts w:eastAsia="Times New Roman"/>
        </w:rPr>
        <w:t xml:space="preserve">Абуали ибни Сино с международным участием посвященная 25-летию государственной независимости Республики Таджикистан. </w:t>
      </w:r>
      <w:r>
        <w:rPr>
          <w:rFonts w:eastAsia="Times New Roman"/>
        </w:rPr>
        <w:t xml:space="preserve">2016 Апр 29; </w:t>
      </w:r>
      <w:r w:rsidRPr="003E43C4">
        <w:rPr>
          <w:rFonts w:eastAsia="Times New Roman"/>
        </w:rPr>
        <w:t>Душанбе</w:t>
      </w:r>
      <w:r>
        <w:rPr>
          <w:rFonts w:eastAsia="Times New Roman"/>
        </w:rPr>
        <w:t xml:space="preserve">, Таджикистан - </w:t>
      </w:r>
      <w:r>
        <w:rPr>
          <w:color w:val="000000"/>
          <w:szCs w:val="28"/>
          <w:lang w:eastAsia="ar-SA"/>
        </w:rPr>
        <w:t>публікація тез.</w:t>
      </w:r>
    </w:p>
    <w:p w:rsidR="0066492B" w:rsidRPr="004F40D5" w:rsidRDefault="00A64EC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rPr>
        <w:t>Щорічні терапевтичні читання: лікувально-діагностичні технології сучасної терапії</w:t>
      </w:r>
      <w:r>
        <w:rPr>
          <w:rFonts w:eastAsia="Times New Roman"/>
        </w:rPr>
        <w:t>.</w:t>
      </w:r>
      <w:r w:rsidRPr="003E5390">
        <w:rPr>
          <w:rFonts w:eastAsia="Times New Roman"/>
        </w:rPr>
        <w:t xml:space="preserve"> </w:t>
      </w:r>
      <w:r>
        <w:rPr>
          <w:rFonts w:eastAsia="Times New Roman"/>
        </w:rPr>
        <w:t>М</w:t>
      </w:r>
      <w:r w:rsidRPr="003E5390">
        <w:rPr>
          <w:rFonts w:eastAsia="Times New Roman"/>
        </w:rPr>
        <w:t>атеріали науково-практичної конференції з міжнародною участю, присвяченої пам´яті академіка Л.Т.</w:t>
      </w:r>
      <w:r>
        <w:rPr>
          <w:rFonts w:eastAsia="Times New Roman"/>
        </w:rPr>
        <w:t> </w:t>
      </w:r>
      <w:r w:rsidRPr="003E5390">
        <w:rPr>
          <w:rFonts w:eastAsia="Times New Roman"/>
        </w:rPr>
        <w:t>Малої</w:t>
      </w:r>
      <w:r>
        <w:rPr>
          <w:rFonts w:eastAsia="Times New Roman"/>
        </w:rPr>
        <w:t xml:space="preserve">. 2016 Квіт 25-26; Харків, Україна - </w:t>
      </w:r>
      <w:r>
        <w:rPr>
          <w:color w:val="000000"/>
          <w:szCs w:val="28"/>
          <w:lang w:eastAsia="ar-SA"/>
        </w:rPr>
        <w:t>стендова доповідь та публікація тез.</w:t>
      </w:r>
    </w:p>
    <w:p w:rsidR="00D87C59" w:rsidRPr="004F40D5" w:rsidRDefault="00D87C5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43C4">
        <w:rPr>
          <w:rFonts w:eastAsia="Times New Roman"/>
        </w:rPr>
        <w:t>Стратегії профілактики неінфекційних хвороб та шляхи їх реалізації: від постулатів минулого в майбутнє</w:t>
      </w:r>
      <w:r>
        <w:rPr>
          <w:rFonts w:eastAsia="Times New Roman"/>
        </w:rPr>
        <w:t>.</w:t>
      </w:r>
      <w:r w:rsidRPr="003E43C4">
        <w:rPr>
          <w:rFonts w:eastAsia="Times New Roman"/>
        </w:rPr>
        <w:t xml:space="preserve"> </w:t>
      </w:r>
      <w:r>
        <w:rPr>
          <w:rFonts w:eastAsia="Times New Roman"/>
        </w:rPr>
        <w:t>М</w:t>
      </w:r>
      <w:r w:rsidRPr="003E43C4">
        <w:rPr>
          <w:rFonts w:eastAsia="Times New Roman"/>
        </w:rPr>
        <w:t>атеріали науково-практичної конференції з міжнародною участю</w:t>
      </w:r>
      <w:r>
        <w:rPr>
          <w:rFonts w:eastAsia="Times New Roman"/>
        </w:rPr>
        <w:t xml:space="preserve">. 2016 Лист 4; Харків, Україна - </w:t>
      </w:r>
      <w:r>
        <w:rPr>
          <w:color w:val="000000"/>
          <w:szCs w:val="28"/>
          <w:lang w:eastAsia="ar-SA"/>
        </w:rPr>
        <w:t>стендова доповідь та публікація тез.</w:t>
      </w:r>
    </w:p>
    <w:p w:rsidR="00F06F2A" w:rsidRPr="00A64EC9" w:rsidRDefault="00F06F2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lang w:val="en-US"/>
        </w:rPr>
        <w:t>Actual problems of cl</w:t>
      </w:r>
      <w:r>
        <w:rPr>
          <w:rFonts w:eastAsia="Times New Roman"/>
          <w:lang w:val="en-US"/>
        </w:rPr>
        <w:t>inical and theoretical medicine</w:t>
      </w:r>
      <w:r w:rsidRPr="00FE71DB">
        <w:rPr>
          <w:rFonts w:eastAsia="Times New Roman"/>
          <w:lang w:val="en-US"/>
        </w:rPr>
        <w:t>.</w:t>
      </w:r>
      <w:r w:rsidRPr="003E5390">
        <w:rPr>
          <w:rFonts w:eastAsia="Times New Roman"/>
          <w:lang w:val="en-US"/>
        </w:rPr>
        <w:t xml:space="preserve"> Materials of IX International Interdisciplinary Scientific Conference of Young Scientists and m</w:t>
      </w:r>
      <w:r>
        <w:rPr>
          <w:rFonts w:eastAsia="Times New Roman"/>
          <w:lang w:val="en-US"/>
        </w:rPr>
        <w:t>edical students</w:t>
      </w:r>
      <w:r w:rsidRPr="00FE71DB">
        <w:rPr>
          <w:rFonts w:eastAsia="Times New Roman"/>
          <w:lang w:val="en-US"/>
        </w:rPr>
        <w:t xml:space="preserve">; </w:t>
      </w:r>
      <w:r>
        <w:rPr>
          <w:rFonts w:eastAsia="Times New Roman"/>
          <w:lang w:val="en-US"/>
        </w:rPr>
        <w:t xml:space="preserve">2016 Apr 25-26; </w:t>
      </w:r>
      <w:r w:rsidRPr="003E5390">
        <w:rPr>
          <w:rFonts w:eastAsia="Times New Roman"/>
        </w:rPr>
        <w:t>Kharkiv</w:t>
      </w:r>
      <w:r>
        <w:rPr>
          <w:rFonts w:eastAsia="Times New Roman"/>
        </w:rPr>
        <w:t xml:space="preserve">, </w:t>
      </w:r>
      <w:r w:rsidRPr="005F31E6">
        <w:rPr>
          <w:rFonts w:eastAsia="Times New Roman"/>
          <w:lang w:val="en-US"/>
        </w:rPr>
        <w:t>Ukraine</w:t>
      </w:r>
      <w:r>
        <w:rPr>
          <w:rFonts w:eastAsia="Times New Roman"/>
        </w:rPr>
        <w:t xml:space="preserve"> - </w:t>
      </w:r>
      <w:r>
        <w:rPr>
          <w:color w:val="000000"/>
          <w:szCs w:val="28"/>
          <w:lang w:eastAsia="ar-SA"/>
        </w:rPr>
        <w:t>стендова доповідь та публікація тез.</w:t>
      </w:r>
    </w:p>
    <w:p w:rsidR="00F06F2A" w:rsidRPr="004F40D5"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rFonts w:eastAsia="Times New Roman"/>
        </w:rPr>
        <w:t xml:space="preserve"> </w:t>
      </w:r>
      <w:r w:rsidR="00F06F2A" w:rsidRPr="003E5390">
        <w:rPr>
          <w:rFonts w:eastAsia="Times New Roman"/>
        </w:rPr>
        <w:t>Досягнення та перспективи експериментальної та клінічної ендокринології</w:t>
      </w:r>
      <w:r w:rsidR="00F06F2A">
        <w:rPr>
          <w:rFonts w:eastAsia="Times New Roman"/>
        </w:rPr>
        <w:t>.</w:t>
      </w:r>
      <w:r w:rsidR="00F06F2A" w:rsidRPr="003E5390">
        <w:rPr>
          <w:rFonts w:eastAsia="Times New Roman"/>
        </w:rPr>
        <w:t xml:space="preserve"> </w:t>
      </w:r>
      <w:r w:rsidR="00F06F2A" w:rsidRPr="00FE71DB">
        <w:rPr>
          <w:rFonts w:eastAsia="Times New Roman"/>
        </w:rPr>
        <w:t>П’ятнадцяті Данілевські читання</w:t>
      </w:r>
      <w:r w:rsidR="00F06F2A">
        <w:rPr>
          <w:rFonts w:eastAsia="Times New Roman"/>
        </w:rPr>
        <w:t>. М</w:t>
      </w:r>
      <w:r w:rsidR="00F06F2A" w:rsidRPr="003E5390">
        <w:rPr>
          <w:rFonts w:eastAsia="Times New Roman"/>
        </w:rPr>
        <w:t>атеріали науково-практичної к</w:t>
      </w:r>
      <w:r w:rsidR="00F06F2A">
        <w:rPr>
          <w:rFonts w:eastAsia="Times New Roman"/>
        </w:rPr>
        <w:t xml:space="preserve">онференції з міжнародною участю. 2016 Бер 10-11; Харків, Україна - </w:t>
      </w:r>
      <w:r w:rsidR="00F06F2A">
        <w:rPr>
          <w:color w:val="000000"/>
          <w:szCs w:val="28"/>
          <w:lang w:eastAsia="ar-SA"/>
        </w:rPr>
        <w:t>стендова доповідь та публікація тез.</w:t>
      </w:r>
    </w:p>
    <w:p w:rsidR="00A64EC9" w:rsidRPr="00A64EC9" w:rsidRDefault="00A64EC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6F01AF">
        <w:rPr>
          <w:rFonts w:eastAsia="Times New Roman"/>
        </w:rPr>
        <w:lastRenderedPageBreak/>
        <w:t>Медицина третього тисячоліття</w:t>
      </w:r>
      <w:r>
        <w:rPr>
          <w:rFonts w:eastAsia="Times New Roman"/>
        </w:rPr>
        <w:t>.</w:t>
      </w:r>
      <w:r w:rsidRPr="006F01AF">
        <w:rPr>
          <w:rFonts w:eastAsia="Times New Roman"/>
        </w:rPr>
        <w:t xml:space="preserve"> </w:t>
      </w:r>
      <w:r>
        <w:rPr>
          <w:rFonts w:eastAsia="Times New Roman"/>
        </w:rPr>
        <w:t>З</w:t>
      </w:r>
      <w:r w:rsidRPr="006F01AF">
        <w:rPr>
          <w:rFonts w:eastAsia="Times New Roman"/>
        </w:rPr>
        <w:t>бірник тез міжвузівської конферен</w:t>
      </w:r>
      <w:r>
        <w:rPr>
          <w:rFonts w:eastAsia="Times New Roman"/>
        </w:rPr>
        <w:t xml:space="preserve">ції молодих вчених та студентів; 2017 Січ 16-17; Харків, Україна - </w:t>
      </w:r>
      <w:r>
        <w:rPr>
          <w:color w:val="000000"/>
          <w:szCs w:val="28"/>
          <w:lang w:eastAsia="ar-SA"/>
        </w:rPr>
        <w:t>стендова доповідь та публікація тез.</w:t>
      </w:r>
    </w:p>
    <w:p w:rsidR="00A64EC9" w:rsidRPr="00F06F2A" w:rsidRDefault="00F06F2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lang w:val="en-US"/>
        </w:rPr>
        <w:t>10th International Scientific Interdisciplinary Conference (ISIC) for medical students and young scientists</w:t>
      </w:r>
      <w:r>
        <w:rPr>
          <w:rFonts w:eastAsia="Times New Roman"/>
        </w:rPr>
        <w:t xml:space="preserve">; </w:t>
      </w:r>
      <w:r>
        <w:rPr>
          <w:rFonts w:eastAsia="Times New Roman"/>
          <w:lang w:val="en-US"/>
        </w:rPr>
        <w:t xml:space="preserve">2017 May 24-26; </w:t>
      </w:r>
      <w:r w:rsidRPr="003E5390">
        <w:rPr>
          <w:rFonts w:eastAsia="Times New Roman"/>
          <w:lang w:val="en-US"/>
        </w:rPr>
        <w:t>Kharkiv</w:t>
      </w:r>
      <w:r>
        <w:rPr>
          <w:rFonts w:eastAsia="Times New Roman"/>
        </w:rPr>
        <w:t xml:space="preserve">, </w:t>
      </w:r>
      <w:r w:rsidRPr="005F31E6">
        <w:rPr>
          <w:rFonts w:eastAsia="Times New Roman"/>
          <w:lang w:val="en-US"/>
        </w:rPr>
        <w:t>Ukraine</w:t>
      </w:r>
      <w:r>
        <w:rPr>
          <w:rFonts w:eastAsia="Times New Roman"/>
        </w:rPr>
        <w:t xml:space="preserve"> - </w:t>
      </w:r>
      <w:r>
        <w:rPr>
          <w:color w:val="000000"/>
          <w:szCs w:val="28"/>
          <w:lang w:eastAsia="ar-SA"/>
        </w:rPr>
        <w:t>доповідь та публікація тез.</w:t>
      </w:r>
    </w:p>
    <w:p w:rsidR="00F06F2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09137A">
        <w:rPr>
          <w:rFonts w:eastAsia="Times New Roman"/>
        </w:rPr>
        <w:t>Матеріали XV</w:t>
      </w:r>
      <w:r w:rsidRPr="0009137A">
        <w:rPr>
          <w:rFonts w:eastAsia="Times New Roman"/>
          <w:lang w:val="en-US"/>
        </w:rPr>
        <w:t>III</w:t>
      </w:r>
      <w:r w:rsidRPr="0009137A">
        <w:rPr>
          <w:rFonts w:eastAsia="Times New Roman"/>
        </w:rPr>
        <w:t xml:space="preserve"> Національного конгресу кардіологів України; 2017 Вер 20-22; Київ, Україна - </w:t>
      </w:r>
      <w:r w:rsidRPr="0009137A">
        <w:rPr>
          <w:color w:val="000000"/>
          <w:szCs w:val="28"/>
          <w:lang w:eastAsia="ar-SA"/>
        </w:rPr>
        <w:t>стендова доповідь та публікація тез.</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color w:val="000000"/>
          <w:szCs w:val="28"/>
          <w:lang w:eastAsia="ar-SA"/>
        </w:rPr>
        <w:t xml:space="preserve"> </w:t>
      </w:r>
      <w:r>
        <w:rPr>
          <w:rFonts w:eastAsia="Times New Roman"/>
        </w:rPr>
        <w:t>Медицина третього тисячоліття.</w:t>
      </w:r>
      <w:r w:rsidRPr="003E5390">
        <w:rPr>
          <w:rFonts w:eastAsia="Times New Roman"/>
        </w:rPr>
        <w:t xml:space="preserve"> </w:t>
      </w:r>
      <w:r>
        <w:rPr>
          <w:rFonts w:eastAsia="Times New Roman"/>
        </w:rPr>
        <w:t>З</w:t>
      </w:r>
      <w:r w:rsidRPr="003E5390">
        <w:rPr>
          <w:rFonts w:eastAsia="Times New Roman"/>
        </w:rPr>
        <w:t>бірник тез міжвузівської конференції молодих вчених та студентів</w:t>
      </w:r>
      <w:r>
        <w:rPr>
          <w:rFonts w:eastAsia="Times New Roman"/>
        </w:rPr>
        <w:t xml:space="preserve">; 2018 Січ 22-24; Харків, Україна - </w:t>
      </w:r>
      <w:r>
        <w:rPr>
          <w:color w:val="000000"/>
          <w:szCs w:val="28"/>
          <w:lang w:eastAsia="ar-SA"/>
        </w:rPr>
        <w:t>стендова доповідь та публікація тез.</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color w:val="000000"/>
          <w:szCs w:val="28"/>
          <w:lang w:eastAsia="ar-SA"/>
        </w:rPr>
        <w:t xml:space="preserve">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 - </w:t>
      </w:r>
      <w:r>
        <w:rPr>
          <w:color w:val="000000"/>
          <w:szCs w:val="28"/>
          <w:lang w:eastAsia="ar-SA"/>
        </w:rPr>
        <w:t>стендова доповідь та публікація тез.</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szCs w:val="28"/>
        </w:rPr>
        <w:t xml:space="preserve"> </w:t>
      </w:r>
      <w:r w:rsidRPr="003A5145">
        <w:rPr>
          <w:szCs w:val="28"/>
        </w:rPr>
        <w:t>II International Scientific and Practical Conference «Science of the XXI Century: Problem</w:t>
      </w:r>
      <w:r>
        <w:rPr>
          <w:szCs w:val="28"/>
        </w:rPr>
        <w:t xml:space="preserve">s and Prospects of Researches» </w:t>
      </w:r>
      <w:r>
        <w:rPr>
          <w:szCs w:val="28"/>
          <w:lang w:val="en-US"/>
        </w:rPr>
        <w:t>Nov</w:t>
      </w:r>
      <w:r w:rsidRPr="0034612F">
        <w:rPr>
          <w:szCs w:val="28"/>
        </w:rPr>
        <w:t xml:space="preserve"> </w:t>
      </w:r>
      <w:r>
        <w:rPr>
          <w:szCs w:val="28"/>
        </w:rPr>
        <w:t xml:space="preserve">18, 2018; </w:t>
      </w:r>
      <w:r w:rsidRPr="003A5145">
        <w:rPr>
          <w:szCs w:val="28"/>
        </w:rPr>
        <w:t>Warsaw</w:t>
      </w:r>
      <w:r>
        <w:rPr>
          <w:szCs w:val="28"/>
        </w:rPr>
        <w:t>,</w:t>
      </w:r>
      <w:r w:rsidRPr="003A5145">
        <w:rPr>
          <w:szCs w:val="28"/>
        </w:rPr>
        <w:t xml:space="preserve"> </w:t>
      </w:r>
      <w:r>
        <w:rPr>
          <w:szCs w:val="28"/>
        </w:rPr>
        <w:t xml:space="preserve">Poland - </w:t>
      </w:r>
      <w:r>
        <w:rPr>
          <w:color w:val="000000"/>
          <w:szCs w:val="28"/>
          <w:lang w:eastAsia="ar-SA"/>
        </w:rPr>
        <w:t>доповідь та публікація статті.</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szCs w:val="28"/>
        </w:rPr>
        <w:t xml:space="preserve"> </w:t>
      </w:r>
      <w:r w:rsidRPr="003A5145">
        <w:rPr>
          <w:szCs w:val="28"/>
        </w:rPr>
        <w:t>IV International Scientific and Practical Conference «M</w:t>
      </w:r>
      <w:r>
        <w:rPr>
          <w:szCs w:val="28"/>
        </w:rPr>
        <w:t xml:space="preserve">ethodology of Modern Research» </w:t>
      </w:r>
      <w:r w:rsidRPr="003A5145">
        <w:rPr>
          <w:szCs w:val="28"/>
        </w:rPr>
        <w:t>2018</w:t>
      </w:r>
      <w:r>
        <w:rPr>
          <w:szCs w:val="28"/>
        </w:rPr>
        <w:t xml:space="preserve">, </w:t>
      </w:r>
      <w:r>
        <w:rPr>
          <w:szCs w:val="28"/>
          <w:lang w:val="en-US"/>
        </w:rPr>
        <w:t>March</w:t>
      </w:r>
      <w:r w:rsidRPr="0034612F">
        <w:rPr>
          <w:szCs w:val="28"/>
        </w:rPr>
        <w:t xml:space="preserve"> </w:t>
      </w:r>
      <w:r>
        <w:rPr>
          <w:szCs w:val="28"/>
        </w:rPr>
        <w:t xml:space="preserve">31; </w:t>
      </w:r>
      <w:r w:rsidRPr="003A5145">
        <w:rPr>
          <w:szCs w:val="28"/>
        </w:rPr>
        <w:t xml:space="preserve">Dubai, </w:t>
      </w:r>
      <w:r>
        <w:rPr>
          <w:szCs w:val="28"/>
        </w:rPr>
        <w:t xml:space="preserve">UAE - </w:t>
      </w:r>
      <w:r>
        <w:rPr>
          <w:color w:val="000000"/>
          <w:szCs w:val="28"/>
          <w:lang w:eastAsia="ar-SA"/>
        </w:rPr>
        <w:t>доповідь та публікація статті.</w:t>
      </w:r>
    </w:p>
    <w:sectPr w:rsidR="0009137A" w:rsidRPr="0009137A" w:rsidSect="00F407BB">
      <w:type w:val="continuous"/>
      <w:pgSz w:w="12240" w:h="15840"/>
      <w:pgMar w:top="1134" w:right="567" w:bottom="1134"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76" w:rsidRDefault="00654476" w:rsidP="00DA239E">
      <w:pPr>
        <w:spacing w:after="0" w:line="240" w:lineRule="auto"/>
      </w:pPr>
      <w:r>
        <w:separator/>
      </w:r>
    </w:p>
  </w:endnote>
  <w:endnote w:type="continuationSeparator" w:id="0">
    <w:p w:rsidR="00654476" w:rsidRDefault="00654476" w:rsidP="00DA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76" w:rsidRDefault="00654476" w:rsidP="00DA239E">
      <w:pPr>
        <w:spacing w:after="0" w:line="240" w:lineRule="auto"/>
      </w:pPr>
      <w:r>
        <w:separator/>
      </w:r>
    </w:p>
  </w:footnote>
  <w:footnote w:type="continuationSeparator" w:id="0">
    <w:p w:rsidR="00654476" w:rsidRDefault="00654476" w:rsidP="00DA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200139"/>
      <w:docPartObj>
        <w:docPartGallery w:val="Page Numbers (Top of Page)"/>
        <w:docPartUnique/>
      </w:docPartObj>
    </w:sdtPr>
    <w:sdtEndPr/>
    <w:sdtContent>
      <w:p w:rsidR="00EA6E07" w:rsidRDefault="00EA6E07">
        <w:pPr>
          <w:pStyle w:val="a4"/>
          <w:jc w:val="right"/>
        </w:pPr>
        <w:r>
          <w:fldChar w:fldCharType="begin"/>
        </w:r>
        <w:r>
          <w:instrText>PAGE   \* MERGEFORMAT</w:instrText>
        </w:r>
        <w:r>
          <w:fldChar w:fldCharType="separate"/>
        </w:r>
        <w:r w:rsidR="0034125A" w:rsidRPr="0034125A">
          <w:rPr>
            <w:noProof/>
            <w:lang w:val="ru-RU"/>
          </w:rPr>
          <w:t>105</w:t>
        </w:r>
        <w:r>
          <w:rPr>
            <w:noProof/>
            <w:lang w:val="ru-RU"/>
          </w:rPr>
          <w:fldChar w:fldCharType="end"/>
        </w:r>
      </w:p>
    </w:sdtContent>
  </w:sdt>
  <w:p w:rsidR="00EA6E07" w:rsidRDefault="00EA6E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853"/>
      <w:docPartObj>
        <w:docPartGallery w:val="Page Numbers (Top of Page)"/>
        <w:docPartUnique/>
      </w:docPartObj>
    </w:sdtPr>
    <w:sdtEndPr/>
    <w:sdtContent>
      <w:p w:rsidR="00EA6E07" w:rsidRDefault="00654476">
        <w:pPr>
          <w:pStyle w:val="a4"/>
          <w:jc w:val="right"/>
        </w:pPr>
        <w:r>
          <w:fldChar w:fldCharType="begin"/>
        </w:r>
        <w:r>
          <w:instrText xml:space="preserve"> PAGE   \* MERGEFORMAT </w:instrText>
        </w:r>
        <w:r>
          <w:fldChar w:fldCharType="separate"/>
        </w:r>
        <w:r w:rsidR="0034125A">
          <w:rPr>
            <w:noProof/>
          </w:rPr>
          <w:t>231</w:t>
        </w:r>
        <w:r>
          <w:rPr>
            <w:noProof/>
          </w:rPr>
          <w:fldChar w:fldCharType="end"/>
        </w:r>
      </w:p>
    </w:sdtContent>
  </w:sdt>
  <w:p w:rsidR="00EA6E07" w:rsidRDefault="00EA6E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B2E"/>
    <w:multiLevelType w:val="hybridMultilevel"/>
    <w:tmpl w:val="1C42993E"/>
    <w:lvl w:ilvl="0" w:tplc="978A01CA">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DA77A2"/>
    <w:multiLevelType w:val="hybridMultilevel"/>
    <w:tmpl w:val="D66ED04A"/>
    <w:lvl w:ilvl="0" w:tplc="58B230BA">
      <w:start w:val="1"/>
      <w:numFmt w:val="decimal"/>
      <w:lvlText w:val="%1."/>
      <w:lvlJc w:val="left"/>
      <w:pPr>
        <w:ind w:left="1557" w:hanging="99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1600F4"/>
    <w:multiLevelType w:val="hybridMultilevel"/>
    <w:tmpl w:val="24567DDC"/>
    <w:lvl w:ilvl="0" w:tplc="F1586DAE">
      <w:start w:val="1"/>
      <w:numFmt w:val="decimal"/>
      <w:lvlText w:val="%1."/>
      <w:lvlJc w:val="left"/>
      <w:pPr>
        <w:ind w:left="1571" w:hanging="360"/>
      </w:pPr>
      <w:rPr>
        <w:rFonts w:ascii="Times New Roman" w:hAnsi="Times New Roman" w:cs="Times New Roman" w:hint="default"/>
        <w:b w:val="0"/>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12D23EC4"/>
    <w:multiLevelType w:val="multilevel"/>
    <w:tmpl w:val="64FA50FA"/>
    <w:lvl w:ilvl="0">
      <w:start w:val="1"/>
      <w:numFmt w:val="decimal"/>
      <w:lvlText w:val="%1."/>
      <w:lvlJc w:val="left"/>
      <w:pPr>
        <w:ind w:left="450" w:hanging="450"/>
      </w:pPr>
    </w:lvl>
    <w:lvl w:ilvl="1">
      <w:start w:val="1"/>
      <w:numFmt w:val="decimal"/>
      <w:lvlText w:val="%1.%2."/>
      <w:lvlJc w:val="left"/>
      <w:pPr>
        <w:ind w:left="1080" w:hanging="720"/>
      </w:pPr>
      <w:rPr>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15F63761"/>
    <w:multiLevelType w:val="hybridMultilevel"/>
    <w:tmpl w:val="924843AA"/>
    <w:lvl w:ilvl="0" w:tplc="DE3C396E">
      <w:start w:val="121"/>
      <w:numFmt w:val="decimal"/>
      <w:lvlText w:val="%1."/>
      <w:lvlJc w:val="left"/>
      <w:pPr>
        <w:ind w:left="1068" w:hanging="360"/>
      </w:pPr>
      <w:rPr>
        <w:rFonts w:ascii="Times New Roman" w:hAnsi="Times New Roman" w:cs="Times New Roman" w:hint="default"/>
        <w:color w:val="1E3A3A"/>
        <w:sz w:val="27"/>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92E31D7"/>
    <w:multiLevelType w:val="hybridMultilevel"/>
    <w:tmpl w:val="785822A0"/>
    <w:lvl w:ilvl="0" w:tplc="D91CB1FA">
      <w:start w:val="1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2A6C9A"/>
    <w:multiLevelType w:val="hybridMultilevel"/>
    <w:tmpl w:val="DC240A62"/>
    <w:lvl w:ilvl="0" w:tplc="2FE002DA">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AB64E0"/>
    <w:multiLevelType w:val="hybridMultilevel"/>
    <w:tmpl w:val="303E1E2E"/>
    <w:lvl w:ilvl="0" w:tplc="54C0C8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B54C5"/>
    <w:multiLevelType w:val="hybridMultilevel"/>
    <w:tmpl w:val="C7E41C80"/>
    <w:lvl w:ilvl="0" w:tplc="471EB278">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9">
    <w:nsid w:val="2A1C33DB"/>
    <w:multiLevelType w:val="hybridMultilevel"/>
    <w:tmpl w:val="25E88D68"/>
    <w:lvl w:ilvl="0" w:tplc="E7487B36">
      <w:start w:val="126"/>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9524B"/>
    <w:multiLevelType w:val="hybridMultilevel"/>
    <w:tmpl w:val="3FC0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57498"/>
    <w:multiLevelType w:val="hybridMultilevel"/>
    <w:tmpl w:val="673CE0B2"/>
    <w:lvl w:ilvl="0" w:tplc="0E1E0E0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170DB3"/>
    <w:multiLevelType w:val="hybridMultilevel"/>
    <w:tmpl w:val="DB200760"/>
    <w:lvl w:ilvl="0" w:tplc="E1F4D892">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8453DB7"/>
    <w:multiLevelType w:val="hybridMultilevel"/>
    <w:tmpl w:val="F2FAFB86"/>
    <w:lvl w:ilvl="0" w:tplc="190E8A0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8982D56"/>
    <w:multiLevelType w:val="hybridMultilevel"/>
    <w:tmpl w:val="C25499EA"/>
    <w:lvl w:ilvl="0" w:tplc="F22C368A">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AC61B3A"/>
    <w:multiLevelType w:val="singleLevel"/>
    <w:tmpl w:val="5D1C7266"/>
    <w:lvl w:ilvl="0">
      <w:start w:val="1"/>
      <w:numFmt w:val="decimal"/>
      <w:lvlText w:val="2.%1."/>
      <w:legacy w:legacy="1" w:legacySpace="0" w:legacyIndent="500"/>
      <w:lvlJc w:val="left"/>
      <w:rPr>
        <w:rFonts w:ascii="Times New Roman" w:hAnsi="Times New Roman" w:cs="Times New Roman" w:hint="default"/>
      </w:rPr>
    </w:lvl>
  </w:abstractNum>
  <w:abstractNum w:abstractNumId="16">
    <w:nsid w:val="5C545679"/>
    <w:multiLevelType w:val="hybridMultilevel"/>
    <w:tmpl w:val="079424D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6E23003B"/>
    <w:multiLevelType w:val="hybridMultilevel"/>
    <w:tmpl w:val="4A3E7F46"/>
    <w:lvl w:ilvl="0" w:tplc="FA3677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342763D"/>
    <w:multiLevelType w:val="hybridMultilevel"/>
    <w:tmpl w:val="5E30E080"/>
    <w:lvl w:ilvl="0" w:tplc="FFBED93C">
      <w:start w:val="3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48846AA"/>
    <w:multiLevelType w:val="hybridMultilevel"/>
    <w:tmpl w:val="ECB4723A"/>
    <w:lvl w:ilvl="0" w:tplc="6F8A8CCC">
      <w:start w:val="3"/>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F0860"/>
    <w:multiLevelType w:val="hybridMultilevel"/>
    <w:tmpl w:val="F1AE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1"/>
  </w:num>
  <w:num w:numId="7">
    <w:abstractNumId w:val="12"/>
  </w:num>
  <w:num w:numId="8">
    <w:abstractNumId w:val="5"/>
  </w:num>
  <w:num w:numId="9">
    <w:abstractNumId w:val="6"/>
  </w:num>
  <w:num w:numId="10">
    <w:abstractNumId w:val="14"/>
  </w:num>
  <w:num w:numId="11">
    <w:abstractNumId w:val="18"/>
  </w:num>
  <w:num w:numId="12">
    <w:abstractNumId w:val="19"/>
  </w:num>
  <w:num w:numId="13">
    <w:abstractNumId w:val="0"/>
  </w:num>
  <w:num w:numId="14">
    <w:abstractNumId w:val="20"/>
  </w:num>
  <w:num w:numId="15">
    <w:abstractNumId w:val="4"/>
  </w:num>
  <w:num w:numId="16">
    <w:abstractNumId w:val="9"/>
  </w:num>
  <w:num w:numId="17">
    <w:abstractNumId w:val="1"/>
  </w:num>
  <w:num w:numId="18">
    <w:abstractNumId w:val="16"/>
  </w:num>
  <w:num w:numId="19">
    <w:abstractNumId w:val="2"/>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5EFC"/>
    <w:rsid w:val="00004C84"/>
    <w:rsid w:val="00073E12"/>
    <w:rsid w:val="00075EE6"/>
    <w:rsid w:val="00080A0A"/>
    <w:rsid w:val="000848D3"/>
    <w:rsid w:val="0009137A"/>
    <w:rsid w:val="000931A5"/>
    <w:rsid w:val="000D1009"/>
    <w:rsid w:val="000D68B1"/>
    <w:rsid w:val="000D73DB"/>
    <w:rsid w:val="000E2606"/>
    <w:rsid w:val="000E7D12"/>
    <w:rsid w:val="001262BE"/>
    <w:rsid w:val="001576A9"/>
    <w:rsid w:val="00185AE4"/>
    <w:rsid w:val="001E7942"/>
    <w:rsid w:val="002268E3"/>
    <w:rsid w:val="00244BCA"/>
    <w:rsid w:val="00301E40"/>
    <w:rsid w:val="003360AA"/>
    <w:rsid w:val="0034125A"/>
    <w:rsid w:val="00343786"/>
    <w:rsid w:val="00384815"/>
    <w:rsid w:val="003C0204"/>
    <w:rsid w:val="003D1F1A"/>
    <w:rsid w:val="003E759A"/>
    <w:rsid w:val="003E782D"/>
    <w:rsid w:val="003F03AB"/>
    <w:rsid w:val="00403EBE"/>
    <w:rsid w:val="0041462E"/>
    <w:rsid w:val="00475927"/>
    <w:rsid w:val="004E73D0"/>
    <w:rsid w:val="004F40D5"/>
    <w:rsid w:val="004F5D32"/>
    <w:rsid w:val="00577727"/>
    <w:rsid w:val="00587E8D"/>
    <w:rsid w:val="005B6344"/>
    <w:rsid w:val="005C44C9"/>
    <w:rsid w:val="005E2904"/>
    <w:rsid w:val="00610BD1"/>
    <w:rsid w:val="006448A3"/>
    <w:rsid w:val="00654476"/>
    <w:rsid w:val="0066492B"/>
    <w:rsid w:val="00675A8F"/>
    <w:rsid w:val="00677812"/>
    <w:rsid w:val="006C2C94"/>
    <w:rsid w:val="00726690"/>
    <w:rsid w:val="007453A7"/>
    <w:rsid w:val="007571E1"/>
    <w:rsid w:val="007D1B69"/>
    <w:rsid w:val="0081364C"/>
    <w:rsid w:val="008637A2"/>
    <w:rsid w:val="00864293"/>
    <w:rsid w:val="00864DAF"/>
    <w:rsid w:val="00902261"/>
    <w:rsid w:val="0095799D"/>
    <w:rsid w:val="00963601"/>
    <w:rsid w:val="00984B86"/>
    <w:rsid w:val="00A64EC9"/>
    <w:rsid w:val="00A80B21"/>
    <w:rsid w:val="00AB3B73"/>
    <w:rsid w:val="00B20918"/>
    <w:rsid w:val="00BA7D3F"/>
    <w:rsid w:val="00C40143"/>
    <w:rsid w:val="00C454B1"/>
    <w:rsid w:val="00C83CC0"/>
    <w:rsid w:val="00C95D43"/>
    <w:rsid w:val="00CA2F56"/>
    <w:rsid w:val="00CA702E"/>
    <w:rsid w:val="00CE0F75"/>
    <w:rsid w:val="00CF75BA"/>
    <w:rsid w:val="00D13072"/>
    <w:rsid w:val="00D240B0"/>
    <w:rsid w:val="00D24350"/>
    <w:rsid w:val="00D47570"/>
    <w:rsid w:val="00D52D9C"/>
    <w:rsid w:val="00D56449"/>
    <w:rsid w:val="00D83F81"/>
    <w:rsid w:val="00D87C59"/>
    <w:rsid w:val="00DA239E"/>
    <w:rsid w:val="00DE5EFC"/>
    <w:rsid w:val="00E0327D"/>
    <w:rsid w:val="00E03CCB"/>
    <w:rsid w:val="00E65049"/>
    <w:rsid w:val="00E66EED"/>
    <w:rsid w:val="00E950A5"/>
    <w:rsid w:val="00EA6E07"/>
    <w:rsid w:val="00EB358E"/>
    <w:rsid w:val="00EB666A"/>
    <w:rsid w:val="00EF6847"/>
    <w:rsid w:val="00F06F2A"/>
    <w:rsid w:val="00F35EB6"/>
    <w:rsid w:val="00F407BB"/>
    <w:rsid w:val="00F5099E"/>
    <w:rsid w:val="00F85A7A"/>
    <w:rsid w:val="00FA0981"/>
    <w:rsid w:val="00FB58A8"/>
    <w:rsid w:val="00FE0AC2"/>
    <w:rsid w:val="00FF209C"/>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6"/>
    <o:shapelayout v:ext="edit">
      <o:idmap v:ext="edit" data="1"/>
      <o:rules v:ext="edit">
        <o:r id="V:Rule1" type="connector" idref="#_x0000_s1450"/>
        <o:r id="V:Rule2" type="connector" idref="#_x0000_s1439">
          <o:proxy start="" idref="#_x0000_s1442" connectloc="0"/>
          <o:proxy end="" idref="#_x0000_s1437" connectloc="3"/>
        </o:r>
        <o:r id="V:Rule3" type="connector" idref="#_x0000_s1404">
          <o:proxy start="" idref="#_x0000_s1401" connectloc="5"/>
          <o:proxy end="" idref="#_x0000_s1405" connectloc="0"/>
        </o:r>
        <o:r id="V:Rule4" type="connector" idref="#_x0000_s1438"/>
        <o:r id="V:Rule5" type="connector" idref="#_x0000_s1502"/>
        <o:r id="V:Rule6" type="connector" idref="#_x0000_s1415">
          <o:proxy start="" idref="#_x0000_s1418" connectloc="0"/>
          <o:proxy end="" idref="#_x0000_s1413" connectloc="3"/>
        </o:r>
        <o:r id="V:Rule7" type="connector" idref="#_x0000_s1428">
          <o:proxy start="" idref="#_x0000_s1425" connectloc="5"/>
          <o:proxy end="" idref="#_x0000_s1429" connectloc="0"/>
        </o:r>
        <o:r id="V:Rule8" type="connector" idref="#_x0000_s1414"/>
        <o:r id="V:Rule9" type="connector" idref="#_x0000_s1416">
          <o:proxy end="" idref="#_x0000_s1417" connectloc="0"/>
        </o:r>
        <o:r id="V:Rule10" type="connector" idref="#_x0000_s1390"/>
        <o:r id="V:Rule11" type="connector" idref="#_x0000_s1392">
          <o:proxy start="" idref="#_x0000_s1389" connectloc="5"/>
          <o:proxy end="" idref="#_x0000_s1393" connectloc="0"/>
        </o:r>
        <o:r id="V:Rule12" type="connector" idref="#_x0000_s1427">
          <o:proxy start="" idref="#_x0000_s1430" connectloc="0"/>
          <o:proxy end="" idref="#_x0000_s1425" connectloc="3"/>
        </o:r>
        <o:r id="V:Rule13" type="connector" idref="#_x0000_s1440">
          <o:proxy start="" idref="#_x0000_s1437" connectloc="5"/>
          <o:proxy end="" idref="#_x0000_s1441" connectloc="0"/>
        </o:r>
        <o:r id="V:Rule14" type="connector" idref="#_x0000_s1426"/>
        <o:r id="V:Rule15" type="connector" idref="#_x0000_s1402"/>
        <o:r id="V:Rule16" type="connector" idref="#_x0000_s1452">
          <o:proxy start="" idref="#_x0000_s1449" connectloc="5"/>
          <o:proxy end="" idref="#_x0000_s1453" connectloc="0"/>
        </o:r>
        <o:r id="V:Rule17" type="connector" idref="#_x0000_s1391">
          <o:proxy start="" idref="#_x0000_s1394" connectloc="0"/>
          <o:proxy end="" idref="#_x0000_s1389" connectloc="3"/>
        </o:r>
        <o:r id="V:Rule18" type="connector" idref="#_x0000_s1403">
          <o:proxy start="" idref="#_x0000_s1406" connectloc="0"/>
          <o:proxy end="" idref="#_x0000_s1401" connectloc="3"/>
        </o:r>
        <o:r id="V:Rule19" type="connector" idref="#_x0000_s1451">
          <o:proxy start="" idref="#_x0000_s145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EFC"/>
    <w:pPr>
      <w:ind w:left="720"/>
      <w:contextualSpacing/>
    </w:pPr>
  </w:style>
  <w:style w:type="paragraph" w:styleId="a4">
    <w:name w:val="header"/>
    <w:basedOn w:val="a"/>
    <w:link w:val="a5"/>
    <w:uiPriority w:val="99"/>
    <w:unhideWhenUsed/>
    <w:rsid w:val="00DA239E"/>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DA239E"/>
    <w:rPr>
      <w:lang w:val="uk-UA"/>
    </w:rPr>
  </w:style>
  <w:style w:type="paragraph" w:styleId="a6">
    <w:name w:val="footer"/>
    <w:basedOn w:val="a"/>
    <w:link w:val="a7"/>
    <w:uiPriority w:val="99"/>
    <w:unhideWhenUsed/>
    <w:rsid w:val="00DA239E"/>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A239E"/>
    <w:rPr>
      <w:lang w:val="uk-UA"/>
    </w:rPr>
  </w:style>
  <w:style w:type="character" w:styleId="a8">
    <w:name w:val="Hyperlink"/>
    <w:basedOn w:val="a0"/>
    <w:uiPriority w:val="99"/>
    <w:unhideWhenUsed/>
    <w:rsid w:val="00577727"/>
    <w:rPr>
      <w:color w:val="0000FF" w:themeColor="hyperlink"/>
      <w:u w:val="single"/>
    </w:rPr>
  </w:style>
  <w:style w:type="paragraph" w:customStyle="1" w:styleId="Default">
    <w:name w:val="Default"/>
    <w:rsid w:val="00577727"/>
    <w:pPr>
      <w:autoSpaceDE w:val="0"/>
      <w:autoSpaceDN w:val="0"/>
      <w:adjustRightInd w:val="0"/>
      <w:spacing w:after="0" w:line="240" w:lineRule="auto"/>
      <w:ind w:firstLine="720"/>
      <w:jc w:val="both"/>
    </w:pPr>
    <w:rPr>
      <w:rFonts w:eastAsia="Calibri"/>
      <w:color w:val="000000"/>
      <w:sz w:val="24"/>
      <w:szCs w:val="24"/>
      <w:lang w:val="ru-RU" w:eastAsia="ru-RU"/>
    </w:rPr>
  </w:style>
  <w:style w:type="paragraph" w:styleId="a9">
    <w:name w:val="Balloon Text"/>
    <w:basedOn w:val="a"/>
    <w:link w:val="aa"/>
    <w:uiPriority w:val="99"/>
    <w:semiHidden/>
    <w:unhideWhenUsed/>
    <w:rsid w:val="004759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5927"/>
    <w:rPr>
      <w:rFonts w:ascii="Tahoma" w:hAnsi="Tahoma" w:cs="Tahoma"/>
      <w:sz w:val="16"/>
      <w:szCs w:val="16"/>
      <w:lang w:val="uk-UA"/>
    </w:rPr>
  </w:style>
  <w:style w:type="table" w:styleId="ab">
    <w:name w:val="Table Grid"/>
    <w:basedOn w:val="a1"/>
    <w:uiPriority w:val="59"/>
    <w:rsid w:val="00587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a0"/>
    <w:rsid w:val="00EB666A"/>
  </w:style>
  <w:style w:type="character" w:customStyle="1" w:styleId="ref-vol">
    <w:name w:val="ref-vol"/>
    <w:basedOn w:val="a0"/>
    <w:rsid w:val="00EB666A"/>
  </w:style>
  <w:style w:type="table" w:customStyle="1" w:styleId="1">
    <w:name w:val="Сетка таблицы1"/>
    <w:basedOn w:val="a1"/>
    <w:next w:val="ab"/>
    <w:uiPriority w:val="39"/>
    <w:rsid w:val="00CE0F75"/>
    <w:pPr>
      <w:spacing w:after="0" w:line="240" w:lineRule="auto"/>
      <w:ind w:firstLine="709"/>
    </w:pPr>
    <w:rPr>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07BB"/>
  </w:style>
  <w:style w:type="paragraph" w:customStyle="1" w:styleId="10">
    <w:name w:val="Обычный1"/>
    <w:rsid w:val="00675A8F"/>
    <w:pPr>
      <w:spacing w:after="0"/>
    </w:pPr>
    <w:rPr>
      <w:rFonts w:ascii="Arial" w:eastAsia="Arial" w:hAnsi="Arial" w:cs="Arial"/>
      <w:color w:val="000000"/>
      <w:sz w:val="22"/>
    </w:rPr>
  </w:style>
  <w:style w:type="character" w:customStyle="1" w:styleId="rvts15">
    <w:name w:val="rvts15"/>
    <w:basedOn w:val="a0"/>
    <w:rsid w:val="005E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openxmlformats.org/officeDocument/2006/relationships/diagramColors" Target="diagrams/colors8.xml"/><Relationship Id="rId63" Type="http://schemas.openxmlformats.org/officeDocument/2006/relationships/diagramLayout" Target="diagrams/layout10.xml"/><Relationship Id="rId68" Type="http://schemas.openxmlformats.org/officeDocument/2006/relationships/diagramLayout" Target="diagrams/layout11.xml"/><Relationship Id="rId76" Type="http://schemas.microsoft.com/office/2007/relationships/diagramDrawing" Target="diagrams/drawing12.xml"/><Relationship Id="rId84" Type="http://schemas.openxmlformats.org/officeDocument/2006/relationships/image" Target="media/image6.emf"/><Relationship Id="rId89" Type="http://schemas.openxmlformats.org/officeDocument/2006/relationships/oleObject" Target="embeddings/oleObject6.bin"/><Relationship Id="rId7" Type="http://schemas.openxmlformats.org/officeDocument/2006/relationships/footnotes" Target="footnotes.xml"/><Relationship Id="rId71" Type="http://schemas.microsoft.com/office/2007/relationships/diagramDrawing" Target="diagrams/drawing11.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image" Target="media/image2.wmf"/><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Layout" Target="diagrams/layout8.xml"/><Relationship Id="rId58" Type="http://schemas.openxmlformats.org/officeDocument/2006/relationships/diagramLayout" Target="diagrams/layout9.xml"/><Relationship Id="rId66" Type="http://schemas.microsoft.com/office/2007/relationships/diagramDrawing" Target="diagrams/drawing10.xml"/><Relationship Id="rId74" Type="http://schemas.openxmlformats.org/officeDocument/2006/relationships/diagramQuickStyle" Target="diagrams/quickStyle12.xml"/><Relationship Id="rId79" Type="http://schemas.openxmlformats.org/officeDocument/2006/relationships/diagramQuickStyle" Target="diagrams/quickStyle13.xml"/><Relationship Id="rId87" Type="http://schemas.openxmlformats.org/officeDocument/2006/relationships/oleObject" Target="embeddings/oleObject4.bin"/><Relationship Id="rId5" Type="http://schemas.openxmlformats.org/officeDocument/2006/relationships/settings" Target="settings.xml"/><Relationship Id="rId61" Type="http://schemas.microsoft.com/office/2007/relationships/diagramDrawing" Target="diagrams/drawing9.xml"/><Relationship Id="rId82" Type="http://schemas.openxmlformats.org/officeDocument/2006/relationships/image" Target="media/image4.emf"/><Relationship Id="rId90" Type="http://schemas.openxmlformats.org/officeDocument/2006/relationships/fontTable" Target="fontTable.xml"/><Relationship Id="rId19" Type="http://schemas.openxmlformats.org/officeDocument/2006/relationships/diagramColors" Target="diagrams/colors1.xml"/><Relationship Id="rId14" Type="http://schemas.openxmlformats.org/officeDocument/2006/relationships/oleObject" Target="embeddings/oleObject3.bin"/><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microsoft.com/office/2007/relationships/diagramDrawing" Target="diagrams/drawing8.xml"/><Relationship Id="rId64" Type="http://schemas.openxmlformats.org/officeDocument/2006/relationships/diagramQuickStyle" Target="diagrams/quickStyle10.xml"/><Relationship Id="rId69" Type="http://schemas.openxmlformats.org/officeDocument/2006/relationships/diagramQuickStyle" Target="diagrams/quickStyle11.xml"/><Relationship Id="rId77" Type="http://schemas.openxmlformats.org/officeDocument/2006/relationships/diagramData" Target="diagrams/data13.xml"/><Relationship Id="rId8" Type="http://schemas.openxmlformats.org/officeDocument/2006/relationships/endnotes" Target="endnotes.xml"/><Relationship Id="rId51" Type="http://schemas.openxmlformats.org/officeDocument/2006/relationships/header" Target="header2.xml"/><Relationship Id="rId72" Type="http://schemas.openxmlformats.org/officeDocument/2006/relationships/diagramData" Target="diagrams/data12.xml"/><Relationship Id="rId80" Type="http://schemas.openxmlformats.org/officeDocument/2006/relationships/diagramColors" Target="diagrams/colors13.xml"/><Relationship Id="rId85" Type="http://schemas.openxmlformats.org/officeDocument/2006/relationships/image" Target="media/image7.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QuickStyle" Target="diagrams/quickStyle9.xml"/><Relationship Id="rId67" Type="http://schemas.openxmlformats.org/officeDocument/2006/relationships/diagramData" Target="diagrams/data11.xml"/><Relationship Id="rId20" Type="http://schemas.microsoft.com/office/2007/relationships/diagramDrawing" Target="diagrams/drawing1.xml"/><Relationship Id="rId41" Type="http://schemas.openxmlformats.org/officeDocument/2006/relationships/diagramData" Target="diagrams/data6.xml"/><Relationship Id="rId54" Type="http://schemas.openxmlformats.org/officeDocument/2006/relationships/diagramQuickStyle" Target="diagrams/quickStyle8.xml"/><Relationship Id="rId62" Type="http://schemas.openxmlformats.org/officeDocument/2006/relationships/diagramData" Target="diagrams/data10.xml"/><Relationship Id="rId70" Type="http://schemas.openxmlformats.org/officeDocument/2006/relationships/diagramColors" Target="diagrams/colors11.xml"/><Relationship Id="rId75" Type="http://schemas.openxmlformats.org/officeDocument/2006/relationships/diagramColors" Target="diagrams/colors12.xml"/><Relationship Id="rId83" Type="http://schemas.openxmlformats.org/officeDocument/2006/relationships/image" Target="media/image5.emf"/><Relationship Id="rId88" Type="http://schemas.openxmlformats.org/officeDocument/2006/relationships/oleObject" Target="embeddings/oleObject5.bin"/><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Data" Target="diagrams/data9.xml"/><Relationship Id="rId10" Type="http://schemas.openxmlformats.org/officeDocument/2006/relationships/oleObject" Target="embeddings/oleObject1.bin"/><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73" Type="http://schemas.openxmlformats.org/officeDocument/2006/relationships/diagramLayout" Target="diagrams/layout12.xml"/><Relationship Id="rId78" Type="http://schemas.openxmlformats.org/officeDocument/2006/relationships/diagramLayout" Target="diagrams/layout13.xml"/><Relationship Id="rId81" Type="http://schemas.microsoft.com/office/2007/relationships/diagramDrawing" Target="diagrams/drawing13.xml"/><Relationship Id="rId86"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B2EC6-90D6-4C24-8673-67F074558E29}"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EAA89FAC-D851-47A9-8E23-EDC088BA5E24}">
      <dgm:prSet phldrT="[Текст]"/>
      <dgm:spPr>
        <a:solidFill>
          <a:schemeClr val="accent2">
            <a:lumMod val="60000"/>
            <a:lumOff val="40000"/>
          </a:schemeClr>
        </a:solidFill>
      </dgm:spPr>
      <dgm:t>
        <a:bodyPr/>
        <a:lstStyle/>
        <a:p>
          <a:r>
            <a:rPr lang="ru-RU"/>
            <a:t>Вітронектин</a:t>
          </a:r>
        </a:p>
      </dgm:t>
    </dgm:pt>
    <dgm:pt modelId="{2CCBCD35-6971-43DE-BB54-234BCA2B45D5}" type="parTrans" cxnId="{361ED023-74D3-48FE-945B-664492A5CECE}">
      <dgm:prSet/>
      <dgm:spPr/>
      <dgm:t>
        <a:bodyPr/>
        <a:lstStyle/>
        <a:p>
          <a:endParaRPr lang="ru-RU"/>
        </a:p>
      </dgm:t>
    </dgm:pt>
    <dgm:pt modelId="{6C84CF3D-BF3B-4FC7-8F74-39A7344D0E79}" type="sibTrans" cxnId="{361ED023-74D3-48FE-945B-664492A5CECE}">
      <dgm:prSet/>
      <dgm:spPr/>
      <dgm:t>
        <a:bodyPr/>
        <a:lstStyle/>
        <a:p>
          <a:endParaRPr lang="ru-RU"/>
        </a:p>
      </dgm:t>
    </dgm:pt>
    <dgm:pt modelId="{0239D8C2-79CC-4CCC-BFDF-2E00C5C4397E}">
      <dgm:prSet phldrT="[Текст]"/>
      <dgm:spPr>
        <a:solidFill>
          <a:schemeClr val="accent3">
            <a:lumMod val="60000"/>
            <a:lumOff val="40000"/>
          </a:schemeClr>
        </a:solidFill>
      </dgm:spPr>
      <dgm:t>
        <a:bodyPr/>
        <a:lstStyle/>
        <a:p>
          <a:r>
            <a:rPr lang="uk-UA"/>
            <a:t>ОТ</a:t>
          </a:r>
          <a:endParaRPr lang="ru-RU"/>
        </a:p>
      </dgm:t>
    </dgm:pt>
    <dgm:pt modelId="{92C5BCA6-328A-4D5C-99B9-63F467955AE6}" type="parTrans" cxnId="{20613694-DB26-45B4-A3DD-FFD37F6C6157}">
      <dgm:prSet/>
      <dgm:spPr/>
      <dgm:t>
        <a:bodyPr/>
        <a:lstStyle/>
        <a:p>
          <a:endParaRPr lang="ru-RU"/>
        </a:p>
      </dgm:t>
    </dgm:pt>
    <dgm:pt modelId="{3034A734-AACF-46F8-B55D-FAD09B88F0F1}" type="sibTrans" cxnId="{20613694-DB26-45B4-A3DD-FFD37F6C6157}">
      <dgm:prSet/>
      <dgm:spPr/>
      <dgm:t>
        <a:bodyPr/>
        <a:lstStyle/>
        <a:p>
          <a:endParaRPr lang="ru-RU"/>
        </a:p>
      </dgm:t>
    </dgm:pt>
    <dgm:pt modelId="{AEBFACAA-865D-4100-B795-E5FD76F68F9D}">
      <dgm:prSet phldrT="[Текст]"/>
      <dgm:spPr>
        <a:solidFill>
          <a:schemeClr val="accent4">
            <a:lumMod val="60000"/>
            <a:lumOff val="40000"/>
          </a:schemeClr>
        </a:solidFill>
      </dgm:spPr>
      <dgm:t>
        <a:bodyPr/>
        <a:lstStyle/>
        <a:p>
          <a:r>
            <a:rPr lang="uk-UA"/>
            <a:t>Галектин-3</a:t>
          </a:r>
          <a:endParaRPr lang="ru-RU"/>
        </a:p>
      </dgm:t>
    </dgm:pt>
    <dgm:pt modelId="{1DA720FF-89B3-40CF-8094-6F5CA0B3C576}" type="parTrans" cxnId="{CFFE79A4-3BB0-43E9-8D81-1FF7DBADE6D4}">
      <dgm:prSet/>
      <dgm:spPr/>
      <dgm:t>
        <a:bodyPr/>
        <a:lstStyle/>
        <a:p>
          <a:endParaRPr lang="ru-RU"/>
        </a:p>
      </dgm:t>
    </dgm:pt>
    <dgm:pt modelId="{59FD243E-3060-43C8-B710-1450296319ED}" type="sibTrans" cxnId="{CFFE79A4-3BB0-43E9-8D81-1FF7DBADE6D4}">
      <dgm:prSet/>
      <dgm:spPr/>
      <dgm:t>
        <a:bodyPr/>
        <a:lstStyle/>
        <a:p>
          <a:endParaRPr lang="ru-RU"/>
        </a:p>
      </dgm:t>
    </dgm:pt>
    <dgm:pt modelId="{BB26E504-2D24-4624-927B-ABED29EF10A2}">
      <dgm:prSet phldrT="[Текст]"/>
      <dgm:spPr>
        <a:solidFill>
          <a:schemeClr val="accent6">
            <a:lumMod val="60000"/>
            <a:lumOff val="40000"/>
          </a:schemeClr>
        </a:solidFill>
      </dgm:spPr>
      <dgm:t>
        <a:bodyPr/>
        <a:lstStyle/>
        <a:p>
          <a:r>
            <a:rPr lang="uk-UA"/>
            <a:t>ІМТ</a:t>
          </a:r>
          <a:endParaRPr lang="ru-RU"/>
        </a:p>
      </dgm:t>
    </dgm:pt>
    <dgm:pt modelId="{0F04BA69-6DB8-466C-9597-163DF950BE68}" type="parTrans" cxnId="{524AF3F4-FAC1-43BB-A350-9C2987E8E87F}">
      <dgm:prSet/>
      <dgm:spPr/>
      <dgm:t>
        <a:bodyPr/>
        <a:lstStyle/>
        <a:p>
          <a:endParaRPr lang="ru-RU"/>
        </a:p>
      </dgm:t>
    </dgm:pt>
    <dgm:pt modelId="{8893D6CC-1C9F-4378-82DF-B318A1EF249A}" type="sibTrans" cxnId="{524AF3F4-FAC1-43BB-A350-9C2987E8E87F}">
      <dgm:prSet/>
      <dgm:spPr/>
      <dgm:t>
        <a:bodyPr/>
        <a:lstStyle/>
        <a:p>
          <a:endParaRPr lang="ru-RU"/>
        </a:p>
      </dgm:t>
    </dgm:pt>
    <dgm:pt modelId="{F5CA3BE3-B428-470C-93BF-03A4A3C822E9}" type="pres">
      <dgm:prSet presAssocID="{93AB2EC6-90D6-4C24-8673-67F074558E29}" presName="cycle" presStyleCnt="0">
        <dgm:presLayoutVars>
          <dgm:dir/>
          <dgm:resizeHandles val="exact"/>
        </dgm:presLayoutVars>
      </dgm:prSet>
      <dgm:spPr/>
      <dgm:t>
        <a:bodyPr/>
        <a:lstStyle/>
        <a:p>
          <a:endParaRPr lang="en-US"/>
        </a:p>
      </dgm:t>
    </dgm:pt>
    <dgm:pt modelId="{A9E49029-DADE-4CF8-9DCF-0BB497F98C67}" type="pres">
      <dgm:prSet presAssocID="{EAA89FAC-D851-47A9-8E23-EDC088BA5E24}" presName="node" presStyleLbl="node1" presStyleIdx="0" presStyleCnt="4">
        <dgm:presLayoutVars>
          <dgm:bulletEnabled val="1"/>
        </dgm:presLayoutVars>
      </dgm:prSet>
      <dgm:spPr/>
      <dgm:t>
        <a:bodyPr/>
        <a:lstStyle/>
        <a:p>
          <a:endParaRPr lang="ru-RU"/>
        </a:p>
      </dgm:t>
    </dgm:pt>
    <dgm:pt modelId="{8A565DB5-BCF0-4003-B6D7-72FDCB97288B}" type="pres">
      <dgm:prSet presAssocID="{EAA89FAC-D851-47A9-8E23-EDC088BA5E24}" presName="spNode" presStyleCnt="0"/>
      <dgm:spPr/>
    </dgm:pt>
    <dgm:pt modelId="{32399F3A-E69B-4010-911B-B5FFD47E061A}" type="pres">
      <dgm:prSet presAssocID="{6C84CF3D-BF3B-4FC7-8F74-39A7344D0E79}" presName="sibTrans" presStyleLbl="sibTrans1D1" presStyleIdx="0" presStyleCnt="4"/>
      <dgm:spPr/>
      <dgm:t>
        <a:bodyPr/>
        <a:lstStyle/>
        <a:p>
          <a:endParaRPr lang="en-US"/>
        </a:p>
      </dgm:t>
    </dgm:pt>
    <dgm:pt modelId="{9A2C2DE4-B49B-4240-AC26-C25E7E627A72}" type="pres">
      <dgm:prSet presAssocID="{0239D8C2-79CC-4CCC-BFDF-2E00C5C4397E}" presName="node" presStyleLbl="node1" presStyleIdx="1" presStyleCnt="4">
        <dgm:presLayoutVars>
          <dgm:bulletEnabled val="1"/>
        </dgm:presLayoutVars>
      </dgm:prSet>
      <dgm:spPr/>
      <dgm:t>
        <a:bodyPr/>
        <a:lstStyle/>
        <a:p>
          <a:endParaRPr lang="en-US"/>
        </a:p>
      </dgm:t>
    </dgm:pt>
    <dgm:pt modelId="{90B2488C-732A-4974-9142-6D03803929ED}" type="pres">
      <dgm:prSet presAssocID="{0239D8C2-79CC-4CCC-BFDF-2E00C5C4397E}" presName="spNode" presStyleCnt="0"/>
      <dgm:spPr/>
    </dgm:pt>
    <dgm:pt modelId="{73C37A82-7437-4370-B6F1-DAB5B4340507}" type="pres">
      <dgm:prSet presAssocID="{3034A734-AACF-46F8-B55D-FAD09B88F0F1}" presName="sibTrans" presStyleLbl="sibTrans1D1" presStyleIdx="1" presStyleCnt="4"/>
      <dgm:spPr/>
      <dgm:t>
        <a:bodyPr/>
        <a:lstStyle/>
        <a:p>
          <a:endParaRPr lang="en-US"/>
        </a:p>
      </dgm:t>
    </dgm:pt>
    <dgm:pt modelId="{F0EA3F8B-3210-47B0-8EF6-FCDD85A53A06}" type="pres">
      <dgm:prSet presAssocID="{AEBFACAA-865D-4100-B795-E5FD76F68F9D}" presName="node" presStyleLbl="node1" presStyleIdx="2" presStyleCnt="4">
        <dgm:presLayoutVars>
          <dgm:bulletEnabled val="1"/>
        </dgm:presLayoutVars>
      </dgm:prSet>
      <dgm:spPr/>
      <dgm:t>
        <a:bodyPr/>
        <a:lstStyle/>
        <a:p>
          <a:endParaRPr lang="en-US"/>
        </a:p>
      </dgm:t>
    </dgm:pt>
    <dgm:pt modelId="{7D6A0874-E83A-4AAD-BDEF-D9951B3E6F1F}" type="pres">
      <dgm:prSet presAssocID="{AEBFACAA-865D-4100-B795-E5FD76F68F9D}" presName="spNode" presStyleCnt="0"/>
      <dgm:spPr/>
    </dgm:pt>
    <dgm:pt modelId="{33169181-B56C-4ED7-8FE1-88174E2FE6BD}" type="pres">
      <dgm:prSet presAssocID="{59FD243E-3060-43C8-B710-1450296319ED}" presName="sibTrans" presStyleLbl="sibTrans1D1" presStyleIdx="2" presStyleCnt="4"/>
      <dgm:spPr/>
      <dgm:t>
        <a:bodyPr/>
        <a:lstStyle/>
        <a:p>
          <a:endParaRPr lang="en-US"/>
        </a:p>
      </dgm:t>
    </dgm:pt>
    <dgm:pt modelId="{E7BE629B-5173-4A83-8FD5-313FAF754D58}" type="pres">
      <dgm:prSet presAssocID="{BB26E504-2D24-4624-927B-ABED29EF10A2}" presName="node" presStyleLbl="node1" presStyleIdx="3" presStyleCnt="4">
        <dgm:presLayoutVars>
          <dgm:bulletEnabled val="1"/>
        </dgm:presLayoutVars>
      </dgm:prSet>
      <dgm:spPr/>
      <dgm:t>
        <a:bodyPr/>
        <a:lstStyle/>
        <a:p>
          <a:endParaRPr lang="en-US"/>
        </a:p>
      </dgm:t>
    </dgm:pt>
    <dgm:pt modelId="{BB556739-E6D1-4E6B-BA65-D67BFFEFDA1A}" type="pres">
      <dgm:prSet presAssocID="{BB26E504-2D24-4624-927B-ABED29EF10A2}" presName="spNode" presStyleCnt="0"/>
      <dgm:spPr/>
    </dgm:pt>
    <dgm:pt modelId="{27C7561E-0810-488E-9BF6-12C8E9E4B007}" type="pres">
      <dgm:prSet presAssocID="{8893D6CC-1C9F-4378-82DF-B318A1EF249A}" presName="sibTrans" presStyleLbl="sibTrans1D1" presStyleIdx="3" presStyleCnt="4"/>
      <dgm:spPr/>
      <dgm:t>
        <a:bodyPr/>
        <a:lstStyle/>
        <a:p>
          <a:endParaRPr lang="en-US"/>
        </a:p>
      </dgm:t>
    </dgm:pt>
  </dgm:ptLst>
  <dgm:cxnLst>
    <dgm:cxn modelId="{20613694-DB26-45B4-A3DD-FFD37F6C6157}" srcId="{93AB2EC6-90D6-4C24-8673-67F074558E29}" destId="{0239D8C2-79CC-4CCC-BFDF-2E00C5C4397E}" srcOrd="1" destOrd="0" parTransId="{92C5BCA6-328A-4D5C-99B9-63F467955AE6}" sibTransId="{3034A734-AACF-46F8-B55D-FAD09B88F0F1}"/>
    <dgm:cxn modelId="{524AF3F4-FAC1-43BB-A350-9C2987E8E87F}" srcId="{93AB2EC6-90D6-4C24-8673-67F074558E29}" destId="{BB26E504-2D24-4624-927B-ABED29EF10A2}" srcOrd="3" destOrd="0" parTransId="{0F04BA69-6DB8-466C-9597-163DF950BE68}" sibTransId="{8893D6CC-1C9F-4378-82DF-B318A1EF249A}"/>
    <dgm:cxn modelId="{B41DE4C3-62D0-4493-B781-3A6457B4A13A}" type="presOf" srcId="{3034A734-AACF-46F8-B55D-FAD09B88F0F1}" destId="{73C37A82-7437-4370-B6F1-DAB5B4340507}" srcOrd="0" destOrd="0" presId="urn:microsoft.com/office/officeart/2005/8/layout/cycle6"/>
    <dgm:cxn modelId="{CFFE79A4-3BB0-43E9-8D81-1FF7DBADE6D4}" srcId="{93AB2EC6-90D6-4C24-8673-67F074558E29}" destId="{AEBFACAA-865D-4100-B795-E5FD76F68F9D}" srcOrd="2" destOrd="0" parTransId="{1DA720FF-89B3-40CF-8094-6F5CA0B3C576}" sibTransId="{59FD243E-3060-43C8-B710-1450296319ED}"/>
    <dgm:cxn modelId="{980C645D-8B5C-41D6-A097-80DC7D41C870}" type="presOf" srcId="{AEBFACAA-865D-4100-B795-E5FD76F68F9D}" destId="{F0EA3F8B-3210-47B0-8EF6-FCDD85A53A06}" srcOrd="0" destOrd="0" presId="urn:microsoft.com/office/officeart/2005/8/layout/cycle6"/>
    <dgm:cxn modelId="{E8094C8C-9137-4ADD-B002-2CD3D110BEA8}" type="presOf" srcId="{93AB2EC6-90D6-4C24-8673-67F074558E29}" destId="{F5CA3BE3-B428-470C-93BF-03A4A3C822E9}" srcOrd="0" destOrd="0" presId="urn:microsoft.com/office/officeart/2005/8/layout/cycle6"/>
    <dgm:cxn modelId="{E0FEC344-BFC8-4AD0-AF02-890BA2361632}" type="presOf" srcId="{EAA89FAC-D851-47A9-8E23-EDC088BA5E24}" destId="{A9E49029-DADE-4CF8-9DCF-0BB497F98C67}" srcOrd="0" destOrd="0" presId="urn:microsoft.com/office/officeart/2005/8/layout/cycle6"/>
    <dgm:cxn modelId="{C949BDFF-21B5-458D-AA23-EFD9E444561C}" type="presOf" srcId="{0239D8C2-79CC-4CCC-BFDF-2E00C5C4397E}" destId="{9A2C2DE4-B49B-4240-AC26-C25E7E627A72}" srcOrd="0" destOrd="0" presId="urn:microsoft.com/office/officeart/2005/8/layout/cycle6"/>
    <dgm:cxn modelId="{7D13DC0C-6D4B-458F-B5BB-DD2DE52E2A1E}" type="presOf" srcId="{BB26E504-2D24-4624-927B-ABED29EF10A2}" destId="{E7BE629B-5173-4A83-8FD5-313FAF754D58}" srcOrd="0" destOrd="0" presId="urn:microsoft.com/office/officeart/2005/8/layout/cycle6"/>
    <dgm:cxn modelId="{D7ED7E66-5015-4D65-BC4D-4203722F9870}" type="presOf" srcId="{8893D6CC-1C9F-4378-82DF-B318A1EF249A}" destId="{27C7561E-0810-488E-9BF6-12C8E9E4B007}" srcOrd="0" destOrd="0" presId="urn:microsoft.com/office/officeart/2005/8/layout/cycle6"/>
    <dgm:cxn modelId="{5E63D1CE-F28F-4D1E-BE8E-822A3413C462}" type="presOf" srcId="{59FD243E-3060-43C8-B710-1450296319ED}" destId="{33169181-B56C-4ED7-8FE1-88174E2FE6BD}" srcOrd="0" destOrd="0" presId="urn:microsoft.com/office/officeart/2005/8/layout/cycle6"/>
    <dgm:cxn modelId="{361ED023-74D3-48FE-945B-664492A5CECE}" srcId="{93AB2EC6-90D6-4C24-8673-67F074558E29}" destId="{EAA89FAC-D851-47A9-8E23-EDC088BA5E24}" srcOrd="0" destOrd="0" parTransId="{2CCBCD35-6971-43DE-BB54-234BCA2B45D5}" sibTransId="{6C84CF3D-BF3B-4FC7-8F74-39A7344D0E79}"/>
    <dgm:cxn modelId="{1B183A68-DCE6-4280-B819-4590391429D2}" type="presOf" srcId="{6C84CF3D-BF3B-4FC7-8F74-39A7344D0E79}" destId="{32399F3A-E69B-4010-911B-B5FFD47E061A}" srcOrd="0" destOrd="0" presId="urn:microsoft.com/office/officeart/2005/8/layout/cycle6"/>
    <dgm:cxn modelId="{50E1903D-B7DB-43EE-8F27-8CFAEDC94600}" type="presParOf" srcId="{F5CA3BE3-B428-470C-93BF-03A4A3C822E9}" destId="{A9E49029-DADE-4CF8-9DCF-0BB497F98C67}" srcOrd="0" destOrd="0" presId="urn:microsoft.com/office/officeart/2005/8/layout/cycle6"/>
    <dgm:cxn modelId="{A7358A38-B653-4848-9E19-9E9BA273E870}" type="presParOf" srcId="{F5CA3BE3-B428-470C-93BF-03A4A3C822E9}" destId="{8A565DB5-BCF0-4003-B6D7-72FDCB97288B}" srcOrd="1" destOrd="0" presId="urn:microsoft.com/office/officeart/2005/8/layout/cycle6"/>
    <dgm:cxn modelId="{C38A1EE6-F1B1-4BCF-A4E4-4EE50FF10B07}" type="presParOf" srcId="{F5CA3BE3-B428-470C-93BF-03A4A3C822E9}" destId="{32399F3A-E69B-4010-911B-B5FFD47E061A}" srcOrd="2" destOrd="0" presId="urn:microsoft.com/office/officeart/2005/8/layout/cycle6"/>
    <dgm:cxn modelId="{B88DF010-3203-4FD5-8730-37D4A3D3C391}" type="presParOf" srcId="{F5CA3BE3-B428-470C-93BF-03A4A3C822E9}" destId="{9A2C2DE4-B49B-4240-AC26-C25E7E627A72}" srcOrd="3" destOrd="0" presId="urn:microsoft.com/office/officeart/2005/8/layout/cycle6"/>
    <dgm:cxn modelId="{8A0CBF4C-0CB1-444E-81A4-0A69BA305E24}" type="presParOf" srcId="{F5CA3BE3-B428-470C-93BF-03A4A3C822E9}" destId="{90B2488C-732A-4974-9142-6D03803929ED}" srcOrd="4" destOrd="0" presId="urn:microsoft.com/office/officeart/2005/8/layout/cycle6"/>
    <dgm:cxn modelId="{624EFD47-9A1C-47C9-A6F6-5C8A0C0CB57B}" type="presParOf" srcId="{F5CA3BE3-B428-470C-93BF-03A4A3C822E9}" destId="{73C37A82-7437-4370-B6F1-DAB5B4340507}" srcOrd="5" destOrd="0" presId="urn:microsoft.com/office/officeart/2005/8/layout/cycle6"/>
    <dgm:cxn modelId="{747383BC-2DA1-4B9D-82D1-7A3400D8E99F}" type="presParOf" srcId="{F5CA3BE3-B428-470C-93BF-03A4A3C822E9}" destId="{F0EA3F8B-3210-47B0-8EF6-FCDD85A53A06}" srcOrd="6" destOrd="0" presId="urn:microsoft.com/office/officeart/2005/8/layout/cycle6"/>
    <dgm:cxn modelId="{331684D0-57D3-4EC2-95BA-548A41875F1E}" type="presParOf" srcId="{F5CA3BE3-B428-470C-93BF-03A4A3C822E9}" destId="{7D6A0874-E83A-4AAD-BDEF-D9951B3E6F1F}" srcOrd="7" destOrd="0" presId="urn:microsoft.com/office/officeart/2005/8/layout/cycle6"/>
    <dgm:cxn modelId="{24EC8F91-CB71-4E03-9DC4-733B17964293}" type="presParOf" srcId="{F5CA3BE3-B428-470C-93BF-03A4A3C822E9}" destId="{33169181-B56C-4ED7-8FE1-88174E2FE6BD}" srcOrd="8" destOrd="0" presId="urn:microsoft.com/office/officeart/2005/8/layout/cycle6"/>
    <dgm:cxn modelId="{F7A35270-FCA0-4643-8D0E-09C2DC1CD6E4}" type="presParOf" srcId="{F5CA3BE3-B428-470C-93BF-03A4A3C822E9}" destId="{E7BE629B-5173-4A83-8FD5-313FAF754D58}" srcOrd="9" destOrd="0" presId="urn:microsoft.com/office/officeart/2005/8/layout/cycle6"/>
    <dgm:cxn modelId="{D0A15D16-5BDD-4193-9A7F-67BA0D867C20}" type="presParOf" srcId="{F5CA3BE3-B428-470C-93BF-03A4A3C822E9}" destId="{BB556739-E6D1-4E6B-BA65-D67BFFEFDA1A}" srcOrd="10" destOrd="0" presId="urn:microsoft.com/office/officeart/2005/8/layout/cycle6"/>
    <dgm:cxn modelId="{8EBD062D-60ED-4C62-931B-D9262B939DC7}" type="presParOf" srcId="{F5CA3BE3-B428-470C-93BF-03A4A3C822E9}" destId="{27C7561E-0810-488E-9BF6-12C8E9E4B007}" srcOrd="11" destOrd="0" presId="urn:microsoft.com/office/officeart/2005/8/layout/cycle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F09DA30-E83B-4136-AFF5-FDAB66BC7586}" type="doc">
      <dgm:prSet loTypeId="urn:microsoft.com/office/officeart/2005/8/layout/radial1" loCatId="relationship" qsTypeId="urn:microsoft.com/office/officeart/2005/8/quickstyle/simple1" qsCatId="simple" csTypeId="urn:microsoft.com/office/officeart/2005/8/colors/colorful1#3" csCatId="colorful" phldr="1"/>
      <dgm:spPr/>
      <dgm:t>
        <a:bodyPr/>
        <a:lstStyle/>
        <a:p>
          <a:endParaRPr lang="ru-RU"/>
        </a:p>
      </dgm:t>
    </dgm:pt>
    <dgm:pt modelId="{48101EC5-2431-4583-B419-775A3FD7E2F3}">
      <dgm:prSet phldrT="[Текст]"/>
      <dgm:spPr/>
      <dgm:t>
        <a:bodyPr/>
        <a:lstStyle/>
        <a:p>
          <a:r>
            <a:rPr lang="ru-RU"/>
            <a:t>Галектин-3</a:t>
          </a:r>
        </a:p>
      </dgm:t>
    </dgm:pt>
    <dgm:pt modelId="{A87F84D7-D0F9-47B2-83AB-643ACDE3F055}" type="parTrans" cxnId="{CC7DC5DF-AA99-4BA9-9CDB-6506CA69067C}">
      <dgm:prSet/>
      <dgm:spPr/>
      <dgm:t>
        <a:bodyPr/>
        <a:lstStyle/>
        <a:p>
          <a:endParaRPr lang="ru-RU"/>
        </a:p>
      </dgm:t>
    </dgm:pt>
    <dgm:pt modelId="{4AF6BCBC-CF2F-4F38-836E-13C5DFF870B4}" type="sibTrans" cxnId="{CC7DC5DF-AA99-4BA9-9CDB-6506CA69067C}">
      <dgm:prSet/>
      <dgm:spPr/>
      <dgm:t>
        <a:bodyPr/>
        <a:lstStyle/>
        <a:p>
          <a:endParaRPr lang="ru-RU"/>
        </a:p>
      </dgm:t>
    </dgm:pt>
    <dgm:pt modelId="{713FADDD-CAF4-4CC9-9B23-F5EA4E6DA63C}">
      <dgm:prSet phldrT="[Текст]"/>
      <dgm:spPr/>
      <dgm:t>
        <a:bodyPr/>
        <a:lstStyle/>
        <a:p>
          <a:r>
            <a:rPr lang="ru-RU"/>
            <a:t>ЛПНЩ</a:t>
          </a:r>
        </a:p>
      </dgm:t>
    </dgm:pt>
    <dgm:pt modelId="{95EEA42D-3F02-4B7F-BFFB-F30AAAEFE29F}" type="parTrans" cxnId="{7D88948E-EA3B-44BF-AC04-0DD3696ADA17}">
      <dgm:prSet/>
      <dgm:spPr/>
      <dgm:t>
        <a:bodyPr/>
        <a:lstStyle/>
        <a:p>
          <a:endParaRPr lang="ru-RU"/>
        </a:p>
      </dgm:t>
    </dgm:pt>
    <dgm:pt modelId="{133BCAF8-80EC-45A6-90C8-1845D7D74BAD}" type="sibTrans" cxnId="{7D88948E-EA3B-44BF-AC04-0DD3696ADA17}">
      <dgm:prSet/>
      <dgm:spPr/>
      <dgm:t>
        <a:bodyPr/>
        <a:lstStyle/>
        <a:p>
          <a:endParaRPr lang="ru-RU"/>
        </a:p>
      </dgm:t>
    </dgm:pt>
    <dgm:pt modelId="{E0972B46-D948-43F3-AEB9-8DDB252AC430}">
      <dgm:prSet phldrT="[Текст]"/>
      <dgm:spPr/>
      <dgm:t>
        <a:bodyPr/>
        <a:lstStyle/>
        <a:p>
          <a:r>
            <a:rPr lang="ru-RU"/>
            <a:t>ЛПВЩ</a:t>
          </a:r>
        </a:p>
      </dgm:t>
    </dgm:pt>
    <dgm:pt modelId="{D7C67C51-B6C5-4086-930A-D94E6F04C5F0}" type="parTrans" cxnId="{6628A12C-2D4C-44ED-B377-584D64A866B1}">
      <dgm:prSet/>
      <dgm:spPr>
        <a:ln>
          <a:solidFill>
            <a:schemeClr val="accent2"/>
          </a:solidFill>
          <a:prstDash val="dash"/>
        </a:ln>
      </dgm:spPr>
      <dgm:t>
        <a:bodyPr/>
        <a:lstStyle/>
        <a:p>
          <a:endParaRPr lang="ru-RU"/>
        </a:p>
      </dgm:t>
    </dgm:pt>
    <dgm:pt modelId="{3078E5E5-C144-4E73-86E0-724698654E33}" type="sibTrans" cxnId="{6628A12C-2D4C-44ED-B377-584D64A866B1}">
      <dgm:prSet/>
      <dgm:spPr/>
      <dgm:t>
        <a:bodyPr/>
        <a:lstStyle/>
        <a:p>
          <a:endParaRPr lang="ru-RU"/>
        </a:p>
      </dgm:t>
    </dgm:pt>
    <dgm:pt modelId="{678EDEE9-A9E8-45BA-8796-56137C6E7E15}">
      <dgm:prSet phldrT="[Текст]"/>
      <dgm:spPr/>
      <dgm:t>
        <a:bodyPr/>
        <a:lstStyle/>
        <a:p>
          <a:r>
            <a:rPr lang="ru-RU"/>
            <a:t>ТГ</a:t>
          </a:r>
        </a:p>
      </dgm:t>
    </dgm:pt>
    <dgm:pt modelId="{B997779A-E6D8-43E1-BA04-3B3D1AE6EB3A}" type="parTrans" cxnId="{C468CB0E-44B1-4FA9-BE74-4C5DC1BF326D}">
      <dgm:prSet/>
      <dgm:spPr/>
      <dgm:t>
        <a:bodyPr/>
        <a:lstStyle/>
        <a:p>
          <a:endParaRPr lang="ru-RU"/>
        </a:p>
      </dgm:t>
    </dgm:pt>
    <dgm:pt modelId="{C9B8B041-183E-4889-9380-FB1944321C2E}" type="sibTrans" cxnId="{C468CB0E-44B1-4FA9-BE74-4C5DC1BF326D}">
      <dgm:prSet/>
      <dgm:spPr/>
      <dgm:t>
        <a:bodyPr/>
        <a:lstStyle/>
        <a:p>
          <a:endParaRPr lang="ru-RU"/>
        </a:p>
      </dgm:t>
    </dgm:pt>
    <dgm:pt modelId="{5B592EB8-93BE-4783-B3ED-AE6E0A709470}">
      <dgm:prSet phldrT="[Текст]"/>
      <dgm:spPr/>
      <dgm:t>
        <a:bodyPr/>
        <a:lstStyle/>
        <a:p>
          <a:r>
            <a:rPr lang="ru-RU"/>
            <a:t>ЗХС</a:t>
          </a:r>
        </a:p>
      </dgm:t>
    </dgm:pt>
    <dgm:pt modelId="{4A1D621F-2CF7-4EBC-9BEA-893362446034}" type="parTrans" cxnId="{9A212E54-D435-4BB0-B6DB-A1CAA49F9611}">
      <dgm:prSet/>
      <dgm:spPr/>
      <dgm:t>
        <a:bodyPr/>
        <a:lstStyle/>
        <a:p>
          <a:endParaRPr lang="ru-RU"/>
        </a:p>
      </dgm:t>
    </dgm:pt>
    <dgm:pt modelId="{6D5BA3FD-EFD4-4E44-B485-80590A668DE8}" type="sibTrans" cxnId="{9A212E54-D435-4BB0-B6DB-A1CAA49F9611}">
      <dgm:prSet/>
      <dgm:spPr/>
      <dgm:t>
        <a:bodyPr/>
        <a:lstStyle/>
        <a:p>
          <a:endParaRPr lang="ru-RU"/>
        </a:p>
      </dgm:t>
    </dgm:pt>
    <dgm:pt modelId="{10E67856-1898-4C78-BC42-9694A6984AA7}" type="pres">
      <dgm:prSet presAssocID="{2F09DA30-E83B-4136-AFF5-FDAB66BC7586}" presName="cycle" presStyleCnt="0">
        <dgm:presLayoutVars>
          <dgm:chMax val="1"/>
          <dgm:dir/>
          <dgm:animLvl val="ctr"/>
          <dgm:resizeHandles val="exact"/>
        </dgm:presLayoutVars>
      </dgm:prSet>
      <dgm:spPr/>
      <dgm:t>
        <a:bodyPr/>
        <a:lstStyle/>
        <a:p>
          <a:endParaRPr lang="en-US"/>
        </a:p>
      </dgm:t>
    </dgm:pt>
    <dgm:pt modelId="{71FB689F-7275-4ED8-BDC0-CD033C204A38}" type="pres">
      <dgm:prSet presAssocID="{48101EC5-2431-4583-B419-775A3FD7E2F3}" presName="centerShape" presStyleLbl="node0" presStyleIdx="0" presStyleCnt="1" custScaleX="223128"/>
      <dgm:spPr/>
      <dgm:t>
        <a:bodyPr/>
        <a:lstStyle/>
        <a:p>
          <a:endParaRPr lang="en-US"/>
        </a:p>
      </dgm:t>
    </dgm:pt>
    <dgm:pt modelId="{D812D0CB-3961-4DBF-8A9B-A35992970F74}" type="pres">
      <dgm:prSet presAssocID="{95EEA42D-3F02-4B7F-BFFB-F30AAAEFE29F}" presName="Name9" presStyleLbl="parChTrans1D2" presStyleIdx="0" presStyleCnt="4"/>
      <dgm:spPr/>
      <dgm:t>
        <a:bodyPr/>
        <a:lstStyle/>
        <a:p>
          <a:endParaRPr lang="en-US"/>
        </a:p>
      </dgm:t>
    </dgm:pt>
    <dgm:pt modelId="{FC1DE4E0-D0FF-44CC-B4C1-BB7C38784CAF}" type="pres">
      <dgm:prSet presAssocID="{95EEA42D-3F02-4B7F-BFFB-F30AAAEFE29F}" presName="connTx" presStyleLbl="parChTrans1D2" presStyleIdx="0" presStyleCnt="4"/>
      <dgm:spPr/>
      <dgm:t>
        <a:bodyPr/>
        <a:lstStyle/>
        <a:p>
          <a:endParaRPr lang="en-US"/>
        </a:p>
      </dgm:t>
    </dgm:pt>
    <dgm:pt modelId="{691F22A9-CDD1-483F-A113-4021D38D9ED7}" type="pres">
      <dgm:prSet presAssocID="{713FADDD-CAF4-4CC9-9B23-F5EA4E6DA63C}" presName="node" presStyleLbl="node1" presStyleIdx="0" presStyleCnt="4" custScaleX="157068">
        <dgm:presLayoutVars>
          <dgm:bulletEnabled val="1"/>
        </dgm:presLayoutVars>
      </dgm:prSet>
      <dgm:spPr/>
      <dgm:t>
        <a:bodyPr/>
        <a:lstStyle/>
        <a:p>
          <a:endParaRPr lang="en-US"/>
        </a:p>
      </dgm:t>
    </dgm:pt>
    <dgm:pt modelId="{755A2CD9-047B-4537-8FA7-B76EDE1A1D8B}" type="pres">
      <dgm:prSet presAssocID="{D7C67C51-B6C5-4086-930A-D94E6F04C5F0}" presName="Name9" presStyleLbl="parChTrans1D2" presStyleIdx="1" presStyleCnt="4"/>
      <dgm:spPr/>
      <dgm:t>
        <a:bodyPr/>
        <a:lstStyle/>
        <a:p>
          <a:endParaRPr lang="en-US"/>
        </a:p>
      </dgm:t>
    </dgm:pt>
    <dgm:pt modelId="{8FBA8F19-4537-4432-8300-7444AC3912D5}" type="pres">
      <dgm:prSet presAssocID="{D7C67C51-B6C5-4086-930A-D94E6F04C5F0}" presName="connTx" presStyleLbl="parChTrans1D2" presStyleIdx="1" presStyleCnt="4"/>
      <dgm:spPr/>
      <dgm:t>
        <a:bodyPr/>
        <a:lstStyle/>
        <a:p>
          <a:endParaRPr lang="en-US"/>
        </a:p>
      </dgm:t>
    </dgm:pt>
    <dgm:pt modelId="{C003B682-7B72-4378-A56F-B296B21337DA}" type="pres">
      <dgm:prSet presAssocID="{E0972B46-D948-43F3-AEB9-8DDB252AC430}" presName="node" presStyleLbl="node1" presStyleIdx="1" presStyleCnt="4" custScaleX="132064" custRadScaleRad="178312" custRadScaleInc="-1278">
        <dgm:presLayoutVars>
          <dgm:bulletEnabled val="1"/>
        </dgm:presLayoutVars>
      </dgm:prSet>
      <dgm:spPr/>
      <dgm:t>
        <a:bodyPr/>
        <a:lstStyle/>
        <a:p>
          <a:endParaRPr lang="en-US"/>
        </a:p>
      </dgm:t>
    </dgm:pt>
    <dgm:pt modelId="{924017CE-89E7-4323-964B-C5E0CFDCAF92}" type="pres">
      <dgm:prSet presAssocID="{B997779A-E6D8-43E1-BA04-3B3D1AE6EB3A}" presName="Name9" presStyleLbl="parChTrans1D2" presStyleIdx="2" presStyleCnt="4"/>
      <dgm:spPr/>
      <dgm:t>
        <a:bodyPr/>
        <a:lstStyle/>
        <a:p>
          <a:endParaRPr lang="en-US"/>
        </a:p>
      </dgm:t>
    </dgm:pt>
    <dgm:pt modelId="{AFC70066-BA28-4202-92F1-4BC661C45B21}" type="pres">
      <dgm:prSet presAssocID="{B997779A-E6D8-43E1-BA04-3B3D1AE6EB3A}" presName="connTx" presStyleLbl="parChTrans1D2" presStyleIdx="2" presStyleCnt="4"/>
      <dgm:spPr/>
      <dgm:t>
        <a:bodyPr/>
        <a:lstStyle/>
        <a:p>
          <a:endParaRPr lang="en-US"/>
        </a:p>
      </dgm:t>
    </dgm:pt>
    <dgm:pt modelId="{83B671BE-5251-45C1-97F9-59EEE43CEB73}" type="pres">
      <dgm:prSet presAssocID="{678EDEE9-A9E8-45BA-8796-56137C6E7E15}" presName="node" presStyleLbl="node1" presStyleIdx="2" presStyleCnt="4" custScaleX="146596">
        <dgm:presLayoutVars>
          <dgm:bulletEnabled val="1"/>
        </dgm:presLayoutVars>
      </dgm:prSet>
      <dgm:spPr/>
      <dgm:t>
        <a:bodyPr/>
        <a:lstStyle/>
        <a:p>
          <a:endParaRPr lang="en-US"/>
        </a:p>
      </dgm:t>
    </dgm:pt>
    <dgm:pt modelId="{97BA9B9E-AC13-435C-A889-97B597F9E959}" type="pres">
      <dgm:prSet presAssocID="{4A1D621F-2CF7-4EBC-9BEA-893362446034}" presName="Name9" presStyleLbl="parChTrans1D2" presStyleIdx="3" presStyleCnt="4"/>
      <dgm:spPr/>
      <dgm:t>
        <a:bodyPr/>
        <a:lstStyle/>
        <a:p>
          <a:endParaRPr lang="en-US"/>
        </a:p>
      </dgm:t>
    </dgm:pt>
    <dgm:pt modelId="{2325E371-67CF-4040-AFF1-5CC8B57EB314}" type="pres">
      <dgm:prSet presAssocID="{4A1D621F-2CF7-4EBC-9BEA-893362446034}" presName="connTx" presStyleLbl="parChTrans1D2" presStyleIdx="3" presStyleCnt="4"/>
      <dgm:spPr/>
      <dgm:t>
        <a:bodyPr/>
        <a:lstStyle/>
        <a:p>
          <a:endParaRPr lang="en-US"/>
        </a:p>
      </dgm:t>
    </dgm:pt>
    <dgm:pt modelId="{3AF2B170-92F9-4662-9FBB-D5644B46BC7B}" type="pres">
      <dgm:prSet presAssocID="{5B592EB8-93BE-4783-B3ED-AE6E0A709470}" presName="node" presStyleLbl="node1" presStyleIdx="3" presStyleCnt="4" custScaleX="131155" custRadScaleRad="163540" custRadScaleInc="-697">
        <dgm:presLayoutVars>
          <dgm:bulletEnabled val="1"/>
        </dgm:presLayoutVars>
      </dgm:prSet>
      <dgm:spPr/>
      <dgm:t>
        <a:bodyPr/>
        <a:lstStyle/>
        <a:p>
          <a:endParaRPr lang="en-US"/>
        </a:p>
      </dgm:t>
    </dgm:pt>
  </dgm:ptLst>
  <dgm:cxnLst>
    <dgm:cxn modelId="{B6DE695D-2519-493B-A8C1-9FC47A108740}" type="presOf" srcId="{D7C67C51-B6C5-4086-930A-D94E6F04C5F0}" destId="{755A2CD9-047B-4537-8FA7-B76EDE1A1D8B}" srcOrd="0" destOrd="0" presId="urn:microsoft.com/office/officeart/2005/8/layout/radial1"/>
    <dgm:cxn modelId="{C468CB0E-44B1-4FA9-BE74-4C5DC1BF326D}" srcId="{48101EC5-2431-4583-B419-775A3FD7E2F3}" destId="{678EDEE9-A9E8-45BA-8796-56137C6E7E15}" srcOrd="2" destOrd="0" parTransId="{B997779A-E6D8-43E1-BA04-3B3D1AE6EB3A}" sibTransId="{C9B8B041-183E-4889-9380-FB1944321C2E}"/>
    <dgm:cxn modelId="{FC644BDE-28E5-46A0-B37E-5E92D2138E40}" type="presOf" srcId="{B997779A-E6D8-43E1-BA04-3B3D1AE6EB3A}" destId="{924017CE-89E7-4323-964B-C5E0CFDCAF92}" srcOrd="0" destOrd="0" presId="urn:microsoft.com/office/officeart/2005/8/layout/radial1"/>
    <dgm:cxn modelId="{68DAD4D9-F5E5-4F69-9206-3238B6614198}" type="presOf" srcId="{B997779A-E6D8-43E1-BA04-3B3D1AE6EB3A}" destId="{AFC70066-BA28-4202-92F1-4BC661C45B21}" srcOrd="1" destOrd="0" presId="urn:microsoft.com/office/officeart/2005/8/layout/radial1"/>
    <dgm:cxn modelId="{9A212E54-D435-4BB0-B6DB-A1CAA49F9611}" srcId="{48101EC5-2431-4583-B419-775A3FD7E2F3}" destId="{5B592EB8-93BE-4783-B3ED-AE6E0A709470}" srcOrd="3" destOrd="0" parTransId="{4A1D621F-2CF7-4EBC-9BEA-893362446034}" sibTransId="{6D5BA3FD-EFD4-4E44-B485-80590A668DE8}"/>
    <dgm:cxn modelId="{C45043E8-4505-4092-AEBD-89C1BB600F5F}" type="presOf" srcId="{95EEA42D-3F02-4B7F-BFFB-F30AAAEFE29F}" destId="{D812D0CB-3961-4DBF-8A9B-A35992970F74}" srcOrd="0" destOrd="0" presId="urn:microsoft.com/office/officeart/2005/8/layout/radial1"/>
    <dgm:cxn modelId="{6628A12C-2D4C-44ED-B377-584D64A866B1}" srcId="{48101EC5-2431-4583-B419-775A3FD7E2F3}" destId="{E0972B46-D948-43F3-AEB9-8DDB252AC430}" srcOrd="1" destOrd="0" parTransId="{D7C67C51-B6C5-4086-930A-D94E6F04C5F0}" sibTransId="{3078E5E5-C144-4E73-86E0-724698654E33}"/>
    <dgm:cxn modelId="{C119FA6C-3987-4156-87EC-E46FF1D2ABCC}" type="presOf" srcId="{4A1D621F-2CF7-4EBC-9BEA-893362446034}" destId="{2325E371-67CF-4040-AFF1-5CC8B57EB314}" srcOrd="1" destOrd="0" presId="urn:microsoft.com/office/officeart/2005/8/layout/radial1"/>
    <dgm:cxn modelId="{1F94459B-5140-4119-977C-F2C17CBF9D4C}" type="presOf" srcId="{5B592EB8-93BE-4783-B3ED-AE6E0A709470}" destId="{3AF2B170-92F9-4662-9FBB-D5644B46BC7B}" srcOrd="0" destOrd="0" presId="urn:microsoft.com/office/officeart/2005/8/layout/radial1"/>
    <dgm:cxn modelId="{D4BE63A3-7876-419F-B9F5-8AB05CC5C5D0}" type="presOf" srcId="{48101EC5-2431-4583-B419-775A3FD7E2F3}" destId="{71FB689F-7275-4ED8-BDC0-CD033C204A38}" srcOrd="0" destOrd="0" presId="urn:microsoft.com/office/officeart/2005/8/layout/radial1"/>
    <dgm:cxn modelId="{17774322-82AD-43BD-9A82-F9ED7AD78844}" type="presOf" srcId="{2F09DA30-E83B-4136-AFF5-FDAB66BC7586}" destId="{10E67856-1898-4C78-BC42-9694A6984AA7}" srcOrd="0" destOrd="0" presId="urn:microsoft.com/office/officeart/2005/8/layout/radial1"/>
    <dgm:cxn modelId="{DF3E2D92-81E5-4DA6-B69E-38F6AD11DF52}" type="presOf" srcId="{E0972B46-D948-43F3-AEB9-8DDB252AC430}" destId="{C003B682-7B72-4378-A56F-B296B21337DA}" srcOrd="0" destOrd="0" presId="urn:microsoft.com/office/officeart/2005/8/layout/radial1"/>
    <dgm:cxn modelId="{CC7DC5DF-AA99-4BA9-9CDB-6506CA69067C}" srcId="{2F09DA30-E83B-4136-AFF5-FDAB66BC7586}" destId="{48101EC5-2431-4583-B419-775A3FD7E2F3}" srcOrd="0" destOrd="0" parTransId="{A87F84D7-D0F9-47B2-83AB-643ACDE3F055}" sibTransId="{4AF6BCBC-CF2F-4F38-836E-13C5DFF870B4}"/>
    <dgm:cxn modelId="{7A55635A-9D1E-4657-B370-8334A54BB6A8}" type="presOf" srcId="{95EEA42D-3F02-4B7F-BFFB-F30AAAEFE29F}" destId="{FC1DE4E0-D0FF-44CC-B4C1-BB7C38784CAF}" srcOrd="1" destOrd="0" presId="urn:microsoft.com/office/officeart/2005/8/layout/radial1"/>
    <dgm:cxn modelId="{27DC9ACB-E256-48DA-B498-02A0878B27DF}" type="presOf" srcId="{D7C67C51-B6C5-4086-930A-D94E6F04C5F0}" destId="{8FBA8F19-4537-4432-8300-7444AC3912D5}" srcOrd="1" destOrd="0" presId="urn:microsoft.com/office/officeart/2005/8/layout/radial1"/>
    <dgm:cxn modelId="{7BD622BA-13AE-4AC9-B036-6F5462FE4F2E}" type="presOf" srcId="{713FADDD-CAF4-4CC9-9B23-F5EA4E6DA63C}" destId="{691F22A9-CDD1-483F-A113-4021D38D9ED7}" srcOrd="0" destOrd="0" presId="urn:microsoft.com/office/officeart/2005/8/layout/radial1"/>
    <dgm:cxn modelId="{89BCF0D5-0B40-4384-9C0D-11052276C3DD}" type="presOf" srcId="{4A1D621F-2CF7-4EBC-9BEA-893362446034}" destId="{97BA9B9E-AC13-435C-A889-97B597F9E959}" srcOrd="0" destOrd="0" presId="urn:microsoft.com/office/officeart/2005/8/layout/radial1"/>
    <dgm:cxn modelId="{7D88948E-EA3B-44BF-AC04-0DD3696ADA17}" srcId="{48101EC5-2431-4583-B419-775A3FD7E2F3}" destId="{713FADDD-CAF4-4CC9-9B23-F5EA4E6DA63C}" srcOrd="0" destOrd="0" parTransId="{95EEA42D-3F02-4B7F-BFFB-F30AAAEFE29F}" sibTransId="{133BCAF8-80EC-45A6-90C8-1845D7D74BAD}"/>
    <dgm:cxn modelId="{ED373E76-7D09-47D5-8519-09128AD80A6C}" type="presOf" srcId="{678EDEE9-A9E8-45BA-8796-56137C6E7E15}" destId="{83B671BE-5251-45C1-97F9-59EEE43CEB73}" srcOrd="0" destOrd="0" presId="urn:microsoft.com/office/officeart/2005/8/layout/radial1"/>
    <dgm:cxn modelId="{C5D90FE1-EBD8-4246-966E-B67F6AE993B5}" type="presParOf" srcId="{10E67856-1898-4C78-BC42-9694A6984AA7}" destId="{71FB689F-7275-4ED8-BDC0-CD033C204A38}" srcOrd="0" destOrd="0" presId="urn:microsoft.com/office/officeart/2005/8/layout/radial1"/>
    <dgm:cxn modelId="{86C7AD1D-762F-4A66-8139-A3351A65A65C}" type="presParOf" srcId="{10E67856-1898-4C78-BC42-9694A6984AA7}" destId="{D812D0CB-3961-4DBF-8A9B-A35992970F74}" srcOrd="1" destOrd="0" presId="urn:microsoft.com/office/officeart/2005/8/layout/radial1"/>
    <dgm:cxn modelId="{DF3EE1E6-BB17-4AFE-A720-BAFD3082892B}" type="presParOf" srcId="{D812D0CB-3961-4DBF-8A9B-A35992970F74}" destId="{FC1DE4E0-D0FF-44CC-B4C1-BB7C38784CAF}" srcOrd="0" destOrd="0" presId="urn:microsoft.com/office/officeart/2005/8/layout/radial1"/>
    <dgm:cxn modelId="{519183AE-3C48-4D14-9759-6BD2C1119F48}" type="presParOf" srcId="{10E67856-1898-4C78-BC42-9694A6984AA7}" destId="{691F22A9-CDD1-483F-A113-4021D38D9ED7}" srcOrd="2" destOrd="0" presId="urn:microsoft.com/office/officeart/2005/8/layout/radial1"/>
    <dgm:cxn modelId="{AD63621F-E412-4586-98EF-F6DCF60F4C00}" type="presParOf" srcId="{10E67856-1898-4C78-BC42-9694A6984AA7}" destId="{755A2CD9-047B-4537-8FA7-B76EDE1A1D8B}" srcOrd="3" destOrd="0" presId="urn:microsoft.com/office/officeart/2005/8/layout/radial1"/>
    <dgm:cxn modelId="{B9327B1E-B31F-49AD-B5CE-0D91A6EF68C0}" type="presParOf" srcId="{755A2CD9-047B-4537-8FA7-B76EDE1A1D8B}" destId="{8FBA8F19-4537-4432-8300-7444AC3912D5}" srcOrd="0" destOrd="0" presId="urn:microsoft.com/office/officeart/2005/8/layout/radial1"/>
    <dgm:cxn modelId="{E56F3AE9-308C-4930-8E02-4305B3AF3DB9}" type="presParOf" srcId="{10E67856-1898-4C78-BC42-9694A6984AA7}" destId="{C003B682-7B72-4378-A56F-B296B21337DA}" srcOrd="4" destOrd="0" presId="urn:microsoft.com/office/officeart/2005/8/layout/radial1"/>
    <dgm:cxn modelId="{B5C7D49D-462A-4CE5-BB97-E33ECEB03831}" type="presParOf" srcId="{10E67856-1898-4C78-BC42-9694A6984AA7}" destId="{924017CE-89E7-4323-964B-C5E0CFDCAF92}" srcOrd="5" destOrd="0" presId="urn:microsoft.com/office/officeart/2005/8/layout/radial1"/>
    <dgm:cxn modelId="{8F3BFFE5-0140-489C-B1BB-686639E9AE5F}" type="presParOf" srcId="{924017CE-89E7-4323-964B-C5E0CFDCAF92}" destId="{AFC70066-BA28-4202-92F1-4BC661C45B21}" srcOrd="0" destOrd="0" presId="urn:microsoft.com/office/officeart/2005/8/layout/radial1"/>
    <dgm:cxn modelId="{CBD4E460-1971-4CA6-947A-8FB714FFF5AC}" type="presParOf" srcId="{10E67856-1898-4C78-BC42-9694A6984AA7}" destId="{83B671BE-5251-45C1-97F9-59EEE43CEB73}" srcOrd="6" destOrd="0" presId="urn:microsoft.com/office/officeart/2005/8/layout/radial1"/>
    <dgm:cxn modelId="{DF783684-9DEA-4CD6-B31F-43B5844CF7C5}" type="presParOf" srcId="{10E67856-1898-4C78-BC42-9694A6984AA7}" destId="{97BA9B9E-AC13-435C-A889-97B597F9E959}" srcOrd="7" destOrd="0" presId="urn:microsoft.com/office/officeart/2005/8/layout/radial1"/>
    <dgm:cxn modelId="{37E4052D-0633-4146-A8B6-B7AC6DBEE02A}" type="presParOf" srcId="{97BA9B9E-AC13-435C-A889-97B597F9E959}" destId="{2325E371-67CF-4040-AFF1-5CC8B57EB314}" srcOrd="0" destOrd="0" presId="urn:microsoft.com/office/officeart/2005/8/layout/radial1"/>
    <dgm:cxn modelId="{3D11E2FD-81D7-4220-9D4E-B73239879513}" type="presParOf" srcId="{10E67856-1898-4C78-BC42-9694A6984AA7}" destId="{3AF2B170-92F9-4662-9FBB-D5644B46BC7B}" srcOrd="8" destOrd="0" presId="urn:microsoft.com/office/officeart/2005/8/layout/radial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F09DA30-E83B-4136-AFF5-FDAB66BC7586}" type="doc">
      <dgm:prSet loTypeId="urn:microsoft.com/office/officeart/2005/8/layout/radial1" loCatId="relationship" qsTypeId="urn:microsoft.com/office/officeart/2005/8/quickstyle/simple1" qsCatId="simple" csTypeId="urn:microsoft.com/office/officeart/2005/8/colors/colorful1#4" csCatId="colorful" phldr="1"/>
      <dgm:spPr/>
      <dgm:t>
        <a:bodyPr/>
        <a:lstStyle/>
        <a:p>
          <a:endParaRPr lang="ru-RU"/>
        </a:p>
      </dgm:t>
    </dgm:pt>
    <dgm:pt modelId="{48101EC5-2431-4583-B419-775A3FD7E2F3}">
      <dgm:prSet phldrT="[Текст]"/>
      <dgm:spPr/>
      <dgm:t>
        <a:bodyPr/>
        <a:lstStyle/>
        <a:p>
          <a:r>
            <a:rPr lang="ru-RU"/>
            <a:t>Вітронектин</a:t>
          </a:r>
        </a:p>
      </dgm:t>
    </dgm:pt>
    <dgm:pt modelId="{A87F84D7-D0F9-47B2-83AB-643ACDE3F055}" type="parTrans" cxnId="{CC7DC5DF-AA99-4BA9-9CDB-6506CA69067C}">
      <dgm:prSet/>
      <dgm:spPr/>
      <dgm:t>
        <a:bodyPr/>
        <a:lstStyle/>
        <a:p>
          <a:endParaRPr lang="ru-RU"/>
        </a:p>
      </dgm:t>
    </dgm:pt>
    <dgm:pt modelId="{4AF6BCBC-CF2F-4F38-836E-13C5DFF870B4}" type="sibTrans" cxnId="{CC7DC5DF-AA99-4BA9-9CDB-6506CA69067C}">
      <dgm:prSet/>
      <dgm:spPr/>
      <dgm:t>
        <a:bodyPr/>
        <a:lstStyle/>
        <a:p>
          <a:endParaRPr lang="ru-RU"/>
        </a:p>
      </dgm:t>
    </dgm:pt>
    <dgm:pt modelId="{713FADDD-CAF4-4CC9-9B23-F5EA4E6DA63C}">
      <dgm:prSet phldrT="[Текст]"/>
      <dgm:spPr/>
      <dgm:t>
        <a:bodyPr/>
        <a:lstStyle/>
        <a:p>
          <a:r>
            <a:rPr lang="ru-RU"/>
            <a:t>ЛПНЩ</a:t>
          </a:r>
        </a:p>
      </dgm:t>
    </dgm:pt>
    <dgm:pt modelId="{95EEA42D-3F02-4B7F-BFFB-F30AAAEFE29F}" type="parTrans" cxnId="{7D88948E-EA3B-44BF-AC04-0DD3696ADA17}">
      <dgm:prSet/>
      <dgm:spPr>
        <a:ln>
          <a:noFill/>
        </a:ln>
      </dgm:spPr>
      <dgm:t>
        <a:bodyPr/>
        <a:lstStyle/>
        <a:p>
          <a:endParaRPr lang="ru-RU"/>
        </a:p>
      </dgm:t>
    </dgm:pt>
    <dgm:pt modelId="{133BCAF8-80EC-45A6-90C8-1845D7D74BAD}" type="sibTrans" cxnId="{7D88948E-EA3B-44BF-AC04-0DD3696ADA17}">
      <dgm:prSet/>
      <dgm:spPr/>
      <dgm:t>
        <a:bodyPr/>
        <a:lstStyle/>
        <a:p>
          <a:endParaRPr lang="ru-RU"/>
        </a:p>
      </dgm:t>
    </dgm:pt>
    <dgm:pt modelId="{E0972B46-D948-43F3-AEB9-8DDB252AC430}">
      <dgm:prSet phldrT="[Текст]"/>
      <dgm:spPr/>
      <dgm:t>
        <a:bodyPr/>
        <a:lstStyle/>
        <a:p>
          <a:r>
            <a:rPr lang="ru-RU"/>
            <a:t>ЛПВЩ</a:t>
          </a:r>
        </a:p>
      </dgm:t>
    </dgm:pt>
    <dgm:pt modelId="{D7C67C51-B6C5-4086-930A-D94E6F04C5F0}" type="parTrans" cxnId="{6628A12C-2D4C-44ED-B377-584D64A866B1}">
      <dgm:prSet/>
      <dgm:spPr>
        <a:ln>
          <a:noFill/>
          <a:prstDash val="dash"/>
        </a:ln>
      </dgm:spPr>
      <dgm:t>
        <a:bodyPr/>
        <a:lstStyle/>
        <a:p>
          <a:endParaRPr lang="ru-RU"/>
        </a:p>
      </dgm:t>
    </dgm:pt>
    <dgm:pt modelId="{3078E5E5-C144-4E73-86E0-724698654E33}" type="sibTrans" cxnId="{6628A12C-2D4C-44ED-B377-584D64A866B1}">
      <dgm:prSet/>
      <dgm:spPr/>
      <dgm:t>
        <a:bodyPr/>
        <a:lstStyle/>
        <a:p>
          <a:endParaRPr lang="ru-RU"/>
        </a:p>
      </dgm:t>
    </dgm:pt>
    <dgm:pt modelId="{678EDEE9-A9E8-45BA-8796-56137C6E7E15}">
      <dgm:prSet phldrT="[Текст]"/>
      <dgm:spPr/>
      <dgm:t>
        <a:bodyPr/>
        <a:lstStyle/>
        <a:p>
          <a:r>
            <a:rPr lang="ru-RU"/>
            <a:t>ТГ</a:t>
          </a:r>
        </a:p>
      </dgm:t>
    </dgm:pt>
    <dgm:pt modelId="{B997779A-E6D8-43E1-BA04-3B3D1AE6EB3A}" type="parTrans" cxnId="{C468CB0E-44B1-4FA9-BE74-4C5DC1BF326D}">
      <dgm:prSet/>
      <dgm:spPr>
        <a:ln>
          <a:noFill/>
        </a:ln>
      </dgm:spPr>
      <dgm:t>
        <a:bodyPr/>
        <a:lstStyle/>
        <a:p>
          <a:endParaRPr lang="ru-RU"/>
        </a:p>
      </dgm:t>
    </dgm:pt>
    <dgm:pt modelId="{C9B8B041-183E-4889-9380-FB1944321C2E}" type="sibTrans" cxnId="{C468CB0E-44B1-4FA9-BE74-4C5DC1BF326D}">
      <dgm:prSet/>
      <dgm:spPr/>
      <dgm:t>
        <a:bodyPr/>
        <a:lstStyle/>
        <a:p>
          <a:endParaRPr lang="ru-RU"/>
        </a:p>
      </dgm:t>
    </dgm:pt>
    <dgm:pt modelId="{5B592EB8-93BE-4783-B3ED-AE6E0A709470}">
      <dgm:prSet phldrT="[Текст]"/>
      <dgm:spPr/>
      <dgm:t>
        <a:bodyPr/>
        <a:lstStyle/>
        <a:p>
          <a:r>
            <a:rPr lang="ru-RU"/>
            <a:t>ЗХС</a:t>
          </a:r>
        </a:p>
      </dgm:t>
    </dgm:pt>
    <dgm:pt modelId="{4A1D621F-2CF7-4EBC-9BEA-893362446034}" type="parTrans" cxnId="{9A212E54-D435-4BB0-B6DB-A1CAA49F9611}">
      <dgm:prSet/>
      <dgm:spPr>
        <a:ln>
          <a:noFill/>
        </a:ln>
      </dgm:spPr>
      <dgm:t>
        <a:bodyPr/>
        <a:lstStyle/>
        <a:p>
          <a:endParaRPr lang="ru-RU"/>
        </a:p>
      </dgm:t>
    </dgm:pt>
    <dgm:pt modelId="{6D5BA3FD-EFD4-4E44-B485-80590A668DE8}" type="sibTrans" cxnId="{9A212E54-D435-4BB0-B6DB-A1CAA49F9611}">
      <dgm:prSet/>
      <dgm:spPr/>
      <dgm:t>
        <a:bodyPr/>
        <a:lstStyle/>
        <a:p>
          <a:endParaRPr lang="ru-RU"/>
        </a:p>
      </dgm:t>
    </dgm:pt>
    <dgm:pt modelId="{10E67856-1898-4C78-BC42-9694A6984AA7}" type="pres">
      <dgm:prSet presAssocID="{2F09DA30-E83B-4136-AFF5-FDAB66BC7586}" presName="cycle" presStyleCnt="0">
        <dgm:presLayoutVars>
          <dgm:chMax val="1"/>
          <dgm:dir/>
          <dgm:animLvl val="ctr"/>
          <dgm:resizeHandles val="exact"/>
        </dgm:presLayoutVars>
      </dgm:prSet>
      <dgm:spPr/>
      <dgm:t>
        <a:bodyPr/>
        <a:lstStyle/>
        <a:p>
          <a:endParaRPr lang="en-US"/>
        </a:p>
      </dgm:t>
    </dgm:pt>
    <dgm:pt modelId="{71FB689F-7275-4ED8-BDC0-CD033C204A38}" type="pres">
      <dgm:prSet presAssocID="{48101EC5-2431-4583-B419-775A3FD7E2F3}" presName="centerShape" presStyleLbl="node0" presStyleIdx="0" presStyleCnt="1" custScaleX="223128"/>
      <dgm:spPr/>
      <dgm:t>
        <a:bodyPr/>
        <a:lstStyle/>
        <a:p>
          <a:endParaRPr lang="en-US"/>
        </a:p>
      </dgm:t>
    </dgm:pt>
    <dgm:pt modelId="{D812D0CB-3961-4DBF-8A9B-A35992970F74}" type="pres">
      <dgm:prSet presAssocID="{95EEA42D-3F02-4B7F-BFFB-F30AAAEFE29F}" presName="Name9" presStyleLbl="parChTrans1D2" presStyleIdx="0" presStyleCnt="4"/>
      <dgm:spPr/>
      <dgm:t>
        <a:bodyPr/>
        <a:lstStyle/>
        <a:p>
          <a:endParaRPr lang="en-US"/>
        </a:p>
      </dgm:t>
    </dgm:pt>
    <dgm:pt modelId="{FC1DE4E0-D0FF-44CC-B4C1-BB7C38784CAF}" type="pres">
      <dgm:prSet presAssocID="{95EEA42D-3F02-4B7F-BFFB-F30AAAEFE29F}" presName="connTx" presStyleLbl="parChTrans1D2" presStyleIdx="0" presStyleCnt="4"/>
      <dgm:spPr/>
      <dgm:t>
        <a:bodyPr/>
        <a:lstStyle/>
        <a:p>
          <a:endParaRPr lang="en-US"/>
        </a:p>
      </dgm:t>
    </dgm:pt>
    <dgm:pt modelId="{691F22A9-CDD1-483F-A113-4021D38D9ED7}" type="pres">
      <dgm:prSet presAssocID="{713FADDD-CAF4-4CC9-9B23-F5EA4E6DA63C}" presName="node" presStyleLbl="node1" presStyleIdx="0" presStyleCnt="4" custScaleX="157068">
        <dgm:presLayoutVars>
          <dgm:bulletEnabled val="1"/>
        </dgm:presLayoutVars>
      </dgm:prSet>
      <dgm:spPr/>
      <dgm:t>
        <a:bodyPr/>
        <a:lstStyle/>
        <a:p>
          <a:endParaRPr lang="en-US"/>
        </a:p>
      </dgm:t>
    </dgm:pt>
    <dgm:pt modelId="{755A2CD9-047B-4537-8FA7-B76EDE1A1D8B}" type="pres">
      <dgm:prSet presAssocID="{D7C67C51-B6C5-4086-930A-D94E6F04C5F0}" presName="Name9" presStyleLbl="parChTrans1D2" presStyleIdx="1" presStyleCnt="4"/>
      <dgm:spPr/>
      <dgm:t>
        <a:bodyPr/>
        <a:lstStyle/>
        <a:p>
          <a:endParaRPr lang="en-US"/>
        </a:p>
      </dgm:t>
    </dgm:pt>
    <dgm:pt modelId="{8FBA8F19-4537-4432-8300-7444AC3912D5}" type="pres">
      <dgm:prSet presAssocID="{D7C67C51-B6C5-4086-930A-D94E6F04C5F0}" presName="connTx" presStyleLbl="parChTrans1D2" presStyleIdx="1" presStyleCnt="4"/>
      <dgm:spPr/>
      <dgm:t>
        <a:bodyPr/>
        <a:lstStyle/>
        <a:p>
          <a:endParaRPr lang="en-US"/>
        </a:p>
      </dgm:t>
    </dgm:pt>
    <dgm:pt modelId="{C003B682-7B72-4378-A56F-B296B21337DA}" type="pres">
      <dgm:prSet presAssocID="{E0972B46-D948-43F3-AEB9-8DDB252AC430}" presName="node" presStyleLbl="node1" presStyleIdx="1" presStyleCnt="4" custScaleX="132064" custRadScaleRad="178312" custRadScaleInc="-1278">
        <dgm:presLayoutVars>
          <dgm:bulletEnabled val="1"/>
        </dgm:presLayoutVars>
      </dgm:prSet>
      <dgm:spPr/>
      <dgm:t>
        <a:bodyPr/>
        <a:lstStyle/>
        <a:p>
          <a:endParaRPr lang="en-US"/>
        </a:p>
      </dgm:t>
    </dgm:pt>
    <dgm:pt modelId="{924017CE-89E7-4323-964B-C5E0CFDCAF92}" type="pres">
      <dgm:prSet presAssocID="{B997779A-E6D8-43E1-BA04-3B3D1AE6EB3A}" presName="Name9" presStyleLbl="parChTrans1D2" presStyleIdx="2" presStyleCnt="4"/>
      <dgm:spPr/>
      <dgm:t>
        <a:bodyPr/>
        <a:lstStyle/>
        <a:p>
          <a:endParaRPr lang="en-US"/>
        </a:p>
      </dgm:t>
    </dgm:pt>
    <dgm:pt modelId="{AFC70066-BA28-4202-92F1-4BC661C45B21}" type="pres">
      <dgm:prSet presAssocID="{B997779A-E6D8-43E1-BA04-3B3D1AE6EB3A}" presName="connTx" presStyleLbl="parChTrans1D2" presStyleIdx="2" presStyleCnt="4"/>
      <dgm:spPr/>
      <dgm:t>
        <a:bodyPr/>
        <a:lstStyle/>
        <a:p>
          <a:endParaRPr lang="en-US"/>
        </a:p>
      </dgm:t>
    </dgm:pt>
    <dgm:pt modelId="{83B671BE-5251-45C1-97F9-59EEE43CEB73}" type="pres">
      <dgm:prSet presAssocID="{678EDEE9-A9E8-45BA-8796-56137C6E7E15}" presName="node" presStyleLbl="node1" presStyleIdx="2" presStyleCnt="4" custScaleX="146596">
        <dgm:presLayoutVars>
          <dgm:bulletEnabled val="1"/>
        </dgm:presLayoutVars>
      </dgm:prSet>
      <dgm:spPr/>
      <dgm:t>
        <a:bodyPr/>
        <a:lstStyle/>
        <a:p>
          <a:endParaRPr lang="en-US"/>
        </a:p>
      </dgm:t>
    </dgm:pt>
    <dgm:pt modelId="{97BA9B9E-AC13-435C-A889-97B597F9E959}" type="pres">
      <dgm:prSet presAssocID="{4A1D621F-2CF7-4EBC-9BEA-893362446034}" presName="Name9" presStyleLbl="parChTrans1D2" presStyleIdx="3" presStyleCnt="4"/>
      <dgm:spPr/>
      <dgm:t>
        <a:bodyPr/>
        <a:lstStyle/>
        <a:p>
          <a:endParaRPr lang="en-US"/>
        </a:p>
      </dgm:t>
    </dgm:pt>
    <dgm:pt modelId="{2325E371-67CF-4040-AFF1-5CC8B57EB314}" type="pres">
      <dgm:prSet presAssocID="{4A1D621F-2CF7-4EBC-9BEA-893362446034}" presName="connTx" presStyleLbl="parChTrans1D2" presStyleIdx="3" presStyleCnt="4"/>
      <dgm:spPr/>
      <dgm:t>
        <a:bodyPr/>
        <a:lstStyle/>
        <a:p>
          <a:endParaRPr lang="en-US"/>
        </a:p>
      </dgm:t>
    </dgm:pt>
    <dgm:pt modelId="{3AF2B170-92F9-4662-9FBB-D5644B46BC7B}" type="pres">
      <dgm:prSet presAssocID="{5B592EB8-93BE-4783-B3ED-AE6E0A709470}" presName="node" presStyleLbl="node1" presStyleIdx="3" presStyleCnt="4" custScaleX="131155" custRadScaleRad="163540" custRadScaleInc="-697">
        <dgm:presLayoutVars>
          <dgm:bulletEnabled val="1"/>
        </dgm:presLayoutVars>
      </dgm:prSet>
      <dgm:spPr/>
      <dgm:t>
        <a:bodyPr/>
        <a:lstStyle/>
        <a:p>
          <a:endParaRPr lang="en-US"/>
        </a:p>
      </dgm:t>
    </dgm:pt>
  </dgm:ptLst>
  <dgm:cxnLst>
    <dgm:cxn modelId="{08767888-739F-4B3F-9CF6-F2EF19420149}" type="presOf" srcId="{D7C67C51-B6C5-4086-930A-D94E6F04C5F0}" destId="{755A2CD9-047B-4537-8FA7-B76EDE1A1D8B}" srcOrd="0" destOrd="0" presId="urn:microsoft.com/office/officeart/2005/8/layout/radial1"/>
    <dgm:cxn modelId="{C468CB0E-44B1-4FA9-BE74-4C5DC1BF326D}" srcId="{48101EC5-2431-4583-B419-775A3FD7E2F3}" destId="{678EDEE9-A9E8-45BA-8796-56137C6E7E15}" srcOrd="2" destOrd="0" parTransId="{B997779A-E6D8-43E1-BA04-3B3D1AE6EB3A}" sibTransId="{C9B8B041-183E-4889-9380-FB1944321C2E}"/>
    <dgm:cxn modelId="{FB262C64-F717-402A-AB35-9D684CAF5FDA}" type="presOf" srcId="{95EEA42D-3F02-4B7F-BFFB-F30AAAEFE29F}" destId="{D812D0CB-3961-4DBF-8A9B-A35992970F74}" srcOrd="0" destOrd="0" presId="urn:microsoft.com/office/officeart/2005/8/layout/radial1"/>
    <dgm:cxn modelId="{7C5056F8-7BDA-483B-88AD-D2B4AC03C5DE}" type="presOf" srcId="{4A1D621F-2CF7-4EBC-9BEA-893362446034}" destId="{2325E371-67CF-4040-AFF1-5CC8B57EB314}" srcOrd="1" destOrd="0" presId="urn:microsoft.com/office/officeart/2005/8/layout/radial1"/>
    <dgm:cxn modelId="{95480088-ADF5-40CD-9610-3021907CE586}" type="presOf" srcId="{2F09DA30-E83B-4136-AFF5-FDAB66BC7586}" destId="{10E67856-1898-4C78-BC42-9694A6984AA7}" srcOrd="0" destOrd="0" presId="urn:microsoft.com/office/officeart/2005/8/layout/radial1"/>
    <dgm:cxn modelId="{9E58E1FD-D490-4EBC-A585-18AAE13F4C90}" type="presOf" srcId="{E0972B46-D948-43F3-AEB9-8DDB252AC430}" destId="{C003B682-7B72-4378-A56F-B296B21337DA}" srcOrd="0" destOrd="0" presId="urn:microsoft.com/office/officeart/2005/8/layout/radial1"/>
    <dgm:cxn modelId="{9A212E54-D435-4BB0-B6DB-A1CAA49F9611}" srcId="{48101EC5-2431-4583-B419-775A3FD7E2F3}" destId="{5B592EB8-93BE-4783-B3ED-AE6E0A709470}" srcOrd="3" destOrd="0" parTransId="{4A1D621F-2CF7-4EBC-9BEA-893362446034}" sibTransId="{6D5BA3FD-EFD4-4E44-B485-80590A668DE8}"/>
    <dgm:cxn modelId="{6628A12C-2D4C-44ED-B377-584D64A866B1}" srcId="{48101EC5-2431-4583-B419-775A3FD7E2F3}" destId="{E0972B46-D948-43F3-AEB9-8DDB252AC430}" srcOrd="1" destOrd="0" parTransId="{D7C67C51-B6C5-4086-930A-D94E6F04C5F0}" sibTransId="{3078E5E5-C144-4E73-86E0-724698654E33}"/>
    <dgm:cxn modelId="{B3AD38DD-63EB-4658-8077-7F9084EE76BA}" type="presOf" srcId="{48101EC5-2431-4583-B419-775A3FD7E2F3}" destId="{71FB689F-7275-4ED8-BDC0-CD033C204A38}" srcOrd="0" destOrd="0" presId="urn:microsoft.com/office/officeart/2005/8/layout/radial1"/>
    <dgm:cxn modelId="{19F287A1-2223-49F4-BD1C-84BEF7917419}" type="presOf" srcId="{B997779A-E6D8-43E1-BA04-3B3D1AE6EB3A}" destId="{924017CE-89E7-4323-964B-C5E0CFDCAF92}" srcOrd="0" destOrd="0" presId="urn:microsoft.com/office/officeart/2005/8/layout/radial1"/>
    <dgm:cxn modelId="{5ED6C6E5-8F58-4137-B776-65E0E00197DB}" type="presOf" srcId="{678EDEE9-A9E8-45BA-8796-56137C6E7E15}" destId="{83B671BE-5251-45C1-97F9-59EEE43CEB73}" srcOrd="0" destOrd="0" presId="urn:microsoft.com/office/officeart/2005/8/layout/radial1"/>
    <dgm:cxn modelId="{6FC6D1C7-21CE-4D4B-B2EA-F03F8717CDA5}" type="presOf" srcId="{4A1D621F-2CF7-4EBC-9BEA-893362446034}" destId="{97BA9B9E-AC13-435C-A889-97B597F9E959}" srcOrd="0" destOrd="0" presId="urn:microsoft.com/office/officeart/2005/8/layout/radial1"/>
    <dgm:cxn modelId="{466FC314-7E09-4951-8B1C-1F6FDA88424E}" type="presOf" srcId="{95EEA42D-3F02-4B7F-BFFB-F30AAAEFE29F}" destId="{FC1DE4E0-D0FF-44CC-B4C1-BB7C38784CAF}" srcOrd="1" destOrd="0" presId="urn:microsoft.com/office/officeart/2005/8/layout/radial1"/>
    <dgm:cxn modelId="{CC7DC5DF-AA99-4BA9-9CDB-6506CA69067C}" srcId="{2F09DA30-E83B-4136-AFF5-FDAB66BC7586}" destId="{48101EC5-2431-4583-B419-775A3FD7E2F3}" srcOrd="0" destOrd="0" parTransId="{A87F84D7-D0F9-47B2-83AB-643ACDE3F055}" sibTransId="{4AF6BCBC-CF2F-4F38-836E-13C5DFF870B4}"/>
    <dgm:cxn modelId="{D1E8985A-064E-46F0-B622-9BFDEF39423B}" type="presOf" srcId="{D7C67C51-B6C5-4086-930A-D94E6F04C5F0}" destId="{8FBA8F19-4537-4432-8300-7444AC3912D5}" srcOrd="1" destOrd="0" presId="urn:microsoft.com/office/officeart/2005/8/layout/radial1"/>
    <dgm:cxn modelId="{D34FDD53-D97C-4D5A-BBE6-589ED18F959F}" type="presOf" srcId="{5B592EB8-93BE-4783-B3ED-AE6E0A709470}" destId="{3AF2B170-92F9-4662-9FBB-D5644B46BC7B}" srcOrd="0" destOrd="0" presId="urn:microsoft.com/office/officeart/2005/8/layout/radial1"/>
    <dgm:cxn modelId="{3ED385D2-A896-49E6-BB7D-5E71BB430602}" type="presOf" srcId="{B997779A-E6D8-43E1-BA04-3B3D1AE6EB3A}" destId="{AFC70066-BA28-4202-92F1-4BC661C45B21}" srcOrd="1" destOrd="0" presId="urn:microsoft.com/office/officeart/2005/8/layout/radial1"/>
    <dgm:cxn modelId="{7D88948E-EA3B-44BF-AC04-0DD3696ADA17}" srcId="{48101EC5-2431-4583-B419-775A3FD7E2F3}" destId="{713FADDD-CAF4-4CC9-9B23-F5EA4E6DA63C}" srcOrd="0" destOrd="0" parTransId="{95EEA42D-3F02-4B7F-BFFB-F30AAAEFE29F}" sibTransId="{133BCAF8-80EC-45A6-90C8-1845D7D74BAD}"/>
    <dgm:cxn modelId="{DDEB0794-C26F-4229-9045-5740095433F0}" type="presOf" srcId="{713FADDD-CAF4-4CC9-9B23-F5EA4E6DA63C}" destId="{691F22A9-CDD1-483F-A113-4021D38D9ED7}" srcOrd="0" destOrd="0" presId="urn:microsoft.com/office/officeart/2005/8/layout/radial1"/>
    <dgm:cxn modelId="{AE1AB870-8B4F-4C53-AD12-D3F1FA9AF6BF}" type="presParOf" srcId="{10E67856-1898-4C78-BC42-9694A6984AA7}" destId="{71FB689F-7275-4ED8-BDC0-CD033C204A38}" srcOrd="0" destOrd="0" presId="urn:microsoft.com/office/officeart/2005/8/layout/radial1"/>
    <dgm:cxn modelId="{FF3C1FC9-D504-402E-BB01-A86871BF06A3}" type="presParOf" srcId="{10E67856-1898-4C78-BC42-9694A6984AA7}" destId="{D812D0CB-3961-4DBF-8A9B-A35992970F74}" srcOrd="1" destOrd="0" presId="urn:microsoft.com/office/officeart/2005/8/layout/radial1"/>
    <dgm:cxn modelId="{565FF923-5780-4C6E-853F-FFE837348CD8}" type="presParOf" srcId="{D812D0CB-3961-4DBF-8A9B-A35992970F74}" destId="{FC1DE4E0-D0FF-44CC-B4C1-BB7C38784CAF}" srcOrd="0" destOrd="0" presId="urn:microsoft.com/office/officeart/2005/8/layout/radial1"/>
    <dgm:cxn modelId="{9D2D2DD3-8C34-4CBB-AFF9-18F618631E57}" type="presParOf" srcId="{10E67856-1898-4C78-BC42-9694A6984AA7}" destId="{691F22A9-CDD1-483F-A113-4021D38D9ED7}" srcOrd="2" destOrd="0" presId="urn:microsoft.com/office/officeart/2005/8/layout/radial1"/>
    <dgm:cxn modelId="{74D36CFA-3274-4364-9A8E-883FC7C1B2CD}" type="presParOf" srcId="{10E67856-1898-4C78-BC42-9694A6984AA7}" destId="{755A2CD9-047B-4537-8FA7-B76EDE1A1D8B}" srcOrd="3" destOrd="0" presId="urn:microsoft.com/office/officeart/2005/8/layout/radial1"/>
    <dgm:cxn modelId="{9B3E850E-4EF6-443A-927F-15078BEA2E5A}" type="presParOf" srcId="{755A2CD9-047B-4537-8FA7-B76EDE1A1D8B}" destId="{8FBA8F19-4537-4432-8300-7444AC3912D5}" srcOrd="0" destOrd="0" presId="urn:microsoft.com/office/officeart/2005/8/layout/radial1"/>
    <dgm:cxn modelId="{A590715D-6F70-4A15-A231-561DEDB8C0B4}" type="presParOf" srcId="{10E67856-1898-4C78-BC42-9694A6984AA7}" destId="{C003B682-7B72-4378-A56F-B296B21337DA}" srcOrd="4" destOrd="0" presId="urn:microsoft.com/office/officeart/2005/8/layout/radial1"/>
    <dgm:cxn modelId="{879124F0-1266-4E26-B8A4-19E8FB45E276}" type="presParOf" srcId="{10E67856-1898-4C78-BC42-9694A6984AA7}" destId="{924017CE-89E7-4323-964B-C5E0CFDCAF92}" srcOrd="5" destOrd="0" presId="urn:microsoft.com/office/officeart/2005/8/layout/radial1"/>
    <dgm:cxn modelId="{60FF0968-F10D-43B1-B476-DDAC1303C0DA}" type="presParOf" srcId="{924017CE-89E7-4323-964B-C5E0CFDCAF92}" destId="{AFC70066-BA28-4202-92F1-4BC661C45B21}" srcOrd="0" destOrd="0" presId="urn:microsoft.com/office/officeart/2005/8/layout/radial1"/>
    <dgm:cxn modelId="{7D6DF671-ED30-44E5-A8D5-4CDE012ED432}" type="presParOf" srcId="{10E67856-1898-4C78-BC42-9694A6984AA7}" destId="{83B671BE-5251-45C1-97F9-59EEE43CEB73}" srcOrd="6" destOrd="0" presId="urn:microsoft.com/office/officeart/2005/8/layout/radial1"/>
    <dgm:cxn modelId="{37AB649E-BA08-47AE-9CFD-290E7222477B}" type="presParOf" srcId="{10E67856-1898-4C78-BC42-9694A6984AA7}" destId="{97BA9B9E-AC13-435C-A889-97B597F9E959}" srcOrd="7" destOrd="0" presId="urn:microsoft.com/office/officeart/2005/8/layout/radial1"/>
    <dgm:cxn modelId="{73604012-B5E3-4CED-BB0A-5D54ABE667A8}" type="presParOf" srcId="{97BA9B9E-AC13-435C-A889-97B597F9E959}" destId="{2325E371-67CF-4040-AFF1-5CC8B57EB314}" srcOrd="0" destOrd="0" presId="urn:microsoft.com/office/officeart/2005/8/layout/radial1"/>
    <dgm:cxn modelId="{C88D39F0-543B-4DD7-98A0-4DA12D6BD29F}" type="presParOf" srcId="{10E67856-1898-4C78-BC42-9694A6984AA7}" destId="{3AF2B170-92F9-4662-9FBB-D5644B46BC7B}" srcOrd="8" destOrd="0" presId="urn:microsoft.com/office/officeart/2005/8/layout/radial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03224AF-CFD7-4E19-AC14-69139FC37EA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D9C6344C-F9B0-4937-8245-FE579239DC65}">
      <dgm:prSet phldrT="[Текст]"/>
      <dgm:spPr>
        <a:solidFill>
          <a:schemeClr val="accent2">
            <a:lumMod val="40000"/>
            <a:lumOff val="60000"/>
          </a:schemeClr>
        </a:solidFill>
      </dgm:spPr>
      <dgm:t>
        <a:bodyPr/>
        <a:lstStyle/>
        <a:p>
          <a:r>
            <a:rPr lang="uk-UA"/>
            <a:t>Креатинін</a:t>
          </a:r>
        </a:p>
      </dgm:t>
    </dgm:pt>
    <dgm:pt modelId="{0129483C-F9F0-4CED-AF64-E6B045486219}" type="parTrans" cxnId="{A38CEE84-6964-444F-A4F0-B44C3625940D}">
      <dgm:prSet/>
      <dgm:spPr/>
      <dgm:t>
        <a:bodyPr/>
        <a:lstStyle/>
        <a:p>
          <a:endParaRPr lang="en-US"/>
        </a:p>
      </dgm:t>
    </dgm:pt>
    <dgm:pt modelId="{6D8B7072-52C8-4B86-A9EF-599099279D87}" type="sibTrans" cxnId="{A38CEE84-6964-444F-A4F0-B44C3625940D}">
      <dgm:prSet/>
      <dgm:spPr/>
      <dgm:t>
        <a:bodyPr/>
        <a:lstStyle/>
        <a:p>
          <a:endParaRPr lang="en-US"/>
        </a:p>
      </dgm:t>
    </dgm:pt>
    <dgm:pt modelId="{CFA63F63-7C96-4915-A45D-3B49FB5B4944}">
      <dgm:prSet phldrT="[Текст]"/>
      <dgm:spPr>
        <a:solidFill>
          <a:schemeClr val="accent2">
            <a:lumMod val="40000"/>
            <a:lumOff val="60000"/>
          </a:schemeClr>
        </a:solidFill>
      </dgm:spPr>
      <dgm:t>
        <a:bodyPr/>
        <a:lstStyle/>
        <a:p>
          <a:r>
            <a:rPr lang="uk-UA"/>
            <a:t>Галектин-3</a:t>
          </a:r>
          <a:endParaRPr lang="en-US"/>
        </a:p>
      </dgm:t>
    </dgm:pt>
    <dgm:pt modelId="{444E121B-FA84-486A-BE49-E4FADCEBD320}" type="parTrans" cxnId="{05DE0AC2-827C-4C62-9D36-DB5AE42ECC97}">
      <dgm:prSet/>
      <dgm:spPr/>
      <dgm:t>
        <a:bodyPr/>
        <a:lstStyle/>
        <a:p>
          <a:endParaRPr lang="en-US"/>
        </a:p>
      </dgm:t>
    </dgm:pt>
    <dgm:pt modelId="{B9D7CF21-1969-4BDC-B0BC-85B56406D069}" type="sibTrans" cxnId="{05DE0AC2-827C-4C62-9D36-DB5AE42ECC97}">
      <dgm:prSet/>
      <dgm:spPr/>
      <dgm:t>
        <a:bodyPr/>
        <a:lstStyle/>
        <a:p>
          <a:endParaRPr lang="en-US"/>
        </a:p>
      </dgm:t>
    </dgm:pt>
    <dgm:pt modelId="{CE063D2B-C8CA-4D2C-810E-8AD6454D0FB4}" type="pres">
      <dgm:prSet presAssocID="{503224AF-CFD7-4E19-AC14-69139FC37EA9}" presName="cycle" presStyleCnt="0">
        <dgm:presLayoutVars>
          <dgm:chMax val="1"/>
          <dgm:dir/>
          <dgm:animLvl val="ctr"/>
          <dgm:resizeHandles val="exact"/>
        </dgm:presLayoutVars>
      </dgm:prSet>
      <dgm:spPr/>
      <dgm:t>
        <a:bodyPr/>
        <a:lstStyle/>
        <a:p>
          <a:endParaRPr lang="ru-RU"/>
        </a:p>
      </dgm:t>
    </dgm:pt>
    <dgm:pt modelId="{200BDE0A-CBF3-46CA-9BB6-12277797414A}" type="pres">
      <dgm:prSet presAssocID="{D9C6344C-F9B0-4937-8245-FE579239DC65}" presName="centerShape" presStyleLbl="node0" presStyleIdx="0" presStyleCnt="1" custScaleX="133459" custScaleY="69402"/>
      <dgm:spPr/>
      <dgm:t>
        <a:bodyPr/>
        <a:lstStyle/>
        <a:p>
          <a:endParaRPr lang="en-US"/>
        </a:p>
      </dgm:t>
    </dgm:pt>
    <dgm:pt modelId="{7EB54C57-43B8-41DB-A804-A4B386A883DC}" type="pres">
      <dgm:prSet presAssocID="{444E121B-FA84-486A-BE49-E4FADCEBD320}" presName="Name9" presStyleLbl="parChTrans1D2" presStyleIdx="0" presStyleCnt="1"/>
      <dgm:spPr/>
      <dgm:t>
        <a:bodyPr/>
        <a:lstStyle/>
        <a:p>
          <a:endParaRPr lang="ru-RU"/>
        </a:p>
      </dgm:t>
    </dgm:pt>
    <dgm:pt modelId="{5C5B40F9-7749-4CB3-901F-27546119438A}" type="pres">
      <dgm:prSet presAssocID="{444E121B-FA84-486A-BE49-E4FADCEBD320}" presName="connTx" presStyleLbl="parChTrans1D2" presStyleIdx="0" presStyleCnt="1"/>
      <dgm:spPr/>
      <dgm:t>
        <a:bodyPr/>
        <a:lstStyle/>
        <a:p>
          <a:endParaRPr lang="ru-RU"/>
        </a:p>
      </dgm:t>
    </dgm:pt>
    <dgm:pt modelId="{67626249-135F-4A22-A677-C5E1AF98E401}" type="pres">
      <dgm:prSet presAssocID="{CFA63F63-7C96-4915-A45D-3B49FB5B4944}" presName="node" presStyleLbl="node1" presStyleIdx="0" presStyleCnt="1" custScaleX="140043" custScaleY="66766">
        <dgm:presLayoutVars>
          <dgm:bulletEnabled val="1"/>
        </dgm:presLayoutVars>
      </dgm:prSet>
      <dgm:spPr/>
      <dgm:t>
        <a:bodyPr/>
        <a:lstStyle/>
        <a:p>
          <a:endParaRPr lang="ru-RU"/>
        </a:p>
      </dgm:t>
    </dgm:pt>
  </dgm:ptLst>
  <dgm:cxnLst>
    <dgm:cxn modelId="{A9866616-B260-44D0-883A-C0A4094FA70E}" type="presOf" srcId="{444E121B-FA84-486A-BE49-E4FADCEBD320}" destId="{7EB54C57-43B8-41DB-A804-A4B386A883DC}" srcOrd="0" destOrd="0" presId="urn:microsoft.com/office/officeart/2005/8/layout/radial1"/>
    <dgm:cxn modelId="{A2513829-08E3-4C0F-A926-343F7E561CEC}" type="presOf" srcId="{503224AF-CFD7-4E19-AC14-69139FC37EA9}" destId="{CE063D2B-C8CA-4D2C-810E-8AD6454D0FB4}" srcOrd="0" destOrd="0" presId="urn:microsoft.com/office/officeart/2005/8/layout/radial1"/>
    <dgm:cxn modelId="{C979CC6B-3542-4C17-9791-F5D3201B6722}" type="presOf" srcId="{444E121B-FA84-486A-BE49-E4FADCEBD320}" destId="{5C5B40F9-7749-4CB3-901F-27546119438A}" srcOrd="1" destOrd="0" presId="urn:microsoft.com/office/officeart/2005/8/layout/radial1"/>
    <dgm:cxn modelId="{A38CEE84-6964-444F-A4F0-B44C3625940D}" srcId="{503224AF-CFD7-4E19-AC14-69139FC37EA9}" destId="{D9C6344C-F9B0-4937-8245-FE579239DC65}" srcOrd="0" destOrd="0" parTransId="{0129483C-F9F0-4CED-AF64-E6B045486219}" sibTransId="{6D8B7072-52C8-4B86-A9EF-599099279D87}"/>
    <dgm:cxn modelId="{F6CC9A87-D346-4039-B5B9-1C77BA9E4D7D}" type="presOf" srcId="{CFA63F63-7C96-4915-A45D-3B49FB5B4944}" destId="{67626249-135F-4A22-A677-C5E1AF98E401}" srcOrd="0" destOrd="0" presId="urn:microsoft.com/office/officeart/2005/8/layout/radial1"/>
    <dgm:cxn modelId="{0FF42B9D-BE70-4BC7-AD1C-861D3277968A}" type="presOf" srcId="{D9C6344C-F9B0-4937-8245-FE579239DC65}" destId="{200BDE0A-CBF3-46CA-9BB6-12277797414A}" srcOrd="0" destOrd="0" presId="urn:microsoft.com/office/officeart/2005/8/layout/radial1"/>
    <dgm:cxn modelId="{05DE0AC2-827C-4C62-9D36-DB5AE42ECC97}" srcId="{D9C6344C-F9B0-4937-8245-FE579239DC65}" destId="{CFA63F63-7C96-4915-A45D-3B49FB5B4944}" srcOrd="0" destOrd="0" parTransId="{444E121B-FA84-486A-BE49-E4FADCEBD320}" sibTransId="{B9D7CF21-1969-4BDC-B0BC-85B56406D069}"/>
    <dgm:cxn modelId="{07C50225-945D-43F7-8DFB-440CCB31A215}" type="presParOf" srcId="{CE063D2B-C8CA-4D2C-810E-8AD6454D0FB4}" destId="{200BDE0A-CBF3-46CA-9BB6-12277797414A}" srcOrd="0" destOrd="0" presId="urn:microsoft.com/office/officeart/2005/8/layout/radial1"/>
    <dgm:cxn modelId="{C8A7ACA4-5079-4151-9EFC-F99670F06CB7}" type="presParOf" srcId="{CE063D2B-C8CA-4D2C-810E-8AD6454D0FB4}" destId="{7EB54C57-43B8-41DB-A804-A4B386A883DC}" srcOrd="1" destOrd="0" presId="urn:microsoft.com/office/officeart/2005/8/layout/radial1"/>
    <dgm:cxn modelId="{3CE6CF1E-C59F-4C13-9616-29371D57C8F4}" type="presParOf" srcId="{7EB54C57-43B8-41DB-A804-A4B386A883DC}" destId="{5C5B40F9-7749-4CB3-901F-27546119438A}" srcOrd="0" destOrd="0" presId="urn:microsoft.com/office/officeart/2005/8/layout/radial1"/>
    <dgm:cxn modelId="{099B4178-9568-40D8-B10A-BAB85C17EBF8}" type="presParOf" srcId="{CE063D2B-C8CA-4D2C-810E-8AD6454D0FB4}" destId="{67626249-135F-4A22-A677-C5E1AF98E401}" srcOrd="2" destOrd="0" presId="urn:microsoft.com/office/officeart/2005/8/layout/radial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503224AF-CFD7-4E19-AC14-69139FC37EA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D9C6344C-F9B0-4937-8245-FE579239DC65}">
      <dgm:prSet phldrT="[Текст]"/>
      <dgm:spPr>
        <a:solidFill>
          <a:schemeClr val="accent3">
            <a:lumMod val="60000"/>
            <a:lumOff val="40000"/>
          </a:schemeClr>
        </a:solidFill>
      </dgm:spPr>
      <dgm:t>
        <a:bodyPr/>
        <a:lstStyle/>
        <a:p>
          <a:r>
            <a:rPr lang="uk-UA"/>
            <a:t>Лейкоцити крові</a:t>
          </a:r>
        </a:p>
      </dgm:t>
    </dgm:pt>
    <dgm:pt modelId="{0129483C-F9F0-4CED-AF64-E6B045486219}" type="parTrans" cxnId="{A38CEE84-6964-444F-A4F0-B44C3625940D}">
      <dgm:prSet/>
      <dgm:spPr/>
      <dgm:t>
        <a:bodyPr/>
        <a:lstStyle/>
        <a:p>
          <a:endParaRPr lang="en-US"/>
        </a:p>
      </dgm:t>
    </dgm:pt>
    <dgm:pt modelId="{6D8B7072-52C8-4B86-A9EF-599099279D87}" type="sibTrans" cxnId="{A38CEE84-6964-444F-A4F0-B44C3625940D}">
      <dgm:prSet/>
      <dgm:spPr/>
      <dgm:t>
        <a:bodyPr/>
        <a:lstStyle/>
        <a:p>
          <a:endParaRPr lang="en-US"/>
        </a:p>
      </dgm:t>
    </dgm:pt>
    <dgm:pt modelId="{CFA63F63-7C96-4915-A45D-3B49FB5B4944}">
      <dgm:prSet phldrT="[Текст]"/>
      <dgm:spPr>
        <a:solidFill>
          <a:schemeClr val="accent3">
            <a:lumMod val="60000"/>
            <a:lumOff val="40000"/>
          </a:schemeClr>
        </a:solidFill>
      </dgm:spPr>
      <dgm:t>
        <a:bodyPr/>
        <a:lstStyle/>
        <a:p>
          <a:r>
            <a:rPr lang="uk-UA"/>
            <a:t>Вітронектин</a:t>
          </a:r>
          <a:endParaRPr lang="en-US"/>
        </a:p>
      </dgm:t>
    </dgm:pt>
    <dgm:pt modelId="{444E121B-FA84-486A-BE49-E4FADCEBD320}" type="parTrans" cxnId="{05DE0AC2-827C-4C62-9D36-DB5AE42ECC97}">
      <dgm:prSet/>
      <dgm:spPr/>
      <dgm:t>
        <a:bodyPr/>
        <a:lstStyle/>
        <a:p>
          <a:endParaRPr lang="en-US"/>
        </a:p>
      </dgm:t>
    </dgm:pt>
    <dgm:pt modelId="{B9D7CF21-1969-4BDC-B0BC-85B56406D069}" type="sibTrans" cxnId="{05DE0AC2-827C-4C62-9D36-DB5AE42ECC97}">
      <dgm:prSet/>
      <dgm:spPr/>
      <dgm:t>
        <a:bodyPr/>
        <a:lstStyle/>
        <a:p>
          <a:endParaRPr lang="en-US"/>
        </a:p>
      </dgm:t>
    </dgm:pt>
    <dgm:pt modelId="{CE063D2B-C8CA-4D2C-810E-8AD6454D0FB4}" type="pres">
      <dgm:prSet presAssocID="{503224AF-CFD7-4E19-AC14-69139FC37EA9}" presName="cycle" presStyleCnt="0">
        <dgm:presLayoutVars>
          <dgm:chMax val="1"/>
          <dgm:dir/>
          <dgm:animLvl val="ctr"/>
          <dgm:resizeHandles val="exact"/>
        </dgm:presLayoutVars>
      </dgm:prSet>
      <dgm:spPr/>
      <dgm:t>
        <a:bodyPr/>
        <a:lstStyle/>
        <a:p>
          <a:endParaRPr lang="ru-RU"/>
        </a:p>
      </dgm:t>
    </dgm:pt>
    <dgm:pt modelId="{200BDE0A-CBF3-46CA-9BB6-12277797414A}" type="pres">
      <dgm:prSet presAssocID="{D9C6344C-F9B0-4937-8245-FE579239DC65}" presName="centerShape" presStyleLbl="node0" presStyleIdx="0" presStyleCnt="1" custScaleX="122247" custScaleY="69402"/>
      <dgm:spPr/>
      <dgm:t>
        <a:bodyPr/>
        <a:lstStyle/>
        <a:p>
          <a:endParaRPr lang="en-US"/>
        </a:p>
      </dgm:t>
    </dgm:pt>
    <dgm:pt modelId="{7EB54C57-43B8-41DB-A804-A4B386A883DC}" type="pres">
      <dgm:prSet presAssocID="{444E121B-FA84-486A-BE49-E4FADCEBD320}" presName="Name9" presStyleLbl="parChTrans1D2" presStyleIdx="0" presStyleCnt="1"/>
      <dgm:spPr/>
      <dgm:t>
        <a:bodyPr/>
        <a:lstStyle/>
        <a:p>
          <a:endParaRPr lang="ru-RU"/>
        </a:p>
      </dgm:t>
    </dgm:pt>
    <dgm:pt modelId="{5C5B40F9-7749-4CB3-901F-27546119438A}" type="pres">
      <dgm:prSet presAssocID="{444E121B-FA84-486A-BE49-E4FADCEBD320}" presName="connTx" presStyleLbl="parChTrans1D2" presStyleIdx="0" presStyleCnt="1"/>
      <dgm:spPr/>
      <dgm:t>
        <a:bodyPr/>
        <a:lstStyle/>
        <a:p>
          <a:endParaRPr lang="ru-RU"/>
        </a:p>
      </dgm:t>
    </dgm:pt>
    <dgm:pt modelId="{67626249-135F-4A22-A677-C5E1AF98E401}" type="pres">
      <dgm:prSet presAssocID="{CFA63F63-7C96-4915-A45D-3B49FB5B4944}" presName="node" presStyleLbl="node1" presStyleIdx="0" presStyleCnt="1" custScaleX="137745" custScaleY="66766">
        <dgm:presLayoutVars>
          <dgm:bulletEnabled val="1"/>
        </dgm:presLayoutVars>
      </dgm:prSet>
      <dgm:spPr/>
      <dgm:t>
        <a:bodyPr/>
        <a:lstStyle/>
        <a:p>
          <a:endParaRPr lang="en-US"/>
        </a:p>
      </dgm:t>
    </dgm:pt>
  </dgm:ptLst>
  <dgm:cxnLst>
    <dgm:cxn modelId="{A38CEE84-6964-444F-A4F0-B44C3625940D}" srcId="{503224AF-CFD7-4E19-AC14-69139FC37EA9}" destId="{D9C6344C-F9B0-4937-8245-FE579239DC65}" srcOrd="0" destOrd="0" parTransId="{0129483C-F9F0-4CED-AF64-E6B045486219}" sibTransId="{6D8B7072-52C8-4B86-A9EF-599099279D87}"/>
    <dgm:cxn modelId="{BDB2DD5B-59F3-4F1D-A637-1A6EB07A6731}" type="presOf" srcId="{444E121B-FA84-486A-BE49-E4FADCEBD320}" destId="{5C5B40F9-7749-4CB3-901F-27546119438A}" srcOrd="1" destOrd="0" presId="urn:microsoft.com/office/officeart/2005/8/layout/radial1"/>
    <dgm:cxn modelId="{C55AC3A2-865E-4E26-87F2-D1FA40FAF05E}" type="presOf" srcId="{D9C6344C-F9B0-4937-8245-FE579239DC65}" destId="{200BDE0A-CBF3-46CA-9BB6-12277797414A}" srcOrd="0" destOrd="0" presId="urn:microsoft.com/office/officeart/2005/8/layout/radial1"/>
    <dgm:cxn modelId="{828C9552-8FD9-4DEF-A483-0731C1BBAFAA}" type="presOf" srcId="{444E121B-FA84-486A-BE49-E4FADCEBD320}" destId="{7EB54C57-43B8-41DB-A804-A4B386A883DC}" srcOrd="0" destOrd="0" presId="urn:microsoft.com/office/officeart/2005/8/layout/radial1"/>
    <dgm:cxn modelId="{05DE0AC2-827C-4C62-9D36-DB5AE42ECC97}" srcId="{D9C6344C-F9B0-4937-8245-FE579239DC65}" destId="{CFA63F63-7C96-4915-A45D-3B49FB5B4944}" srcOrd="0" destOrd="0" parTransId="{444E121B-FA84-486A-BE49-E4FADCEBD320}" sibTransId="{B9D7CF21-1969-4BDC-B0BC-85B56406D069}"/>
    <dgm:cxn modelId="{AD7EF7E6-7F2F-4B52-AFCA-F6EBA6C6421A}" type="presOf" srcId="{503224AF-CFD7-4E19-AC14-69139FC37EA9}" destId="{CE063D2B-C8CA-4D2C-810E-8AD6454D0FB4}" srcOrd="0" destOrd="0" presId="urn:microsoft.com/office/officeart/2005/8/layout/radial1"/>
    <dgm:cxn modelId="{F396839C-00C2-4CD6-BEFD-A77ACBFB58B4}" type="presOf" srcId="{CFA63F63-7C96-4915-A45D-3B49FB5B4944}" destId="{67626249-135F-4A22-A677-C5E1AF98E401}" srcOrd="0" destOrd="0" presId="urn:microsoft.com/office/officeart/2005/8/layout/radial1"/>
    <dgm:cxn modelId="{3F2D5AA1-4435-412E-AFAF-1D66222C14F1}" type="presParOf" srcId="{CE063D2B-C8CA-4D2C-810E-8AD6454D0FB4}" destId="{200BDE0A-CBF3-46CA-9BB6-12277797414A}" srcOrd="0" destOrd="0" presId="urn:microsoft.com/office/officeart/2005/8/layout/radial1"/>
    <dgm:cxn modelId="{E1BEA6FA-B9C4-4B13-90F2-0B1E8E652B87}" type="presParOf" srcId="{CE063D2B-C8CA-4D2C-810E-8AD6454D0FB4}" destId="{7EB54C57-43B8-41DB-A804-A4B386A883DC}" srcOrd="1" destOrd="0" presId="urn:microsoft.com/office/officeart/2005/8/layout/radial1"/>
    <dgm:cxn modelId="{A3FB035E-D2E1-4F70-861A-D61737C57B46}" type="presParOf" srcId="{7EB54C57-43B8-41DB-A804-A4B386A883DC}" destId="{5C5B40F9-7749-4CB3-901F-27546119438A}" srcOrd="0" destOrd="0" presId="urn:microsoft.com/office/officeart/2005/8/layout/radial1"/>
    <dgm:cxn modelId="{0999ACC0-39B1-4BE2-B179-CF9E874FC1AB}" type="presParOf" srcId="{CE063D2B-C8CA-4D2C-810E-8AD6454D0FB4}" destId="{67626249-135F-4A22-A677-C5E1AF98E401}" srcOrd="2" destOrd="0" presId="urn:microsoft.com/office/officeart/2005/8/layout/radial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D4C1A9-7692-4E96-9C0A-D668C495CA80}" type="doc">
      <dgm:prSet loTypeId="urn:microsoft.com/office/officeart/2008/layout/RadialCluster" loCatId="relationship" qsTypeId="urn:microsoft.com/office/officeart/2005/8/quickstyle/simple3" qsCatId="simple" csTypeId="urn:microsoft.com/office/officeart/2005/8/colors/accent1_2" csCatId="accent1" phldr="1"/>
      <dgm:spPr/>
      <dgm:t>
        <a:bodyPr/>
        <a:lstStyle/>
        <a:p>
          <a:endParaRPr lang="ru-RU"/>
        </a:p>
      </dgm:t>
    </dgm:pt>
    <dgm:pt modelId="{613F6EE5-2C49-47EE-A54F-9695FB69054B}">
      <dgm:prSet phldrT="[Текст]"/>
      <dgm:spPr/>
      <dgm:t>
        <a:bodyPr/>
        <a:lstStyle/>
        <a:p>
          <a:r>
            <a:rPr lang="uk-UA"/>
            <a:t>Галектин-3</a:t>
          </a:r>
          <a:endParaRPr lang="ru-RU"/>
        </a:p>
      </dgm:t>
    </dgm:pt>
    <dgm:pt modelId="{4E747564-5752-42AF-8639-EF01459D2C5E}" type="parTrans" cxnId="{C0BC5761-70CD-4E78-8815-73ABF92368F6}">
      <dgm:prSet/>
      <dgm:spPr/>
      <dgm:t>
        <a:bodyPr/>
        <a:lstStyle/>
        <a:p>
          <a:endParaRPr lang="ru-RU"/>
        </a:p>
      </dgm:t>
    </dgm:pt>
    <dgm:pt modelId="{8B7AC31A-3A1D-4CE8-9F48-08BFC033154F}" type="sibTrans" cxnId="{C0BC5761-70CD-4E78-8815-73ABF92368F6}">
      <dgm:prSet/>
      <dgm:spPr/>
      <dgm:t>
        <a:bodyPr/>
        <a:lstStyle/>
        <a:p>
          <a:endParaRPr lang="ru-RU"/>
        </a:p>
      </dgm:t>
    </dgm:pt>
    <dgm:pt modelId="{953B92E6-7A47-431E-A997-0501390E75B8}">
      <dgm:prSet phldrT="[Текст]"/>
      <dgm:spPr/>
      <dgm:t>
        <a:bodyPr/>
        <a:lstStyle/>
        <a:p>
          <a:r>
            <a:rPr lang="uk-UA"/>
            <a:t>ОТ</a:t>
          </a:r>
          <a:endParaRPr lang="ru-RU"/>
        </a:p>
      </dgm:t>
    </dgm:pt>
    <dgm:pt modelId="{D97E4431-E71D-4636-94B7-0A3FFDF5E971}" type="parTrans" cxnId="{C38A1A28-D54F-4EB6-86B4-14001590C3A8}">
      <dgm:prSet/>
      <dgm:spPr/>
      <dgm:t>
        <a:bodyPr/>
        <a:lstStyle/>
        <a:p>
          <a:endParaRPr lang="ru-RU"/>
        </a:p>
      </dgm:t>
    </dgm:pt>
    <dgm:pt modelId="{1F352854-EBDA-4927-906A-26828B70868B}" type="sibTrans" cxnId="{C38A1A28-D54F-4EB6-86B4-14001590C3A8}">
      <dgm:prSet/>
      <dgm:spPr/>
      <dgm:t>
        <a:bodyPr/>
        <a:lstStyle/>
        <a:p>
          <a:endParaRPr lang="ru-RU"/>
        </a:p>
      </dgm:t>
    </dgm:pt>
    <dgm:pt modelId="{BA7343AC-A6AF-4BB9-8D1B-1F8556160A9C}">
      <dgm:prSet phldrT="[Текст]"/>
      <dgm:spPr/>
      <dgm:t>
        <a:bodyPr/>
        <a:lstStyle/>
        <a:p>
          <a:r>
            <a:rPr lang="uk-UA"/>
            <a:t>ІМТ</a:t>
          </a:r>
          <a:endParaRPr lang="ru-RU"/>
        </a:p>
      </dgm:t>
    </dgm:pt>
    <dgm:pt modelId="{09EEC5DF-36B2-4EF2-AC5A-E6665040D3BC}" type="parTrans" cxnId="{74DEB1CA-1924-4509-967F-6C3F3DAA9CAF}">
      <dgm:prSet/>
      <dgm:spPr/>
      <dgm:t>
        <a:bodyPr/>
        <a:lstStyle/>
        <a:p>
          <a:endParaRPr lang="ru-RU"/>
        </a:p>
      </dgm:t>
    </dgm:pt>
    <dgm:pt modelId="{86166383-6BDE-4070-A614-A7D72DB72990}" type="sibTrans" cxnId="{74DEB1CA-1924-4509-967F-6C3F3DAA9CAF}">
      <dgm:prSet/>
      <dgm:spPr/>
      <dgm:t>
        <a:bodyPr/>
        <a:lstStyle/>
        <a:p>
          <a:endParaRPr lang="ru-RU"/>
        </a:p>
      </dgm:t>
    </dgm:pt>
    <dgm:pt modelId="{76E1ED19-B19B-409B-A51F-8BC0018B9571}" type="pres">
      <dgm:prSet presAssocID="{6DD4C1A9-7692-4E96-9C0A-D668C495CA80}" presName="Name0" presStyleCnt="0">
        <dgm:presLayoutVars>
          <dgm:chMax val="1"/>
          <dgm:chPref val="1"/>
          <dgm:dir/>
          <dgm:animOne val="branch"/>
          <dgm:animLvl val="lvl"/>
        </dgm:presLayoutVars>
      </dgm:prSet>
      <dgm:spPr/>
      <dgm:t>
        <a:bodyPr/>
        <a:lstStyle/>
        <a:p>
          <a:endParaRPr lang="en-US"/>
        </a:p>
      </dgm:t>
    </dgm:pt>
    <dgm:pt modelId="{6A9D084F-CD82-41B3-BFB7-113839041176}" type="pres">
      <dgm:prSet presAssocID="{613F6EE5-2C49-47EE-A54F-9695FB69054B}" presName="singleCycle" presStyleCnt="0"/>
      <dgm:spPr/>
    </dgm:pt>
    <dgm:pt modelId="{42D8B634-0510-46A4-9DDD-F427785211F8}" type="pres">
      <dgm:prSet presAssocID="{613F6EE5-2C49-47EE-A54F-9695FB69054B}" presName="singleCenter" presStyleLbl="node1" presStyleIdx="0" presStyleCnt="3" custScaleX="183914">
        <dgm:presLayoutVars>
          <dgm:chMax val="7"/>
          <dgm:chPref val="7"/>
        </dgm:presLayoutVars>
      </dgm:prSet>
      <dgm:spPr/>
      <dgm:t>
        <a:bodyPr/>
        <a:lstStyle/>
        <a:p>
          <a:endParaRPr lang="en-US"/>
        </a:p>
      </dgm:t>
    </dgm:pt>
    <dgm:pt modelId="{F3675A9A-9845-42DB-9E3F-14C83FF33955}" type="pres">
      <dgm:prSet presAssocID="{D97E4431-E71D-4636-94B7-0A3FFDF5E971}" presName="Name56" presStyleLbl="parChTrans1D2" presStyleIdx="0" presStyleCnt="2"/>
      <dgm:spPr/>
      <dgm:t>
        <a:bodyPr/>
        <a:lstStyle/>
        <a:p>
          <a:endParaRPr lang="en-US"/>
        </a:p>
      </dgm:t>
    </dgm:pt>
    <dgm:pt modelId="{BABDFA20-4BAA-418D-8612-0D22BA3EA866}" type="pres">
      <dgm:prSet presAssocID="{953B92E6-7A47-431E-A997-0501390E75B8}" presName="text0" presStyleLbl="node1" presStyleIdx="1" presStyleCnt="3" custRadScaleRad="123754" custRadScaleInc="153025">
        <dgm:presLayoutVars>
          <dgm:bulletEnabled val="1"/>
        </dgm:presLayoutVars>
      </dgm:prSet>
      <dgm:spPr/>
      <dgm:t>
        <a:bodyPr/>
        <a:lstStyle/>
        <a:p>
          <a:endParaRPr lang="en-US"/>
        </a:p>
      </dgm:t>
    </dgm:pt>
    <dgm:pt modelId="{FBCDFB72-DB44-4383-B97F-915FE5EDCF49}" type="pres">
      <dgm:prSet presAssocID="{09EEC5DF-36B2-4EF2-AC5A-E6665040D3BC}" presName="Name56" presStyleLbl="parChTrans1D2" presStyleIdx="1" presStyleCnt="2"/>
      <dgm:spPr/>
      <dgm:t>
        <a:bodyPr/>
        <a:lstStyle/>
        <a:p>
          <a:endParaRPr lang="en-US"/>
        </a:p>
      </dgm:t>
    </dgm:pt>
    <dgm:pt modelId="{12E1DE6C-13EB-4960-BAE3-BD18DE41D188}" type="pres">
      <dgm:prSet presAssocID="{BA7343AC-A6AF-4BB9-8D1B-1F8556160A9C}" presName="text0" presStyleLbl="node1" presStyleIdx="2" presStyleCnt="3" custRadScaleRad="126180" custRadScaleInc="48639">
        <dgm:presLayoutVars>
          <dgm:bulletEnabled val="1"/>
        </dgm:presLayoutVars>
      </dgm:prSet>
      <dgm:spPr/>
      <dgm:t>
        <a:bodyPr/>
        <a:lstStyle/>
        <a:p>
          <a:endParaRPr lang="en-US"/>
        </a:p>
      </dgm:t>
    </dgm:pt>
  </dgm:ptLst>
  <dgm:cxnLst>
    <dgm:cxn modelId="{A3C8A18F-87BF-4DDA-942F-CA4BDAB187D1}" type="presOf" srcId="{BA7343AC-A6AF-4BB9-8D1B-1F8556160A9C}" destId="{12E1DE6C-13EB-4960-BAE3-BD18DE41D188}" srcOrd="0" destOrd="0" presId="urn:microsoft.com/office/officeart/2008/layout/RadialCluster"/>
    <dgm:cxn modelId="{4AC24B32-7F04-4C8F-9588-00455615A4B9}" type="presOf" srcId="{6DD4C1A9-7692-4E96-9C0A-D668C495CA80}" destId="{76E1ED19-B19B-409B-A51F-8BC0018B9571}" srcOrd="0" destOrd="0" presId="urn:microsoft.com/office/officeart/2008/layout/RadialCluster"/>
    <dgm:cxn modelId="{E8D46199-1A67-4D6F-863E-810151FE7171}" type="presOf" srcId="{613F6EE5-2C49-47EE-A54F-9695FB69054B}" destId="{42D8B634-0510-46A4-9DDD-F427785211F8}" srcOrd="0" destOrd="0" presId="urn:microsoft.com/office/officeart/2008/layout/RadialCluster"/>
    <dgm:cxn modelId="{374D69EC-4CFF-46C9-8FB9-867CEC6217CE}" type="presOf" srcId="{09EEC5DF-36B2-4EF2-AC5A-E6665040D3BC}" destId="{FBCDFB72-DB44-4383-B97F-915FE5EDCF49}" srcOrd="0" destOrd="0" presId="urn:microsoft.com/office/officeart/2008/layout/RadialCluster"/>
    <dgm:cxn modelId="{C38A1A28-D54F-4EB6-86B4-14001590C3A8}" srcId="{613F6EE5-2C49-47EE-A54F-9695FB69054B}" destId="{953B92E6-7A47-431E-A997-0501390E75B8}" srcOrd="0" destOrd="0" parTransId="{D97E4431-E71D-4636-94B7-0A3FFDF5E971}" sibTransId="{1F352854-EBDA-4927-906A-26828B70868B}"/>
    <dgm:cxn modelId="{2332BFD6-C397-42F2-B2B6-70C2C620F94E}" type="presOf" srcId="{D97E4431-E71D-4636-94B7-0A3FFDF5E971}" destId="{F3675A9A-9845-42DB-9E3F-14C83FF33955}" srcOrd="0" destOrd="0" presId="urn:microsoft.com/office/officeart/2008/layout/RadialCluster"/>
    <dgm:cxn modelId="{122DCC89-3089-465A-B3E6-5E6AFD9E7B58}" type="presOf" srcId="{953B92E6-7A47-431E-A997-0501390E75B8}" destId="{BABDFA20-4BAA-418D-8612-0D22BA3EA866}" srcOrd="0" destOrd="0" presId="urn:microsoft.com/office/officeart/2008/layout/RadialCluster"/>
    <dgm:cxn modelId="{74DEB1CA-1924-4509-967F-6C3F3DAA9CAF}" srcId="{613F6EE5-2C49-47EE-A54F-9695FB69054B}" destId="{BA7343AC-A6AF-4BB9-8D1B-1F8556160A9C}" srcOrd="1" destOrd="0" parTransId="{09EEC5DF-36B2-4EF2-AC5A-E6665040D3BC}" sibTransId="{86166383-6BDE-4070-A614-A7D72DB72990}"/>
    <dgm:cxn modelId="{C0BC5761-70CD-4E78-8815-73ABF92368F6}" srcId="{6DD4C1A9-7692-4E96-9C0A-D668C495CA80}" destId="{613F6EE5-2C49-47EE-A54F-9695FB69054B}" srcOrd="0" destOrd="0" parTransId="{4E747564-5752-42AF-8639-EF01459D2C5E}" sibTransId="{8B7AC31A-3A1D-4CE8-9F48-08BFC033154F}"/>
    <dgm:cxn modelId="{F2BC10A1-5DCD-4163-8F6D-9B4273196269}" type="presParOf" srcId="{76E1ED19-B19B-409B-A51F-8BC0018B9571}" destId="{6A9D084F-CD82-41B3-BFB7-113839041176}" srcOrd="0" destOrd="0" presId="urn:microsoft.com/office/officeart/2008/layout/RadialCluster"/>
    <dgm:cxn modelId="{66DA7A23-CA9D-4B0E-A391-89A9E476D5BB}" type="presParOf" srcId="{6A9D084F-CD82-41B3-BFB7-113839041176}" destId="{42D8B634-0510-46A4-9DDD-F427785211F8}" srcOrd="0" destOrd="0" presId="urn:microsoft.com/office/officeart/2008/layout/RadialCluster"/>
    <dgm:cxn modelId="{2FF5C999-27B7-4007-ACDB-9557109F463C}" type="presParOf" srcId="{6A9D084F-CD82-41B3-BFB7-113839041176}" destId="{F3675A9A-9845-42DB-9E3F-14C83FF33955}" srcOrd="1" destOrd="0" presId="urn:microsoft.com/office/officeart/2008/layout/RadialCluster"/>
    <dgm:cxn modelId="{69437B45-F8C8-4D79-B12E-147A713440F2}" type="presParOf" srcId="{6A9D084F-CD82-41B3-BFB7-113839041176}" destId="{BABDFA20-4BAA-418D-8612-0D22BA3EA866}" srcOrd="2" destOrd="0" presId="urn:microsoft.com/office/officeart/2008/layout/RadialCluster"/>
    <dgm:cxn modelId="{24F2B7D0-8C0B-4428-AAC3-9C6EDBDABE29}" type="presParOf" srcId="{6A9D084F-CD82-41B3-BFB7-113839041176}" destId="{FBCDFB72-DB44-4383-B97F-915FE5EDCF49}" srcOrd="3" destOrd="0" presId="urn:microsoft.com/office/officeart/2008/layout/RadialCluster"/>
    <dgm:cxn modelId="{9CEE84E2-0670-48BE-9019-22CC3633FB79}" type="presParOf" srcId="{6A9D084F-CD82-41B3-BFB7-113839041176}" destId="{12E1DE6C-13EB-4960-BAE3-BD18DE41D188}" srcOrd="4"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D4C1A9-7692-4E96-9C0A-D668C495CA80}" type="doc">
      <dgm:prSet loTypeId="urn:microsoft.com/office/officeart/2008/layout/RadialCluster" loCatId="relationship" qsTypeId="urn:microsoft.com/office/officeart/2005/8/quickstyle/simple3" qsCatId="simple" csTypeId="urn:microsoft.com/office/officeart/2005/8/colors/accent1_2" csCatId="accent1" phldr="1"/>
      <dgm:spPr/>
      <dgm:t>
        <a:bodyPr/>
        <a:lstStyle/>
        <a:p>
          <a:endParaRPr lang="ru-RU"/>
        </a:p>
      </dgm:t>
    </dgm:pt>
    <dgm:pt modelId="{613F6EE5-2C49-47EE-A54F-9695FB69054B}">
      <dgm:prSet phldrT="[Текст]"/>
      <dgm:spPr/>
      <dgm:t>
        <a:bodyPr/>
        <a:lstStyle/>
        <a:p>
          <a:r>
            <a:rPr lang="uk-UA"/>
            <a:t>Галектин-3</a:t>
          </a:r>
          <a:endParaRPr lang="ru-RU"/>
        </a:p>
      </dgm:t>
    </dgm:pt>
    <dgm:pt modelId="{4E747564-5752-42AF-8639-EF01459D2C5E}" type="parTrans" cxnId="{C0BC5761-70CD-4E78-8815-73ABF92368F6}">
      <dgm:prSet/>
      <dgm:spPr/>
      <dgm:t>
        <a:bodyPr/>
        <a:lstStyle/>
        <a:p>
          <a:endParaRPr lang="ru-RU"/>
        </a:p>
      </dgm:t>
    </dgm:pt>
    <dgm:pt modelId="{8B7AC31A-3A1D-4CE8-9F48-08BFC033154F}" type="sibTrans" cxnId="{C0BC5761-70CD-4E78-8815-73ABF92368F6}">
      <dgm:prSet/>
      <dgm:spPr/>
      <dgm:t>
        <a:bodyPr/>
        <a:lstStyle/>
        <a:p>
          <a:endParaRPr lang="ru-RU"/>
        </a:p>
      </dgm:t>
    </dgm:pt>
    <dgm:pt modelId="{953B92E6-7A47-431E-A997-0501390E75B8}">
      <dgm:prSet phldrT="[Текст]"/>
      <dgm:spPr/>
      <dgm:t>
        <a:bodyPr/>
        <a:lstStyle/>
        <a:p>
          <a:r>
            <a:rPr lang="uk-UA"/>
            <a:t>ОТ</a:t>
          </a:r>
          <a:endParaRPr lang="ru-RU"/>
        </a:p>
      </dgm:t>
    </dgm:pt>
    <dgm:pt modelId="{D97E4431-E71D-4636-94B7-0A3FFDF5E971}" type="parTrans" cxnId="{C38A1A28-D54F-4EB6-86B4-14001590C3A8}">
      <dgm:prSet/>
      <dgm:spPr/>
      <dgm:t>
        <a:bodyPr/>
        <a:lstStyle/>
        <a:p>
          <a:endParaRPr lang="ru-RU"/>
        </a:p>
      </dgm:t>
    </dgm:pt>
    <dgm:pt modelId="{1F352854-EBDA-4927-906A-26828B70868B}" type="sibTrans" cxnId="{C38A1A28-D54F-4EB6-86B4-14001590C3A8}">
      <dgm:prSet/>
      <dgm:spPr/>
      <dgm:t>
        <a:bodyPr/>
        <a:lstStyle/>
        <a:p>
          <a:endParaRPr lang="ru-RU"/>
        </a:p>
      </dgm:t>
    </dgm:pt>
    <dgm:pt modelId="{BA7343AC-A6AF-4BB9-8D1B-1F8556160A9C}">
      <dgm:prSet phldrT="[Текст]"/>
      <dgm:spPr/>
      <dgm:t>
        <a:bodyPr/>
        <a:lstStyle/>
        <a:p>
          <a:r>
            <a:rPr lang="uk-UA"/>
            <a:t>ІМТ</a:t>
          </a:r>
          <a:endParaRPr lang="ru-RU"/>
        </a:p>
      </dgm:t>
    </dgm:pt>
    <dgm:pt modelId="{09EEC5DF-36B2-4EF2-AC5A-E6665040D3BC}" type="parTrans" cxnId="{74DEB1CA-1924-4509-967F-6C3F3DAA9CAF}">
      <dgm:prSet/>
      <dgm:spPr/>
      <dgm:t>
        <a:bodyPr/>
        <a:lstStyle/>
        <a:p>
          <a:endParaRPr lang="ru-RU"/>
        </a:p>
      </dgm:t>
    </dgm:pt>
    <dgm:pt modelId="{86166383-6BDE-4070-A614-A7D72DB72990}" type="sibTrans" cxnId="{74DEB1CA-1924-4509-967F-6C3F3DAA9CAF}">
      <dgm:prSet/>
      <dgm:spPr/>
      <dgm:t>
        <a:bodyPr/>
        <a:lstStyle/>
        <a:p>
          <a:endParaRPr lang="ru-RU"/>
        </a:p>
      </dgm:t>
    </dgm:pt>
    <dgm:pt modelId="{76E1ED19-B19B-409B-A51F-8BC0018B9571}" type="pres">
      <dgm:prSet presAssocID="{6DD4C1A9-7692-4E96-9C0A-D668C495CA80}" presName="Name0" presStyleCnt="0">
        <dgm:presLayoutVars>
          <dgm:chMax val="1"/>
          <dgm:chPref val="1"/>
          <dgm:dir/>
          <dgm:animOne val="branch"/>
          <dgm:animLvl val="lvl"/>
        </dgm:presLayoutVars>
      </dgm:prSet>
      <dgm:spPr/>
      <dgm:t>
        <a:bodyPr/>
        <a:lstStyle/>
        <a:p>
          <a:endParaRPr lang="en-US"/>
        </a:p>
      </dgm:t>
    </dgm:pt>
    <dgm:pt modelId="{6A9D084F-CD82-41B3-BFB7-113839041176}" type="pres">
      <dgm:prSet presAssocID="{613F6EE5-2C49-47EE-A54F-9695FB69054B}" presName="singleCycle" presStyleCnt="0"/>
      <dgm:spPr/>
    </dgm:pt>
    <dgm:pt modelId="{42D8B634-0510-46A4-9DDD-F427785211F8}" type="pres">
      <dgm:prSet presAssocID="{613F6EE5-2C49-47EE-A54F-9695FB69054B}" presName="singleCenter" presStyleLbl="node1" presStyleIdx="0" presStyleCnt="3" custScaleX="183914">
        <dgm:presLayoutVars>
          <dgm:chMax val="7"/>
          <dgm:chPref val="7"/>
        </dgm:presLayoutVars>
      </dgm:prSet>
      <dgm:spPr/>
      <dgm:t>
        <a:bodyPr/>
        <a:lstStyle/>
        <a:p>
          <a:endParaRPr lang="en-US"/>
        </a:p>
      </dgm:t>
    </dgm:pt>
    <dgm:pt modelId="{F3675A9A-9845-42DB-9E3F-14C83FF33955}" type="pres">
      <dgm:prSet presAssocID="{D97E4431-E71D-4636-94B7-0A3FFDF5E971}" presName="Name56" presStyleLbl="parChTrans1D2" presStyleIdx="0" presStyleCnt="2"/>
      <dgm:spPr/>
      <dgm:t>
        <a:bodyPr/>
        <a:lstStyle/>
        <a:p>
          <a:endParaRPr lang="en-US"/>
        </a:p>
      </dgm:t>
    </dgm:pt>
    <dgm:pt modelId="{BABDFA20-4BAA-418D-8612-0D22BA3EA866}" type="pres">
      <dgm:prSet presAssocID="{953B92E6-7A47-431E-A997-0501390E75B8}" presName="text0" presStyleLbl="node1" presStyleIdx="1" presStyleCnt="3" custRadScaleRad="123754" custRadScaleInc="153025">
        <dgm:presLayoutVars>
          <dgm:bulletEnabled val="1"/>
        </dgm:presLayoutVars>
      </dgm:prSet>
      <dgm:spPr/>
      <dgm:t>
        <a:bodyPr/>
        <a:lstStyle/>
        <a:p>
          <a:endParaRPr lang="en-US"/>
        </a:p>
      </dgm:t>
    </dgm:pt>
    <dgm:pt modelId="{FBCDFB72-DB44-4383-B97F-915FE5EDCF49}" type="pres">
      <dgm:prSet presAssocID="{09EEC5DF-36B2-4EF2-AC5A-E6665040D3BC}" presName="Name56" presStyleLbl="parChTrans1D2" presStyleIdx="1" presStyleCnt="2"/>
      <dgm:spPr/>
      <dgm:t>
        <a:bodyPr/>
        <a:lstStyle/>
        <a:p>
          <a:endParaRPr lang="en-US"/>
        </a:p>
      </dgm:t>
    </dgm:pt>
    <dgm:pt modelId="{12E1DE6C-13EB-4960-BAE3-BD18DE41D188}" type="pres">
      <dgm:prSet presAssocID="{BA7343AC-A6AF-4BB9-8D1B-1F8556160A9C}" presName="text0" presStyleLbl="node1" presStyleIdx="2" presStyleCnt="3" custRadScaleRad="126180" custRadScaleInc="48639">
        <dgm:presLayoutVars>
          <dgm:bulletEnabled val="1"/>
        </dgm:presLayoutVars>
      </dgm:prSet>
      <dgm:spPr/>
      <dgm:t>
        <a:bodyPr/>
        <a:lstStyle/>
        <a:p>
          <a:endParaRPr lang="en-US"/>
        </a:p>
      </dgm:t>
    </dgm:pt>
  </dgm:ptLst>
  <dgm:cxnLst>
    <dgm:cxn modelId="{00141F3E-A83C-4FC7-9B96-F11330E27E6D}" type="presOf" srcId="{6DD4C1A9-7692-4E96-9C0A-D668C495CA80}" destId="{76E1ED19-B19B-409B-A51F-8BC0018B9571}" srcOrd="0" destOrd="0" presId="urn:microsoft.com/office/officeart/2008/layout/RadialCluster"/>
    <dgm:cxn modelId="{C1328FDE-4D49-4C8C-9485-28B8399EBDB4}" type="presOf" srcId="{09EEC5DF-36B2-4EF2-AC5A-E6665040D3BC}" destId="{FBCDFB72-DB44-4383-B97F-915FE5EDCF49}" srcOrd="0" destOrd="0" presId="urn:microsoft.com/office/officeart/2008/layout/RadialCluster"/>
    <dgm:cxn modelId="{F9CB787B-0D57-4AFA-9615-DE933B015EBD}" type="presOf" srcId="{953B92E6-7A47-431E-A997-0501390E75B8}" destId="{BABDFA20-4BAA-418D-8612-0D22BA3EA866}" srcOrd="0" destOrd="0" presId="urn:microsoft.com/office/officeart/2008/layout/RadialCluster"/>
    <dgm:cxn modelId="{C38A1A28-D54F-4EB6-86B4-14001590C3A8}" srcId="{613F6EE5-2C49-47EE-A54F-9695FB69054B}" destId="{953B92E6-7A47-431E-A997-0501390E75B8}" srcOrd="0" destOrd="0" parTransId="{D97E4431-E71D-4636-94B7-0A3FFDF5E971}" sibTransId="{1F352854-EBDA-4927-906A-26828B70868B}"/>
    <dgm:cxn modelId="{0F8335F0-78BD-497C-BFDE-B2926AE5AB0C}" type="presOf" srcId="{D97E4431-E71D-4636-94B7-0A3FFDF5E971}" destId="{F3675A9A-9845-42DB-9E3F-14C83FF33955}" srcOrd="0" destOrd="0" presId="urn:microsoft.com/office/officeart/2008/layout/RadialCluster"/>
    <dgm:cxn modelId="{74DEB1CA-1924-4509-967F-6C3F3DAA9CAF}" srcId="{613F6EE5-2C49-47EE-A54F-9695FB69054B}" destId="{BA7343AC-A6AF-4BB9-8D1B-1F8556160A9C}" srcOrd="1" destOrd="0" parTransId="{09EEC5DF-36B2-4EF2-AC5A-E6665040D3BC}" sibTransId="{86166383-6BDE-4070-A614-A7D72DB72990}"/>
    <dgm:cxn modelId="{C0BC5761-70CD-4E78-8815-73ABF92368F6}" srcId="{6DD4C1A9-7692-4E96-9C0A-D668C495CA80}" destId="{613F6EE5-2C49-47EE-A54F-9695FB69054B}" srcOrd="0" destOrd="0" parTransId="{4E747564-5752-42AF-8639-EF01459D2C5E}" sibTransId="{8B7AC31A-3A1D-4CE8-9F48-08BFC033154F}"/>
    <dgm:cxn modelId="{109386D1-A86C-467E-8163-04056DBA411C}" type="presOf" srcId="{613F6EE5-2C49-47EE-A54F-9695FB69054B}" destId="{42D8B634-0510-46A4-9DDD-F427785211F8}" srcOrd="0" destOrd="0" presId="urn:microsoft.com/office/officeart/2008/layout/RadialCluster"/>
    <dgm:cxn modelId="{8A50CB6C-F517-48FA-A1D6-59D02AFD5927}" type="presOf" srcId="{BA7343AC-A6AF-4BB9-8D1B-1F8556160A9C}" destId="{12E1DE6C-13EB-4960-BAE3-BD18DE41D188}" srcOrd="0" destOrd="0" presId="urn:microsoft.com/office/officeart/2008/layout/RadialCluster"/>
    <dgm:cxn modelId="{BF73F79D-770A-4991-90DF-BC154709F0D4}" type="presParOf" srcId="{76E1ED19-B19B-409B-A51F-8BC0018B9571}" destId="{6A9D084F-CD82-41B3-BFB7-113839041176}" srcOrd="0" destOrd="0" presId="urn:microsoft.com/office/officeart/2008/layout/RadialCluster"/>
    <dgm:cxn modelId="{3D78C3DB-9002-4E92-AC77-16C4E11A3AF3}" type="presParOf" srcId="{6A9D084F-CD82-41B3-BFB7-113839041176}" destId="{42D8B634-0510-46A4-9DDD-F427785211F8}" srcOrd="0" destOrd="0" presId="urn:microsoft.com/office/officeart/2008/layout/RadialCluster"/>
    <dgm:cxn modelId="{07D8C378-8FA2-4380-A01E-BFDC097D4CB5}" type="presParOf" srcId="{6A9D084F-CD82-41B3-BFB7-113839041176}" destId="{F3675A9A-9845-42DB-9E3F-14C83FF33955}" srcOrd="1" destOrd="0" presId="urn:microsoft.com/office/officeart/2008/layout/RadialCluster"/>
    <dgm:cxn modelId="{ECC21FDC-3ED5-4DD8-935C-FE8333C4B068}" type="presParOf" srcId="{6A9D084F-CD82-41B3-BFB7-113839041176}" destId="{BABDFA20-4BAA-418D-8612-0D22BA3EA866}" srcOrd="2" destOrd="0" presId="urn:microsoft.com/office/officeart/2008/layout/RadialCluster"/>
    <dgm:cxn modelId="{A3C5807C-3E56-47F3-BC0D-75293EE196EC}" type="presParOf" srcId="{6A9D084F-CD82-41B3-BFB7-113839041176}" destId="{FBCDFB72-DB44-4383-B97F-915FE5EDCF49}" srcOrd="3" destOrd="0" presId="urn:microsoft.com/office/officeart/2008/layout/RadialCluster"/>
    <dgm:cxn modelId="{11DFA40D-78E0-487E-9A3D-6B7D2BD3721E}" type="presParOf" srcId="{6A9D084F-CD82-41B3-BFB7-113839041176}" destId="{12E1DE6C-13EB-4960-BAE3-BD18DE41D188}" srcOrd="4" destOrd="0" presId="urn:microsoft.com/office/officeart/2008/layout/Radial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8149EF3-2B9D-4524-BD39-33363FC7B73A}"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3C3FFD33-12BE-42BE-93C1-4BD9B743EAC4}">
      <dgm:prSet phldrT="[Текст]"/>
      <dgm:spPr>
        <a:solidFill>
          <a:schemeClr val="accent2">
            <a:lumMod val="60000"/>
            <a:lumOff val="40000"/>
          </a:schemeClr>
        </a:solidFill>
      </dgm:spPr>
      <dgm:t>
        <a:bodyPr/>
        <a:lstStyle/>
        <a:p>
          <a:r>
            <a:rPr lang="uk-UA"/>
            <a:t>Вітронектин</a:t>
          </a:r>
          <a:endParaRPr lang="ru-RU"/>
        </a:p>
      </dgm:t>
    </dgm:pt>
    <dgm:pt modelId="{1393EE9D-AD7E-42BB-821D-CC93521E55B6}" type="parTrans" cxnId="{18871DF0-66FF-4678-BFD3-9B689EB0383D}">
      <dgm:prSet/>
      <dgm:spPr/>
      <dgm:t>
        <a:bodyPr/>
        <a:lstStyle/>
        <a:p>
          <a:endParaRPr lang="ru-RU"/>
        </a:p>
      </dgm:t>
    </dgm:pt>
    <dgm:pt modelId="{4848DB30-322D-479B-A9C0-48A1CAE67350}" type="sibTrans" cxnId="{18871DF0-66FF-4678-BFD3-9B689EB0383D}">
      <dgm:prSet/>
      <dgm:spPr/>
      <dgm:t>
        <a:bodyPr/>
        <a:lstStyle/>
        <a:p>
          <a:endParaRPr lang="ru-RU"/>
        </a:p>
      </dgm:t>
    </dgm:pt>
    <dgm:pt modelId="{799156C0-FA97-45D7-B858-418ADEF6EFB4}">
      <dgm:prSet phldrT="[Текст]"/>
      <dgm:spPr>
        <a:solidFill>
          <a:schemeClr val="accent2">
            <a:lumMod val="60000"/>
            <a:lumOff val="40000"/>
          </a:schemeClr>
        </a:solidFill>
      </dgm:spPr>
      <dgm:t>
        <a:bodyPr/>
        <a:lstStyle/>
        <a:p>
          <a:r>
            <a:rPr lang="uk-UA"/>
            <a:t>ОТ</a:t>
          </a:r>
          <a:endParaRPr lang="ru-RU"/>
        </a:p>
      </dgm:t>
    </dgm:pt>
    <dgm:pt modelId="{62B12DFD-54F5-4C48-A84F-9F47CC7DD43D}" type="parTrans" cxnId="{23B12402-8619-421A-92A0-2D7B654A3D46}">
      <dgm:prSet/>
      <dgm:spPr/>
      <dgm:t>
        <a:bodyPr/>
        <a:lstStyle/>
        <a:p>
          <a:endParaRPr lang="ru-RU"/>
        </a:p>
      </dgm:t>
    </dgm:pt>
    <dgm:pt modelId="{BB57032C-F6A5-41E9-8CDF-1B630DFE2176}" type="sibTrans" cxnId="{23B12402-8619-421A-92A0-2D7B654A3D46}">
      <dgm:prSet/>
      <dgm:spPr/>
      <dgm:t>
        <a:bodyPr/>
        <a:lstStyle/>
        <a:p>
          <a:endParaRPr lang="ru-RU"/>
        </a:p>
      </dgm:t>
    </dgm:pt>
    <dgm:pt modelId="{6F136B35-001D-4410-84A5-AE4275997163}">
      <dgm:prSet phldrT="[Текст]"/>
      <dgm:spPr>
        <a:solidFill>
          <a:schemeClr val="accent2">
            <a:lumMod val="60000"/>
            <a:lumOff val="40000"/>
          </a:schemeClr>
        </a:solidFill>
      </dgm:spPr>
      <dgm:t>
        <a:bodyPr/>
        <a:lstStyle/>
        <a:p>
          <a:r>
            <a:rPr lang="uk-UA"/>
            <a:t>ІМТ</a:t>
          </a:r>
          <a:endParaRPr lang="ru-RU"/>
        </a:p>
      </dgm:t>
    </dgm:pt>
    <dgm:pt modelId="{B8F58FF9-310C-45A8-982F-4F1230476D26}" type="parTrans" cxnId="{8E57BD67-3C7B-44B2-BA59-91F7AFAB5593}">
      <dgm:prSet/>
      <dgm:spPr/>
      <dgm:t>
        <a:bodyPr/>
        <a:lstStyle/>
        <a:p>
          <a:endParaRPr lang="ru-RU"/>
        </a:p>
      </dgm:t>
    </dgm:pt>
    <dgm:pt modelId="{3AA8C24F-626F-4589-ACCE-CB855EC5128E}" type="sibTrans" cxnId="{8E57BD67-3C7B-44B2-BA59-91F7AFAB5593}">
      <dgm:prSet/>
      <dgm:spPr/>
      <dgm:t>
        <a:bodyPr/>
        <a:lstStyle/>
        <a:p>
          <a:endParaRPr lang="ru-RU"/>
        </a:p>
      </dgm:t>
    </dgm:pt>
    <dgm:pt modelId="{DF333F72-64BA-4B63-AB4C-9D22A90F0289}" type="pres">
      <dgm:prSet presAssocID="{88149EF3-2B9D-4524-BD39-33363FC7B73A}" presName="Name0" presStyleCnt="0">
        <dgm:presLayoutVars>
          <dgm:chMax val="1"/>
          <dgm:chPref val="1"/>
          <dgm:dir/>
          <dgm:animOne val="branch"/>
          <dgm:animLvl val="lvl"/>
        </dgm:presLayoutVars>
      </dgm:prSet>
      <dgm:spPr/>
      <dgm:t>
        <a:bodyPr/>
        <a:lstStyle/>
        <a:p>
          <a:endParaRPr lang="en-US"/>
        </a:p>
      </dgm:t>
    </dgm:pt>
    <dgm:pt modelId="{64122DDE-864F-4E07-999D-8BA036F9296F}" type="pres">
      <dgm:prSet presAssocID="{3C3FFD33-12BE-42BE-93C1-4BD9B743EAC4}" presName="singleCycle" presStyleCnt="0"/>
      <dgm:spPr/>
    </dgm:pt>
    <dgm:pt modelId="{D69811B2-B2CB-4015-A3BE-A94CB368C757}" type="pres">
      <dgm:prSet presAssocID="{3C3FFD33-12BE-42BE-93C1-4BD9B743EAC4}" presName="singleCenter" presStyleLbl="node1" presStyleIdx="0" presStyleCnt="3" custScaleX="223284">
        <dgm:presLayoutVars>
          <dgm:chMax val="7"/>
          <dgm:chPref val="7"/>
        </dgm:presLayoutVars>
      </dgm:prSet>
      <dgm:spPr/>
      <dgm:t>
        <a:bodyPr/>
        <a:lstStyle/>
        <a:p>
          <a:endParaRPr lang="ru-RU"/>
        </a:p>
      </dgm:t>
    </dgm:pt>
    <dgm:pt modelId="{94EDB7AB-1C33-4C82-8EA8-440FE62FAB10}" type="pres">
      <dgm:prSet presAssocID="{62B12DFD-54F5-4C48-A84F-9F47CC7DD43D}" presName="Name56" presStyleLbl="parChTrans1D2" presStyleIdx="0" presStyleCnt="2"/>
      <dgm:spPr/>
      <dgm:t>
        <a:bodyPr/>
        <a:lstStyle/>
        <a:p>
          <a:endParaRPr lang="en-US"/>
        </a:p>
      </dgm:t>
    </dgm:pt>
    <dgm:pt modelId="{10104B62-4420-473B-B158-B9C20604AA63}" type="pres">
      <dgm:prSet presAssocID="{799156C0-FA97-45D7-B858-418ADEF6EFB4}" presName="text0" presStyleLbl="node1" presStyleIdx="1" presStyleCnt="3" custRadScaleRad="128599" custRadScaleInc="156731">
        <dgm:presLayoutVars>
          <dgm:bulletEnabled val="1"/>
        </dgm:presLayoutVars>
      </dgm:prSet>
      <dgm:spPr/>
      <dgm:t>
        <a:bodyPr/>
        <a:lstStyle/>
        <a:p>
          <a:endParaRPr lang="en-US"/>
        </a:p>
      </dgm:t>
    </dgm:pt>
    <dgm:pt modelId="{121B011E-BA4C-491A-9AA3-C987DDFF99AD}" type="pres">
      <dgm:prSet presAssocID="{B8F58FF9-310C-45A8-982F-4F1230476D26}" presName="Name56" presStyleLbl="parChTrans1D2" presStyleIdx="1" presStyleCnt="2"/>
      <dgm:spPr/>
      <dgm:t>
        <a:bodyPr/>
        <a:lstStyle/>
        <a:p>
          <a:endParaRPr lang="en-US"/>
        </a:p>
      </dgm:t>
    </dgm:pt>
    <dgm:pt modelId="{01452DA5-617B-4B74-86F2-2E3E39192C47}" type="pres">
      <dgm:prSet presAssocID="{6F136B35-001D-4410-84A5-AE4275997163}" presName="text0" presStyleLbl="node1" presStyleIdx="2" presStyleCnt="3" custRadScaleRad="130021" custRadScaleInc="44756">
        <dgm:presLayoutVars>
          <dgm:bulletEnabled val="1"/>
        </dgm:presLayoutVars>
      </dgm:prSet>
      <dgm:spPr/>
      <dgm:t>
        <a:bodyPr/>
        <a:lstStyle/>
        <a:p>
          <a:endParaRPr lang="en-US"/>
        </a:p>
      </dgm:t>
    </dgm:pt>
  </dgm:ptLst>
  <dgm:cxnLst>
    <dgm:cxn modelId="{58CD2226-4647-4C56-9A5B-5AD30EDAF090}" type="presOf" srcId="{6F136B35-001D-4410-84A5-AE4275997163}" destId="{01452DA5-617B-4B74-86F2-2E3E39192C47}" srcOrd="0" destOrd="0" presId="urn:microsoft.com/office/officeart/2008/layout/RadialCluster"/>
    <dgm:cxn modelId="{8E57BD67-3C7B-44B2-BA59-91F7AFAB5593}" srcId="{3C3FFD33-12BE-42BE-93C1-4BD9B743EAC4}" destId="{6F136B35-001D-4410-84A5-AE4275997163}" srcOrd="1" destOrd="0" parTransId="{B8F58FF9-310C-45A8-982F-4F1230476D26}" sibTransId="{3AA8C24F-626F-4589-ACCE-CB855EC5128E}"/>
    <dgm:cxn modelId="{0F2E15CD-4F2D-4248-A548-B34F56ED8DB0}" type="presOf" srcId="{88149EF3-2B9D-4524-BD39-33363FC7B73A}" destId="{DF333F72-64BA-4B63-AB4C-9D22A90F0289}" srcOrd="0" destOrd="0" presId="urn:microsoft.com/office/officeart/2008/layout/RadialCluster"/>
    <dgm:cxn modelId="{18871DF0-66FF-4678-BFD3-9B689EB0383D}" srcId="{88149EF3-2B9D-4524-BD39-33363FC7B73A}" destId="{3C3FFD33-12BE-42BE-93C1-4BD9B743EAC4}" srcOrd="0" destOrd="0" parTransId="{1393EE9D-AD7E-42BB-821D-CC93521E55B6}" sibTransId="{4848DB30-322D-479B-A9C0-48A1CAE67350}"/>
    <dgm:cxn modelId="{23B12402-8619-421A-92A0-2D7B654A3D46}" srcId="{3C3FFD33-12BE-42BE-93C1-4BD9B743EAC4}" destId="{799156C0-FA97-45D7-B858-418ADEF6EFB4}" srcOrd="0" destOrd="0" parTransId="{62B12DFD-54F5-4C48-A84F-9F47CC7DD43D}" sibTransId="{BB57032C-F6A5-41E9-8CDF-1B630DFE2176}"/>
    <dgm:cxn modelId="{5AFCEB1C-C12F-443C-967A-E05BDCAA1140}" type="presOf" srcId="{B8F58FF9-310C-45A8-982F-4F1230476D26}" destId="{121B011E-BA4C-491A-9AA3-C987DDFF99AD}" srcOrd="0" destOrd="0" presId="urn:microsoft.com/office/officeart/2008/layout/RadialCluster"/>
    <dgm:cxn modelId="{CA1FB87D-2930-40A1-86D8-E56BCF222177}" type="presOf" srcId="{3C3FFD33-12BE-42BE-93C1-4BD9B743EAC4}" destId="{D69811B2-B2CB-4015-A3BE-A94CB368C757}" srcOrd="0" destOrd="0" presId="urn:microsoft.com/office/officeart/2008/layout/RadialCluster"/>
    <dgm:cxn modelId="{B3F4A9E5-D1B4-45BB-A9C2-5FA26ADED372}" type="presOf" srcId="{799156C0-FA97-45D7-B858-418ADEF6EFB4}" destId="{10104B62-4420-473B-B158-B9C20604AA63}" srcOrd="0" destOrd="0" presId="urn:microsoft.com/office/officeart/2008/layout/RadialCluster"/>
    <dgm:cxn modelId="{6870C1D1-9C89-4DE9-B7FD-363FE320D828}" type="presOf" srcId="{62B12DFD-54F5-4C48-A84F-9F47CC7DD43D}" destId="{94EDB7AB-1C33-4C82-8EA8-440FE62FAB10}" srcOrd="0" destOrd="0" presId="urn:microsoft.com/office/officeart/2008/layout/RadialCluster"/>
    <dgm:cxn modelId="{73F65762-4865-411B-9CDA-2DBE79A51C23}" type="presParOf" srcId="{DF333F72-64BA-4B63-AB4C-9D22A90F0289}" destId="{64122DDE-864F-4E07-999D-8BA036F9296F}" srcOrd="0" destOrd="0" presId="urn:microsoft.com/office/officeart/2008/layout/RadialCluster"/>
    <dgm:cxn modelId="{BBB6871A-4393-4DDD-8D8C-006796450D81}" type="presParOf" srcId="{64122DDE-864F-4E07-999D-8BA036F9296F}" destId="{D69811B2-B2CB-4015-A3BE-A94CB368C757}" srcOrd="0" destOrd="0" presId="urn:microsoft.com/office/officeart/2008/layout/RadialCluster"/>
    <dgm:cxn modelId="{C2E9973E-79FA-4C02-8817-33A6D9E7EF42}" type="presParOf" srcId="{64122DDE-864F-4E07-999D-8BA036F9296F}" destId="{94EDB7AB-1C33-4C82-8EA8-440FE62FAB10}" srcOrd="1" destOrd="0" presId="urn:microsoft.com/office/officeart/2008/layout/RadialCluster"/>
    <dgm:cxn modelId="{6001EE73-0C53-4278-AC2E-170E129DC0B1}" type="presParOf" srcId="{64122DDE-864F-4E07-999D-8BA036F9296F}" destId="{10104B62-4420-473B-B158-B9C20604AA63}" srcOrd="2" destOrd="0" presId="urn:microsoft.com/office/officeart/2008/layout/RadialCluster"/>
    <dgm:cxn modelId="{44391D1E-84CE-4886-BB24-6FE30AA580CF}" type="presParOf" srcId="{64122DDE-864F-4E07-999D-8BA036F9296F}" destId="{121B011E-BA4C-491A-9AA3-C987DDFF99AD}" srcOrd="3" destOrd="0" presId="urn:microsoft.com/office/officeart/2008/layout/RadialCluster"/>
    <dgm:cxn modelId="{652807C6-2B50-4442-A514-D19C3FD17F03}" type="presParOf" srcId="{64122DDE-864F-4E07-999D-8BA036F9296F}" destId="{01452DA5-617B-4B74-86F2-2E3E39192C47}" srcOrd="4" destOrd="0" presId="urn:microsoft.com/office/officeart/2008/layout/RadialCluster"/>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8149EF3-2B9D-4524-BD39-33363FC7B73A}"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3C3FFD33-12BE-42BE-93C1-4BD9B743EAC4}">
      <dgm:prSet phldrT="[Текст]"/>
      <dgm:spPr>
        <a:solidFill>
          <a:schemeClr val="accent2">
            <a:lumMod val="60000"/>
            <a:lumOff val="40000"/>
          </a:schemeClr>
        </a:solidFill>
      </dgm:spPr>
      <dgm:t>
        <a:bodyPr/>
        <a:lstStyle/>
        <a:p>
          <a:r>
            <a:rPr lang="uk-UA"/>
            <a:t>Вітронектин</a:t>
          </a:r>
          <a:endParaRPr lang="ru-RU"/>
        </a:p>
      </dgm:t>
    </dgm:pt>
    <dgm:pt modelId="{1393EE9D-AD7E-42BB-821D-CC93521E55B6}" type="parTrans" cxnId="{18871DF0-66FF-4678-BFD3-9B689EB0383D}">
      <dgm:prSet/>
      <dgm:spPr/>
      <dgm:t>
        <a:bodyPr/>
        <a:lstStyle/>
        <a:p>
          <a:endParaRPr lang="ru-RU"/>
        </a:p>
      </dgm:t>
    </dgm:pt>
    <dgm:pt modelId="{4848DB30-322D-479B-A9C0-48A1CAE67350}" type="sibTrans" cxnId="{18871DF0-66FF-4678-BFD3-9B689EB0383D}">
      <dgm:prSet/>
      <dgm:spPr/>
      <dgm:t>
        <a:bodyPr/>
        <a:lstStyle/>
        <a:p>
          <a:endParaRPr lang="ru-RU"/>
        </a:p>
      </dgm:t>
    </dgm:pt>
    <dgm:pt modelId="{799156C0-FA97-45D7-B858-418ADEF6EFB4}">
      <dgm:prSet phldrT="[Текст]"/>
      <dgm:spPr>
        <a:solidFill>
          <a:schemeClr val="accent2">
            <a:lumMod val="60000"/>
            <a:lumOff val="40000"/>
          </a:schemeClr>
        </a:solidFill>
      </dgm:spPr>
      <dgm:t>
        <a:bodyPr/>
        <a:lstStyle/>
        <a:p>
          <a:r>
            <a:rPr lang="uk-UA"/>
            <a:t>ОТ</a:t>
          </a:r>
          <a:endParaRPr lang="ru-RU"/>
        </a:p>
      </dgm:t>
    </dgm:pt>
    <dgm:pt modelId="{62B12DFD-54F5-4C48-A84F-9F47CC7DD43D}" type="parTrans" cxnId="{23B12402-8619-421A-92A0-2D7B654A3D46}">
      <dgm:prSet/>
      <dgm:spPr/>
      <dgm:t>
        <a:bodyPr/>
        <a:lstStyle/>
        <a:p>
          <a:endParaRPr lang="ru-RU"/>
        </a:p>
      </dgm:t>
    </dgm:pt>
    <dgm:pt modelId="{BB57032C-F6A5-41E9-8CDF-1B630DFE2176}" type="sibTrans" cxnId="{23B12402-8619-421A-92A0-2D7B654A3D46}">
      <dgm:prSet/>
      <dgm:spPr/>
      <dgm:t>
        <a:bodyPr/>
        <a:lstStyle/>
        <a:p>
          <a:endParaRPr lang="ru-RU"/>
        </a:p>
      </dgm:t>
    </dgm:pt>
    <dgm:pt modelId="{6F136B35-001D-4410-84A5-AE4275997163}">
      <dgm:prSet phldrT="[Текст]"/>
      <dgm:spPr>
        <a:solidFill>
          <a:schemeClr val="accent2">
            <a:lumMod val="60000"/>
            <a:lumOff val="40000"/>
          </a:schemeClr>
        </a:solidFill>
      </dgm:spPr>
      <dgm:t>
        <a:bodyPr/>
        <a:lstStyle/>
        <a:p>
          <a:r>
            <a:rPr lang="uk-UA"/>
            <a:t>ІМТ</a:t>
          </a:r>
          <a:endParaRPr lang="ru-RU"/>
        </a:p>
      </dgm:t>
    </dgm:pt>
    <dgm:pt modelId="{B8F58FF9-310C-45A8-982F-4F1230476D26}" type="parTrans" cxnId="{8E57BD67-3C7B-44B2-BA59-91F7AFAB5593}">
      <dgm:prSet/>
      <dgm:spPr/>
      <dgm:t>
        <a:bodyPr/>
        <a:lstStyle/>
        <a:p>
          <a:endParaRPr lang="ru-RU"/>
        </a:p>
      </dgm:t>
    </dgm:pt>
    <dgm:pt modelId="{3AA8C24F-626F-4589-ACCE-CB855EC5128E}" type="sibTrans" cxnId="{8E57BD67-3C7B-44B2-BA59-91F7AFAB5593}">
      <dgm:prSet/>
      <dgm:spPr/>
      <dgm:t>
        <a:bodyPr/>
        <a:lstStyle/>
        <a:p>
          <a:endParaRPr lang="ru-RU"/>
        </a:p>
      </dgm:t>
    </dgm:pt>
    <dgm:pt modelId="{DF333F72-64BA-4B63-AB4C-9D22A90F0289}" type="pres">
      <dgm:prSet presAssocID="{88149EF3-2B9D-4524-BD39-33363FC7B73A}" presName="Name0" presStyleCnt="0">
        <dgm:presLayoutVars>
          <dgm:chMax val="1"/>
          <dgm:chPref val="1"/>
          <dgm:dir/>
          <dgm:animOne val="branch"/>
          <dgm:animLvl val="lvl"/>
        </dgm:presLayoutVars>
      </dgm:prSet>
      <dgm:spPr/>
      <dgm:t>
        <a:bodyPr/>
        <a:lstStyle/>
        <a:p>
          <a:endParaRPr lang="en-US"/>
        </a:p>
      </dgm:t>
    </dgm:pt>
    <dgm:pt modelId="{64122DDE-864F-4E07-999D-8BA036F9296F}" type="pres">
      <dgm:prSet presAssocID="{3C3FFD33-12BE-42BE-93C1-4BD9B743EAC4}" presName="singleCycle" presStyleCnt="0"/>
      <dgm:spPr/>
    </dgm:pt>
    <dgm:pt modelId="{D69811B2-B2CB-4015-A3BE-A94CB368C757}" type="pres">
      <dgm:prSet presAssocID="{3C3FFD33-12BE-42BE-93C1-4BD9B743EAC4}" presName="singleCenter" presStyleLbl="node1" presStyleIdx="0" presStyleCnt="3" custScaleX="223284">
        <dgm:presLayoutVars>
          <dgm:chMax val="7"/>
          <dgm:chPref val="7"/>
        </dgm:presLayoutVars>
      </dgm:prSet>
      <dgm:spPr/>
      <dgm:t>
        <a:bodyPr/>
        <a:lstStyle/>
        <a:p>
          <a:endParaRPr lang="ru-RU"/>
        </a:p>
      </dgm:t>
    </dgm:pt>
    <dgm:pt modelId="{94EDB7AB-1C33-4C82-8EA8-440FE62FAB10}" type="pres">
      <dgm:prSet presAssocID="{62B12DFD-54F5-4C48-A84F-9F47CC7DD43D}" presName="Name56" presStyleLbl="parChTrans1D2" presStyleIdx="0" presStyleCnt="2"/>
      <dgm:spPr/>
      <dgm:t>
        <a:bodyPr/>
        <a:lstStyle/>
        <a:p>
          <a:endParaRPr lang="en-US"/>
        </a:p>
      </dgm:t>
    </dgm:pt>
    <dgm:pt modelId="{10104B62-4420-473B-B158-B9C20604AA63}" type="pres">
      <dgm:prSet presAssocID="{799156C0-FA97-45D7-B858-418ADEF6EFB4}" presName="text0" presStyleLbl="node1" presStyleIdx="1" presStyleCnt="3" custRadScaleRad="128599" custRadScaleInc="156731">
        <dgm:presLayoutVars>
          <dgm:bulletEnabled val="1"/>
        </dgm:presLayoutVars>
      </dgm:prSet>
      <dgm:spPr/>
      <dgm:t>
        <a:bodyPr/>
        <a:lstStyle/>
        <a:p>
          <a:endParaRPr lang="en-US"/>
        </a:p>
      </dgm:t>
    </dgm:pt>
    <dgm:pt modelId="{121B011E-BA4C-491A-9AA3-C987DDFF99AD}" type="pres">
      <dgm:prSet presAssocID="{B8F58FF9-310C-45A8-982F-4F1230476D26}" presName="Name56" presStyleLbl="parChTrans1D2" presStyleIdx="1" presStyleCnt="2"/>
      <dgm:spPr/>
      <dgm:t>
        <a:bodyPr/>
        <a:lstStyle/>
        <a:p>
          <a:endParaRPr lang="en-US"/>
        </a:p>
      </dgm:t>
    </dgm:pt>
    <dgm:pt modelId="{01452DA5-617B-4B74-86F2-2E3E39192C47}" type="pres">
      <dgm:prSet presAssocID="{6F136B35-001D-4410-84A5-AE4275997163}" presName="text0" presStyleLbl="node1" presStyleIdx="2" presStyleCnt="3" custRadScaleRad="130021" custRadScaleInc="44756">
        <dgm:presLayoutVars>
          <dgm:bulletEnabled val="1"/>
        </dgm:presLayoutVars>
      </dgm:prSet>
      <dgm:spPr/>
      <dgm:t>
        <a:bodyPr/>
        <a:lstStyle/>
        <a:p>
          <a:endParaRPr lang="en-US"/>
        </a:p>
      </dgm:t>
    </dgm:pt>
  </dgm:ptLst>
  <dgm:cxnLst>
    <dgm:cxn modelId="{18871DF0-66FF-4678-BFD3-9B689EB0383D}" srcId="{88149EF3-2B9D-4524-BD39-33363FC7B73A}" destId="{3C3FFD33-12BE-42BE-93C1-4BD9B743EAC4}" srcOrd="0" destOrd="0" parTransId="{1393EE9D-AD7E-42BB-821D-CC93521E55B6}" sibTransId="{4848DB30-322D-479B-A9C0-48A1CAE67350}"/>
    <dgm:cxn modelId="{08C9D318-C3BF-4D88-968B-076F7BC58F4B}" type="presOf" srcId="{799156C0-FA97-45D7-B858-418ADEF6EFB4}" destId="{10104B62-4420-473B-B158-B9C20604AA63}" srcOrd="0" destOrd="0" presId="urn:microsoft.com/office/officeart/2008/layout/RadialCluster"/>
    <dgm:cxn modelId="{53FF8579-9724-4336-B481-0A0DE413FA9C}" type="presOf" srcId="{B8F58FF9-310C-45A8-982F-4F1230476D26}" destId="{121B011E-BA4C-491A-9AA3-C987DDFF99AD}" srcOrd="0" destOrd="0" presId="urn:microsoft.com/office/officeart/2008/layout/RadialCluster"/>
    <dgm:cxn modelId="{5BC0F00E-7763-4D53-90A7-4DC993ECA81F}" type="presOf" srcId="{3C3FFD33-12BE-42BE-93C1-4BD9B743EAC4}" destId="{D69811B2-B2CB-4015-A3BE-A94CB368C757}" srcOrd="0" destOrd="0" presId="urn:microsoft.com/office/officeart/2008/layout/RadialCluster"/>
    <dgm:cxn modelId="{A8FC14A8-25FB-4681-A95E-F537B8BB1789}" type="presOf" srcId="{6F136B35-001D-4410-84A5-AE4275997163}" destId="{01452DA5-617B-4B74-86F2-2E3E39192C47}" srcOrd="0" destOrd="0" presId="urn:microsoft.com/office/officeart/2008/layout/RadialCluster"/>
    <dgm:cxn modelId="{23B12402-8619-421A-92A0-2D7B654A3D46}" srcId="{3C3FFD33-12BE-42BE-93C1-4BD9B743EAC4}" destId="{799156C0-FA97-45D7-B858-418ADEF6EFB4}" srcOrd="0" destOrd="0" parTransId="{62B12DFD-54F5-4C48-A84F-9F47CC7DD43D}" sibTransId="{BB57032C-F6A5-41E9-8CDF-1B630DFE2176}"/>
    <dgm:cxn modelId="{B7D2BEF1-B2DD-417A-9BE4-87D337F2DDB3}" type="presOf" srcId="{88149EF3-2B9D-4524-BD39-33363FC7B73A}" destId="{DF333F72-64BA-4B63-AB4C-9D22A90F0289}" srcOrd="0" destOrd="0" presId="urn:microsoft.com/office/officeart/2008/layout/RadialCluster"/>
    <dgm:cxn modelId="{8E57BD67-3C7B-44B2-BA59-91F7AFAB5593}" srcId="{3C3FFD33-12BE-42BE-93C1-4BD9B743EAC4}" destId="{6F136B35-001D-4410-84A5-AE4275997163}" srcOrd="1" destOrd="0" parTransId="{B8F58FF9-310C-45A8-982F-4F1230476D26}" sibTransId="{3AA8C24F-626F-4589-ACCE-CB855EC5128E}"/>
    <dgm:cxn modelId="{AE41813F-AF14-47A2-8BC4-A8E526C36E18}" type="presOf" srcId="{62B12DFD-54F5-4C48-A84F-9F47CC7DD43D}" destId="{94EDB7AB-1C33-4C82-8EA8-440FE62FAB10}" srcOrd="0" destOrd="0" presId="urn:microsoft.com/office/officeart/2008/layout/RadialCluster"/>
    <dgm:cxn modelId="{64C4BFD6-56C5-4C54-9C64-E27D0665CDE1}" type="presParOf" srcId="{DF333F72-64BA-4B63-AB4C-9D22A90F0289}" destId="{64122DDE-864F-4E07-999D-8BA036F9296F}" srcOrd="0" destOrd="0" presId="urn:microsoft.com/office/officeart/2008/layout/RadialCluster"/>
    <dgm:cxn modelId="{982D0D27-F5E7-432D-9AF1-367EEA4EE1AD}" type="presParOf" srcId="{64122DDE-864F-4E07-999D-8BA036F9296F}" destId="{D69811B2-B2CB-4015-A3BE-A94CB368C757}" srcOrd="0" destOrd="0" presId="urn:microsoft.com/office/officeart/2008/layout/RadialCluster"/>
    <dgm:cxn modelId="{D7FF3B31-8DD0-48FB-AE71-33F3DEB7A788}" type="presParOf" srcId="{64122DDE-864F-4E07-999D-8BA036F9296F}" destId="{94EDB7AB-1C33-4C82-8EA8-440FE62FAB10}" srcOrd="1" destOrd="0" presId="urn:microsoft.com/office/officeart/2008/layout/RadialCluster"/>
    <dgm:cxn modelId="{4ABB2EDF-E3E9-4AAE-91FB-B29994229243}" type="presParOf" srcId="{64122DDE-864F-4E07-999D-8BA036F9296F}" destId="{10104B62-4420-473B-B158-B9C20604AA63}" srcOrd="2" destOrd="0" presId="urn:microsoft.com/office/officeart/2008/layout/RadialCluster"/>
    <dgm:cxn modelId="{31CE1B28-AB69-4B2B-9E51-5588095F1BDB}" type="presParOf" srcId="{64122DDE-864F-4E07-999D-8BA036F9296F}" destId="{121B011E-BA4C-491A-9AA3-C987DDFF99AD}" srcOrd="3" destOrd="0" presId="urn:microsoft.com/office/officeart/2008/layout/RadialCluster"/>
    <dgm:cxn modelId="{A0F5E9C9-2FBD-4243-A0D5-3F60D4FFB01F}" type="presParOf" srcId="{64122DDE-864F-4E07-999D-8BA036F9296F}" destId="{01452DA5-617B-4B74-86F2-2E3E39192C47}" srcOrd="4" destOrd="0" presId="urn:microsoft.com/office/officeart/2008/layout/RadialCluster"/>
  </dgm:cxnLst>
  <dgm:bg>
    <a:noFill/>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042B469-B55A-4728-8AC9-D8EFA0451886}" type="doc">
      <dgm:prSet loTypeId="urn:microsoft.com/office/officeart/2008/layout/RadialCluster" loCatId="relationship" qsTypeId="urn:microsoft.com/office/officeart/2005/8/quickstyle/simple1" qsCatId="simple" csTypeId="urn:microsoft.com/office/officeart/2005/8/colors/colorful3" csCatId="colorful" phldr="1"/>
      <dgm:spPr/>
      <dgm:t>
        <a:bodyPr/>
        <a:lstStyle/>
        <a:p>
          <a:endParaRPr lang="ru-RU"/>
        </a:p>
      </dgm:t>
    </dgm:pt>
    <dgm:pt modelId="{9D8B0E02-C798-47A7-A67D-C99974FD0063}">
      <dgm:prSet phldrT="[Текст]"/>
      <dgm:spPr/>
      <dgm:t>
        <a:bodyPr/>
        <a:lstStyle/>
        <a:p>
          <a:r>
            <a:rPr lang="uk-UA"/>
            <a:t>Галектин-3</a:t>
          </a:r>
          <a:endParaRPr lang="ru-RU"/>
        </a:p>
      </dgm:t>
    </dgm:pt>
    <dgm:pt modelId="{F1D3B5C3-42CC-4DE5-89F4-52F2454097CC}" type="parTrans" cxnId="{5BB65892-5EA9-403C-A4A8-6AE56165DAA0}">
      <dgm:prSet/>
      <dgm:spPr/>
      <dgm:t>
        <a:bodyPr/>
        <a:lstStyle/>
        <a:p>
          <a:endParaRPr lang="ru-RU"/>
        </a:p>
      </dgm:t>
    </dgm:pt>
    <dgm:pt modelId="{DB7A372F-2603-4499-96E4-BF8F0C3F2D7D}" type="sibTrans" cxnId="{5BB65892-5EA9-403C-A4A8-6AE56165DAA0}">
      <dgm:prSet/>
      <dgm:spPr/>
      <dgm:t>
        <a:bodyPr/>
        <a:lstStyle/>
        <a:p>
          <a:endParaRPr lang="ru-RU"/>
        </a:p>
      </dgm:t>
    </dgm:pt>
    <dgm:pt modelId="{4A921234-57B3-4C07-B670-09C300C2C145}">
      <dgm:prSet phldrT="[Текст]"/>
      <dgm:spPr/>
      <dgm:t>
        <a:bodyPr/>
        <a:lstStyle/>
        <a:p>
          <a:r>
            <a:rPr lang="uk-UA"/>
            <a:t>КСО</a:t>
          </a:r>
          <a:endParaRPr lang="ru-RU"/>
        </a:p>
      </dgm:t>
    </dgm:pt>
    <dgm:pt modelId="{29271897-1632-4227-9C17-A15315100801}" type="parTrans" cxnId="{EFC0F61C-ED3B-49F0-A736-2989F21726EF}">
      <dgm:prSet/>
      <dgm:spPr/>
      <dgm:t>
        <a:bodyPr/>
        <a:lstStyle/>
        <a:p>
          <a:endParaRPr lang="ru-RU"/>
        </a:p>
      </dgm:t>
    </dgm:pt>
    <dgm:pt modelId="{C1473952-DFCB-4EF2-AF2D-075421B8B55D}" type="sibTrans" cxnId="{EFC0F61C-ED3B-49F0-A736-2989F21726EF}">
      <dgm:prSet/>
      <dgm:spPr/>
      <dgm:t>
        <a:bodyPr/>
        <a:lstStyle/>
        <a:p>
          <a:endParaRPr lang="ru-RU"/>
        </a:p>
      </dgm:t>
    </dgm:pt>
    <dgm:pt modelId="{3932CCCA-4559-4656-A83F-87E163B20D71}">
      <dgm:prSet phldrT="[Текст]"/>
      <dgm:spPr/>
      <dgm:t>
        <a:bodyPr/>
        <a:lstStyle/>
        <a:p>
          <a:r>
            <a:rPr lang="en-US"/>
            <a:t>Ea/Es</a:t>
          </a:r>
          <a:endParaRPr lang="ru-RU"/>
        </a:p>
      </dgm:t>
    </dgm:pt>
    <dgm:pt modelId="{0FD37F1F-E8F2-4EAD-ACE5-3DED5194D028}" type="parTrans" cxnId="{56C2749A-FA89-4C0A-979A-7AA4BB75C85A}">
      <dgm:prSet/>
      <dgm:spPr/>
      <dgm:t>
        <a:bodyPr/>
        <a:lstStyle/>
        <a:p>
          <a:endParaRPr lang="ru-RU"/>
        </a:p>
      </dgm:t>
    </dgm:pt>
    <dgm:pt modelId="{204C43BB-F8BE-43A5-83EF-A9E29985C909}" type="sibTrans" cxnId="{56C2749A-FA89-4C0A-979A-7AA4BB75C85A}">
      <dgm:prSet/>
      <dgm:spPr/>
      <dgm:t>
        <a:bodyPr/>
        <a:lstStyle/>
        <a:p>
          <a:endParaRPr lang="ru-RU"/>
        </a:p>
      </dgm:t>
    </dgm:pt>
    <dgm:pt modelId="{8BAF7796-FB9E-4041-93B5-36CA81B9C4BE}">
      <dgm:prSet phldrT="[Текст]"/>
      <dgm:spPr/>
      <dgm:t>
        <a:bodyPr/>
        <a:lstStyle/>
        <a:p>
          <a:r>
            <a:rPr lang="uk-UA"/>
            <a:t>ФВ</a:t>
          </a:r>
          <a:endParaRPr lang="ru-RU"/>
        </a:p>
      </dgm:t>
    </dgm:pt>
    <dgm:pt modelId="{F391CE92-B3B0-441E-BDDB-5238FB8104A5}" type="parTrans" cxnId="{BD1B873F-02D0-4AB8-981C-D85D6C45E3D9}">
      <dgm:prSet>
        <dgm:style>
          <a:lnRef idx="0">
            <a:scrgbClr r="0" g="0" b="0"/>
          </a:lnRef>
          <a:fillRef idx="0">
            <a:scrgbClr r="0" g="0" b="0"/>
          </a:fillRef>
          <a:effectRef idx="0">
            <a:scrgbClr r="0" g="0" b="0"/>
          </a:effectRef>
          <a:fontRef idx="minor">
            <a:schemeClr val="tx1"/>
          </a:fontRef>
        </dgm:style>
      </dgm:prSet>
      <dgm:spPr>
        <a:noFill/>
        <a:ln w="28575" cap="flat" cmpd="sng" algn="ctr">
          <a:solidFill>
            <a:srgbClr val="7030A0"/>
          </a:solidFill>
          <a:prstDash val="dash"/>
          <a:round/>
          <a:headEnd type="none" w="med" len="med"/>
          <a:tailEnd type="none" w="med" len="med"/>
        </a:ln>
      </dgm:spPr>
      <dgm:t>
        <a:bodyPr/>
        <a:lstStyle/>
        <a:p>
          <a:endParaRPr lang="ru-RU"/>
        </a:p>
      </dgm:t>
    </dgm:pt>
    <dgm:pt modelId="{D94F2D97-7FE9-432B-BA97-6E1A551AF146}" type="sibTrans" cxnId="{BD1B873F-02D0-4AB8-981C-D85D6C45E3D9}">
      <dgm:prSet/>
      <dgm:spPr/>
      <dgm:t>
        <a:bodyPr/>
        <a:lstStyle/>
        <a:p>
          <a:endParaRPr lang="ru-RU"/>
        </a:p>
      </dgm:t>
    </dgm:pt>
    <dgm:pt modelId="{E52C6A24-4C61-4A5B-9A3A-10144C1AEE20}">
      <dgm:prSet/>
      <dgm:spPr/>
      <dgm:t>
        <a:bodyPr/>
        <a:lstStyle/>
        <a:p>
          <a:r>
            <a:rPr lang="uk-UA"/>
            <a:t>ІММЛШ</a:t>
          </a:r>
          <a:endParaRPr lang="ru-RU"/>
        </a:p>
      </dgm:t>
    </dgm:pt>
    <dgm:pt modelId="{0941F224-C325-4127-BE38-21EBA0E45B7A}" type="parTrans" cxnId="{81811028-B5A1-479B-AABF-66AFEEDEA8AC}">
      <dgm:prSet/>
      <dgm:spPr/>
      <dgm:t>
        <a:bodyPr/>
        <a:lstStyle/>
        <a:p>
          <a:endParaRPr lang="ru-RU"/>
        </a:p>
      </dgm:t>
    </dgm:pt>
    <dgm:pt modelId="{00460DE8-5D27-49F4-A69E-54B495BED09F}" type="sibTrans" cxnId="{81811028-B5A1-479B-AABF-66AFEEDEA8AC}">
      <dgm:prSet/>
      <dgm:spPr/>
      <dgm:t>
        <a:bodyPr/>
        <a:lstStyle/>
        <a:p>
          <a:endParaRPr lang="ru-RU"/>
        </a:p>
      </dgm:t>
    </dgm:pt>
    <dgm:pt modelId="{1EE1C869-6A02-4D11-874A-9C6631BA0BA8}">
      <dgm:prSet/>
      <dgm:spPr/>
      <dgm:t>
        <a:bodyPr/>
        <a:lstStyle/>
        <a:p>
          <a:r>
            <a:rPr lang="uk-UA"/>
            <a:t>КДО</a:t>
          </a:r>
          <a:endParaRPr lang="ru-RU"/>
        </a:p>
      </dgm:t>
    </dgm:pt>
    <dgm:pt modelId="{F5809E2A-F7E8-4D28-87D6-4FF354EB679D}" type="parTrans" cxnId="{85D69C03-BC27-4036-B2DC-EFCCAAF2B27B}">
      <dgm:prSet/>
      <dgm:spPr/>
      <dgm:t>
        <a:bodyPr/>
        <a:lstStyle/>
        <a:p>
          <a:endParaRPr lang="ru-RU"/>
        </a:p>
      </dgm:t>
    </dgm:pt>
    <dgm:pt modelId="{FA15B86B-A424-4F1A-88BB-E04E1F2F4B7D}" type="sibTrans" cxnId="{85D69C03-BC27-4036-B2DC-EFCCAAF2B27B}">
      <dgm:prSet/>
      <dgm:spPr/>
      <dgm:t>
        <a:bodyPr/>
        <a:lstStyle/>
        <a:p>
          <a:endParaRPr lang="ru-RU"/>
        </a:p>
      </dgm:t>
    </dgm:pt>
    <dgm:pt modelId="{43BB4CBC-906D-4DD7-8C4E-31298AA27FD6}" type="pres">
      <dgm:prSet presAssocID="{2042B469-B55A-4728-8AC9-D8EFA0451886}" presName="Name0" presStyleCnt="0">
        <dgm:presLayoutVars>
          <dgm:chMax val="1"/>
          <dgm:chPref val="1"/>
          <dgm:dir/>
          <dgm:animOne val="branch"/>
          <dgm:animLvl val="lvl"/>
        </dgm:presLayoutVars>
      </dgm:prSet>
      <dgm:spPr/>
      <dgm:t>
        <a:bodyPr/>
        <a:lstStyle/>
        <a:p>
          <a:endParaRPr lang="en-US"/>
        </a:p>
      </dgm:t>
    </dgm:pt>
    <dgm:pt modelId="{F720DCBC-897B-4A57-A421-E141B56584C0}" type="pres">
      <dgm:prSet presAssocID="{9D8B0E02-C798-47A7-A67D-C99974FD0063}" presName="singleCycle" presStyleCnt="0"/>
      <dgm:spPr/>
    </dgm:pt>
    <dgm:pt modelId="{374D3A93-93C2-49CD-B667-EAF802369267}" type="pres">
      <dgm:prSet presAssocID="{9D8B0E02-C798-47A7-A67D-C99974FD0063}" presName="singleCenter" presStyleLbl="node1" presStyleIdx="0" presStyleCnt="6" custScaleX="139535">
        <dgm:presLayoutVars>
          <dgm:chMax val="7"/>
          <dgm:chPref val="7"/>
        </dgm:presLayoutVars>
      </dgm:prSet>
      <dgm:spPr/>
      <dgm:t>
        <a:bodyPr/>
        <a:lstStyle/>
        <a:p>
          <a:endParaRPr lang="ru-RU"/>
        </a:p>
      </dgm:t>
    </dgm:pt>
    <dgm:pt modelId="{100D1A14-22D2-4CB4-BBE5-4BFCE1EE63D6}" type="pres">
      <dgm:prSet presAssocID="{29271897-1632-4227-9C17-A15315100801}" presName="Name56" presStyleLbl="parChTrans1D2" presStyleIdx="0" presStyleCnt="5"/>
      <dgm:spPr/>
      <dgm:t>
        <a:bodyPr/>
        <a:lstStyle/>
        <a:p>
          <a:endParaRPr lang="en-US"/>
        </a:p>
      </dgm:t>
    </dgm:pt>
    <dgm:pt modelId="{E142569F-EB63-4DB1-B826-C03621A82FB5}" type="pres">
      <dgm:prSet presAssocID="{4A921234-57B3-4C07-B670-09C300C2C145}" presName="text0" presStyleLbl="node1" presStyleIdx="1" presStyleCnt="6">
        <dgm:presLayoutVars>
          <dgm:bulletEnabled val="1"/>
        </dgm:presLayoutVars>
      </dgm:prSet>
      <dgm:spPr/>
      <dgm:t>
        <a:bodyPr/>
        <a:lstStyle/>
        <a:p>
          <a:endParaRPr lang="ru-RU"/>
        </a:p>
      </dgm:t>
    </dgm:pt>
    <dgm:pt modelId="{5CB18CF7-6F7B-44A4-B027-69A1E971F06F}" type="pres">
      <dgm:prSet presAssocID="{0FD37F1F-E8F2-4EAD-ACE5-3DED5194D028}" presName="Name56" presStyleLbl="parChTrans1D2" presStyleIdx="1" presStyleCnt="5"/>
      <dgm:spPr/>
      <dgm:t>
        <a:bodyPr/>
        <a:lstStyle/>
        <a:p>
          <a:endParaRPr lang="en-US"/>
        </a:p>
      </dgm:t>
    </dgm:pt>
    <dgm:pt modelId="{75FB8D23-2C1A-4E69-B586-0899341B5F22}" type="pres">
      <dgm:prSet presAssocID="{3932CCCA-4559-4656-A83F-87E163B20D71}" presName="text0" presStyleLbl="node1" presStyleIdx="2" presStyleCnt="6" custScaleX="148825" custRadScaleRad="126505" custRadScaleInc="9428">
        <dgm:presLayoutVars>
          <dgm:bulletEnabled val="1"/>
        </dgm:presLayoutVars>
      </dgm:prSet>
      <dgm:spPr/>
      <dgm:t>
        <a:bodyPr/>
        <a:lstStyle/>
        <a:p>
          <a:endParaRPr lang="en-US"/>
        </a:p>
      </dgm:t>
    </dgm:pt>
    <dgm:pt modelId="{B79A6F4F-66F4-4CEA-8388-1F51E5D5C0EE}" type="pres">
      <dgm:prSet presAssocID="{F391CE92-B3B0-441E-BDDB-5238FB8104A5}" presName="Name56" presStyleLbl="parChTrans1D2" presStyleIdx="2" presStyleCnt="5"/>
      <dgm:spPr/>
      <dgm:t>
        <a:bodyPr/>
        <a:lstStyle/>
        <a:p>
          <a:endParaRPr lang="en-US"/>
        </a:p>
      </dgm:t>
    </dgm:pt>
    <dgm:pt modelId="{123B814E-79FA-4E0C-9C8D-C68AD2C1B08D}" type="pres">
      <dgm:prSet presAssocID="{8BAF7796-FB9E-4041-93B5-36CA81B9C4BE}" presName="text0" presStyleLbl="node1" presStyleIdx="3" presStyleCnt="6" custScaleX="147237" custRadScaleRad="141030" custRadScaleInc="-41911">
        <dgm:presLayoutVars>
          <dgm:bulletEnabled val="1"/>
        </dgm:presLayoutVars>
      </dgm:prSet>
      <dgm:spPr/>
      <dgm:t>
        <a:bodyPr/>
        <a:lstStyle/>
        <a:p>
          <a:endParaRPr lang="en-US"/>
        </a:p>
      </dgm:t>
    </dgm:pt>
    <dgm:pt modelId="{3720C615-D8E5-4022-8BAB-32E4F9FD305F}" type="pres">
      <dgm:prSet presAssocID="{0941F224-C325-4127-BE38-21EBA0E45B7A}" presName="Name56" presStyleLbl="parChTrans1D2" presStyleIdx="3" presStyleCnt="5"/>
      <dgm:spPr/>
      <dgm:t>
        <a:bodyPr/>
        <a:lstStyle/>
        <a:p>
          <a:endParaRPr lang="en-US"/>
        </a:p>
      </dgm:t>
    </dgm:pt>
    <dgm:pt modelId="{AA968F06-7B3B-49E5-B361-FD5581108715}" type="pres">
      <dgm:prSet presAssocID="{E52C6A24-4C61-4A5B-9A3A-10144C1AEE20}" presName="text0" presStyleLbl="node1" presStyleIdx="4" presStyleCnt="6" custScaleX="145630" custRadScaleRad="138740" custRadScaleInc="40309">
        <dgm:presLayoutVars>
          <dgm:bulletEnabled val="1"/>
        </dgm:presLayoutVars>
      </dgm:prSet>
      <dgm:spPr/>
      <dgm:t>
        <a:bodyPr/>
        <a:lstStyle/>
        <a:p>
          <a:endParaRPr lang="en-US"/>
        </a:p>
      </dgm:t>
    </dgm:pt>
    <dgm:pt modelId="{9D0CE31B-023C-4E7E-A310-D15B2759B7E0}" type="pres">
      <dgm:prSet presAssocID="{F5809E2A-F7E8-4D28-87D6-4FF354EB679D}" presName="Name56" presStyleLbl="parChTrans1D2" presStyleIdx="4" presStyleCnt="5"/>
      <dgm:spPr/>
      <dgm:t>
        <a:bodyPr/>
        <a:lstStyle/>
        <a:p>
          <a:endParaRPr lang="en-US"/>
        </a:p>
      </dgm:t>
    </dgm:pt>
    <dgm:pt modelId="{6BC6DC20-29D6-4C94-A0E3-9B1995FE95F0}" type="pres">
      <dgm:prSet presAssocID="{1EE1C869-6A02-4D11-874A-9C6631BA0BA8}" presName="text0" presStyleLbl="node1" presStyleIdx="5" presStyleCnt="6" custRadScaleRad="132235" custRadScaleInc="-11635">
        <dgm:presLayoutVars>
          <dgm:bulletEnabled val="1"/>
        </dgm:presLayoutVars>
      </dgm:prSet>
      <dgm:spPr/>
      <dgm:t>
        <a:bodyPr/>
        <a:lstStyle/>
        <a:p>
          <a:endParaRPr lang="en-US"/>
        </a:p>
      </dgm:t>
    </dgm:pt>
  </dgm:ptLst>
  <dgm:cxnLst>
    <dgm:cxn modelId="{513E8435-7C48-4088-8800-F72095E07A9E}" type="presOf" srcId="{3932CCCA-4559-4656-A83F-87E163B20D71}" destId="{75FB8D23-2C1A-4E69-B586-0899341B5F22}" srcOrd="0" destOrd="0" presId="urn:microsoft.com/office/officeart/2008/layout/RadialCluster"/>
    <dgm:cxn modelId="{01BB13B4-88B8-4C79-A14E-A6C4907BC350}" type="presOf" srcId="{1EE1C869-6A02-4D11-874A-9C6631BA0BA8}" destId="{6BC6DC20-29D6-4C94-A0E3-9B1995FE95F0}" srcOrd="0" destOrd="0" presId="urn:microsoft.com/office/officeart/2008/layout/RadialCluster"/>
    <dgm:cxn modelId="{85D69C03-BC27-4036-B2DC-EFCCAAF2B27B}" srcId="{9D8B0E02-C798-47A7-A67D-C99974FD0063}" destId="{1EE1C869-6A02-4D11-874A-9C6631BA0BA8}" srcOrd="4" destOrd="0" parTransId="{F5809E2A-F7E8-4D28-87D6-4FF354EB679D}" sibTransId="{FA15B86B-A424-4F1A-88BB-E04E1F2F4B7D}"/>
    <dgm:cxn modelId="{BA94F9FA-02E4-4C14-846F-2AF2783D3AD1}" type="presOf" srcId="{29271897-1632-4227-9C17-A15315100801}" destId="{100D1A14-22D2-4CB4-BBE5-4BFCE1EE63D6}" srcOrd="0" destOrd="0" presId="urn:microsoft.com/office/officeart/2008/layout/RadialCluster"/>
    <dgm:cxn modelId="{5BB65892-5EA9-403C-A4A8-6AE56165DAA0}" srcId="{2042B469-B55A-4728-8AC9-D8EFA0451886}" destId="{9D8B0E02-C798-47A7-A67D-C99974FD0063}" srcOrd="0" destOrd="0" parTransId="{F1D3B5C3-42CC-4DE5-89F4-52F2454097CC}" sibTransId="{DB7A372F-2603-4499-96E4-BF8F0C3F2D7D}"/>
    <dgm:cxn modelId="{D497C03D-35AB-4FF9-A89C-DB122BE7082F}" type="presOf" srcId="{E52C6A24-4C61-4A5B-9A3A-10144C1AEE20}" destId="{AA968F06-7B3B-49E5-B361-FD5581108715}" srcOrd="0" destOrd="0" presId="urn:microsoft.com/office/officeart/2008/layout/RadialCluster"/>
    <dgm:cxn modelId="{3C70CF22-072F-4B4F-B1C4-645681A31BB8}" type="presOf" srcId="{0FD37F1F-E8F2-4EAD-ACE5-3DED5194D028}" destId="{5CB18CF7-6F7B-44A4-B027-69A1E971F06F}" srcOrd="0" destOrd="0" presId="urn:microsoft.com/office/officeart/2008/layout/RadialCluster"/>
    <dgm:cxn modelId="{CF71A3C0-33EE-4D94-BAC2-B78FCDE7B7F8}" type="presOf" srcId="{8BAF7796-FB9E-4041-93B5-36CA81B9C4BE}" destId="{123B814E-79FA-4E0C-9C8D-C68AD2C1B08D}" srcOrd="0" destOrd="0" presId="urn:microsoft.com/office/officeart/2008/layout/RadialCluster"/>
    <dgm:cxn modelId="{3287F193-F462-4DE2-A4A1-A4B96033C39E}" type="presOf" srcId="{F391CE92-B3B0-441E-BDDB-5238FB8104A5}" destId="{B79A6F4F-66F4-4CEA-8388-1F51E5D5C0EE}" srcOrd="0" destOrd="0" presId="urn:microsoft.com/office/officeart/2008/layout/RadialCluster"/>
    <dgm:cxn modelId="{9A646853-F3ED-4BA7-B87B-7CA40682D47E}" type="presOf" srcId="{2042B469-B55A-4728-8AC9-D8EFA0451886}" destId="{43BB4CBC-906D-4DD7-8C4E-31298AA27FD6}" srcOrd="0" destOrd="0" presId="urn:microsoft.com/office/officeart/2008/layout/RadialCluster"/>
    <dgm:cxn modelId="{30F0D9C9-5B58-461F-B526-A2B086DF1EAF}" type="presOf" srcId="{0941F224-C325-4127-BE38-21EBA0E45B7A}" destId="{3720C615-D8E5-4022-8BAB-32E4F9FD305F}" srcOrd="0" destOrd="0" presId="urn:microsoft.com/office/officeart/2008/layout/RadialCluster"/>
    <dgm:cxn modelId="{28A7DB8E-F79D-4160-9CFA-E70BBDF3842C}" type="presOf" srcId="{F5809E2A-F7E8-4D28-87D6-4FF354EB679D}" destId="{9D0CE31B-023C-4E7E-A310-D15B2759B7E0}" srcOrd="0" destOrd="0" presId="urn:microsoft.com/office/officeart/2008/layout/RadialCluster"/>
    <dgm:cxn modelId="{FEA32D2E-8E46-4438-8960-56F12E532143}" type="presOf" srcId="{9D8B0E02-C798-47A7-A67D-C99974FD0063}" destId="{374D3A93-93C2-49CD-B667-EAF802369267}" srcOrd="0" destOrd="0" presId="urn:microsoft.com/office/officeart/2008/layout/RadialCluster"/>
    <dgm:cxn modelId="{F8F2AEF6-6E28-40C6-80B4-F42A10B26CAB}" type="presOf" srcId="{4A921234-57B3-4C07-B670-09C300C2C145}" destId="{E142569F-EB63-4DB1-B826-C03621A82FB5}" srcOrd="0" destOrd="0" presId="urn:microsoft.com/office/officeart/2008/layout/RadialCluster"/>
    <dgm:cxn modelId="{56C2749A-FA89-4C0A-979A-7AA4BB75C85A}" srcId="{9D8B0E02-C798-47A7-A67D-C99974FD0063}" destId="{3932CCCA-4559-4656-A83F-87E163B20D71}" srcOrd="1" destOrd="0" parTransId="{0FD37F1F-E8F2-4EAD-ACE5-3DED5194D028}" sibTransId="{204C43BB-F8BE-43A5-83EF-A9E29985C909}"/>
    <dgm:cxn modelId="{EFC0F61C-ED3B-49F0-A736-2989F21726EF}" srcId="{9D8B0E02-C798-47A7-A67D-C99974FD0063}" destId="{4A921234-57B3-4C07-B670-09C300C2C145}" srcOrd="0" destOrd="0" parTransId="{29271897-1632-4227-9C17-A15315100801}" sibTransId="{C1473952-DFCB-4EF2-AF2D-075421B8B55D}"/>
    <dgm:cxn modelId="{81811028-B5A1-479B-AABF-66AFEEDEA8AC}" srcId="{9D8B0E02-C798-47A7-A67D-C99974FD0063}" destId="{E52C6A24-4C61-4A5B-9A3A-10144C1AEE20}" srcOrd="3" destOrd="0" parTransId="{0941F224-C325-4127-BE38-21EBA0E45B7A}" sibTransId="{00460DE8-5D27-49F4-A69E-54B495BED09F}"/>
    <dgm:cxn modelId="{BD1B873F-02D0-4AB8-981C-D85D6C45E3D9}" srcId="{9D8B0E02-C798-47A7-A67D-C99974FD0063}" destId="{8BAF7796-FB9E-4041-93B5-36CA81B9C4BE}" srcOrd="2" destOrd="0" parTransId="{F391CE92-B3B0-441E-BDDB-5238FB8104A5}" sibTransId="{D94F2D97-7FE9-432B-BA97-6E1A551AF146}"/>
    <dgm:cxn modelId="{9C66C3A1-3EB2-4BE4-BD1D-D59F83713BD7}" type="presParOf" srcId="{43BB4CBC-906D-4DD7-8C4E-31298AA27FD6}" destId="{F720DCBC-897B-4A57-A421-E141B56584C0}" srcOrd="0" destOrd="0" presId="urn:microsoft.com/office/officeart/2008/layout/RadialCluster"/>
    <dgm:cxn modelId="{662BC5E8-1C5D-4EEE-9F0F-C18518929307}" type="presParOf" srcId="{F720DCBC-897B-4A57-A421-E141B56584C0}" destId="{374D3A93-93C2-49CD-B667-EAF802369267}" srcOrd="0" destOrd="0" presId="urn:microsoft.com/office/officeart/2008/layout/RadialCluster"/>
    <dgm:cxn modelId="{B73D6FAC-CD7D-4158-B9A1-D11AC737A85A}" type="presParOf" srcId="{F720DCBC-897B-4A57-A421-E141B56584C0}" destId="{100D1A14-22D2-4CB4-BBE5-4BFCE1EE63D6}" srcOrd="1" destOrd="0" presId="urn:microsoft.com/office/officeart/2008/layout/RadialCluster"/>
    <dgm:cxn modelId="{C788C0F9-5978-48E8-8DD9-503AF16F9D71}" type="presParOf" srcId="{F720DCBC-897B-4A57-A421-E141B56584C0}" destId="{E142569F-EB63-4DB1-B826-C03621A82FB5}" srcOrd="2" destOrd="0" presId="urn:microsoft.com/office/officeart/2008/layout/RadialCluster"/>
    <dgm:cxn modelId="{449B7955-383E-424B-AA33-A8729232B9E8}" type="presParOf" srcId="{F720DCBC-897B-4A57-A421-E141B56584C0}" destId="{5CB18CF7-6F7B-44A4-B027-69A1E971F06F}" srcOrd="3" destOrd="0" presId="urn:microsoft.com/office/officeart/2008/layout/RadialCluster"/>
    <dgm:cxn modelId="{649D6B07-FD3B-492B-BF54-4682A93BD7D8}" type="presParOf" srcId="{F720DCBC-897B-4A57-A421-E141B56584C0}" destId="{75FB8D23-2C1A-4E69-B586-0899341B5F22}" srcOrd="4" destOrd="0" presId="urn:microsoft.com/office/officeart/2008/layout/RadialCluster"/>
    <dgm:cxn modelId="{B7269516-809D-4AAE-8E15-E97916CE7D10}" type="presParOf" srcId="{F720DCBC-897B-4A57-A421-E141B56584C0}" destId="{B79A6F4F-66F4-4CEA-8388-1F51E5D5C0EE}" srcOrd="5" destOrd="0" presId="urn:microsoft.com/office/officeart/2008/layout/RadialCluster"/>
    <dgm:cxn modelId="{0F242114-5A0E-4A05-A873-1D5D99B80897}" type="presParOf" srcId="{F720DCBC-897B-4A57-A421-E141B56584C0}" destId="{123B814E-79FA-4E0C-9C8D-C68AD2C1B08D}" srcOrd="6" destOrd="0" presId="urn:microsoft.com/office/officeart/2008/layout/RadialCluster"/>
    <dgm:cxn modelId="{14ECF3C8-122D-4A19-8B4C-4DDC8695F362}" type="presParOf" srcId="{F720DCBC-897B-4A57-A421-E141B56584C0}" destId="{3720C615-D8E5-4022-8BAB-32E4F9FD305F}" srcOrd="7" destOrd="0" presId="urn:microsoft.com/office/officeart/2008/layout/RadialCluster"/>
    <dgm:cxn modelId="{060D7E0E-6FDC-4C1C-81A5-26D821C8C564}" type="presParOf" srcId="{F720DCBC-897B-4A57-A421-E141B56584C0}" destId="{AA968F06-7B3B-49E5-B361-FD5581108715}" srcOrd="8" destOrd="0" presId="urn:microsoft.com/office/officeart/2008/layout/RadialCluster"/>
    <dgm:cxn modelId="{57B84519-8817-4746-950D-FE83CFE7ED05}" type="presParOf" srcId="{F720DCBC-897B-4A57-A421-E141B56584C0}" destId="{9D0CE31B-023C-4E7E-A310-D15B2759B7E0}" srcOrd="9" destOrd="0" presId="urn:microsoft.com/office/officeart/2008/layout/RadialCluster"/>
    <dgm:cxn modelId="{7A4DFBD2-0E03-4388-9247-AF6AAD22F394}" type="presParOf" srcId="{F720DCBC-897B-4A57-A421-E141B56584C0}" destId="{6BC6DC20-29D6-4C94-A0E3-9B1995FE95F0}" srcOrd="10"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042B469-B55A-4728-8AC9-D8EFA0451886}" type="doc">
      <dgm:prSet loTypeId="urn:microsoft.com/office/officeart/2008/layout/RadialCluster" loCatId="relationship" qsTypeId="urn:microsoft.com/office/officeart/2005/8/quickstyle/simple1" qsCatId="simple" csTypeId="urn:microsoft.com/office/officeart/2005/8/colors/colorful3" csCatId="colorful" phldr="1"/>
      <dgm:spPr/>
      <dgm:t>
        <a:bodyPr/>
        <a:lstStyle/>
        <a:p>
          <a:endParaRPr lang="ru-RU"/>
        </a:p>
      </dgm:t>
    </dgm:pt>
    <dgm:pt modelId="{9D8B0E02-C798-47A7-A67D-C99974FD0063}">
      <dgm:prSet phldrT="[Текст]"/>
      <dgm:spPr/>
      <dgm:t>
        <a:bodyPr/>
        <a:lstStyle/>
        <a:p>
          <a:r>
            <a:rPr lang="uk-UA"/>
            <a:t>Вітронектин</a:t>
          </a:r>
          <a:endParaRPr lang="ru-RU"/>
        </a:p>
      </dgm:t>
    </dgm:pt>
    <dgm:pt modelId="{F1D3B5C3-42CC-4DE5-89F4-52F2454097CC}" type="parTrans" cxnId="{5BB65892-5EA9-403C-A4A8-6AE56165DAA0}">
      <dgm:prSet/>
      <dgm:spPr/>
      <dgm:t>
        <a:bodyPr/>
        <a:lstStyle/>
        <a:p>
          <a:endParaRPr lang="ru-RU"/>
        </a:p>
      </dgm:t>
    </dgm:pt>
    <dgm:pt modelId="{DB7A372F-2603-4499-96E4-BF8F0C3F2D7D}" type="sibTrans" cxnId="{5BB65892-5EA9-403C-A4A8-6AE56165DAA0}">
      <dgm:prSet/>
      <dgm:spPr/>
      <dgm:t>
        <a:bodyPr/>
        <a:lstStyle/>
        <a:p>
          <a:endParaRPr lang="ru-RU"/>
        </a:p>
      </dgm:t>
    </dgm:pt>
    <dgm:pt modelId="{4A921234-57B3-4C07-B670-09C300C2C145}">
      <dgm:prSet phldrT="[Текст]"/>
      <dgm:spPr/>
      <dgm:t>
        <a:bodyPr/>
        <a:lstStyle/>
        <a:p>
          <a:r>
            <a:rPr lang="uk-UA"/>
            <a:t>КСО</a:t>
          </a:r>
          <a:endParaRPr lang="ru-RU"/>
        </a:p>
      </dgm:t>
    </dgm:pt>
    <dgm:pt modelId="{29271897-1632-4227-9C17-A15315100801}" type="parTrans" cxnId="{EFC0F61C-ED3B-49F0-A736-2989F21726EF}">
      <dgm:prSet/>
      <dgm:spPr/>
      <dgm:t>
        <a:bodyPr/>
        <a:lstStyle/>
        <a:p>
          <a:endParaRPr lang="ru-RU"/>
        </a:p>
      </dgm:t>
    </dgm:pt>
    <dgm:pt modelId="{C1473952-DFCB-4EF2-AF2D-075421B8B55D}" type="sibTrans" cxnId="{EFC0F61C-ED3B-49F0-A736-2989F21726EF}">
      <dgm:prSet/>
      <dgm:spPr/>
      <dgm:t>
        <a:bodyPr/>
        <a:lstStyle/>
        <a:p>
          <a:endParaRPr lang="ru-RU"/>
        </a:p>
      </dgm:t>
    </dgm:pt>
    <dgm:pt modelId="{3932CCCA-4559-4656-A83F-87E163B20D71}">
      <dgm:prSet phldrT="[Текст]"/>
      <dgm:spPr/>
      <dgm:t>
        <a:bodyPr/>
        <a:lstStyle/>
        <a:p>
          <a:r>
            <a:rPr lang="en-US"/>
            <a:t>Ea/Es</a:t>
          </a:r>
          <a:endParaRPr lang="ru-RU"/>
        </a:p>
      </dgm:t>
    </dgm:pt>
    <dgm:pt modelId="{0FD37F1F-E8F2-4EAD-ACE5-3DED5194D028}" type="parTrans" cxnId="{56C2749A-FA89-4C0A-979A-7AA4BB75C85A}">
      <dgm:prSet/>
      <dgm:spPr/>
      <dgm:t>
        <a:bodyPr/>
        <a:lstStyle/>
        <a:p>
          <a:endParaRPr lang="ru-RU"/>
        </a:p>
      </dgm:t>
    </dgm:pt>
    <dgm:pt modelId="{204C43BB-F8BE-43A5-83EF-A9E29985C909}" type="sibTrans" cxnId="{56C2749A-FA89-4C0A-979A-7AA4BB75C85A}">
      <dgm:prSet/>
      <dgm:spPr/>
      <dgm:t>
        <a:bodyPr/>
        <a:lstStyle/>
        <a:p>
          <a:endParaRPr lang="ru-RU"/>
        </a:p>
      </dgm:t>
    </dgm:pt>
    <dgm:pt modelId="{8BAF7796-FB9E-4041-93B5-36CA81B9C4BE}">
      <dgm:prSet phldrT="[Текст]"/>
      <dgm:spPr/>
      <dgm:t>
        <a:bodyPr/>
        <a:lstStyle/>
        <a:p>
          <a:r>
            <a:rPr lang="uk-UA"/>
            <a:t>ФВ</a:t>
          </a:r>
          <a:endParaRPr lang="ru-RU"/>
        </a:p>
      </dgm:t>
    </dgm:pt>
    <dgm:pt modelId="{F391CE92-B3B0-441E-BDDB-5238FB8104A5}" type="parTrans" cxnId="{BD1B873F-02D0-4AB8-981C-D85D6C45E3D9}">
      <dgm:prSet>
        <dgm:style>
          <a:lnRef idx="0">
            <a:scrgbClr r="0" g="0" b="0"/>
          </a:lnRef>
          <a:fillRef idx="0">
            <a:scrgbClr r="0" g="0" b="0"/>
          </a:fillRef>
          <a:effectRef idx="0">
            <a:scrgbClr r="0" g="0" b="0"/>
          </a:effectRef>
          <a:fontRef idx="minor">
            <a:schemeClr val="tx1"/>
          </a:fontRef>
        </dgm:style>
      </dgm:prSet>
      <dgm:spPr>
        <a:noFill/>
        <a:ln w="28575" cap="flat" cmpd="sng" algn="ctr">
          <a:solidFill>
            <a:srgbClr val="7030A0"/>
          </a:solidFill>
          <a:prstDash val="dash"/>
          <a:round/>
          <a:headEnd type="none" w="med" len="med"/>
          <a:tailEnd type="none" w="med" len="med"/>
        </a:ln>
      </dgm:spPr>
      <dgm:t>
        <a:bodyPr/>
        <a:lstStyle/>
        <a:p>
          <a:endParaRPr lang="ru-RU"/>
        </a:p>
      </dgm:t>
    </dgm:pt>
    <dgm:pt modelId="{D94F2D97-7FE9-432B-BA97-6E1A551AF146}" type="sibTrans" cxnId="{BD1B873F-02D0-4AB8-981C-D85D6C45E3D9}">
      <dgm:prSet/>
      <dgm:spPr/>
      <dgm:t>
        <a:bodyPr/>
        <a:lstStyle/>
        <a:p>
          <a:endParaRPr lang="ru-RU"/>
        </a:p>
      </dgm:t>
    </dgm:pt>
    <dgm:pt modelId="{E52C6A24-4C61-4A5B-9A3A-10144C1AEE20}">
      <dgm:prSet/>
      <dgm:spPr/>
      <dgm:t>
        <a:bodyPr/>
        <a:lstStyle/>
        <a:p>
          <a:r>
            <a:rPr lang="uk-UA"/>
            <a:t>КДР</a:t>
          </a:r>
          <a:endParaRPr lang="ru-RU"/>
        </a:p>
      </dgm:t>
    </dgm:pt>
    <dgm:pt modelId="{0941F224-C325-4127-BE38-21EBA0E45B7A}" type="parTrans" cxnId="{81811028-B5A1-479B-AABF-66AFEEDEA8AC}">
      <dgm:prSet/>
      <dgm:spPr/>
      <dgm:t>
        <a:bodyPr/>
        <a:lstStyle/>
        <a:p>
          <a:endParaRPr lang="ru-RU"/>
        </a:p>
      </dgm:t>
    </dgm:pt>
    <dgm:pt modelId="{00460DE8-5D27-49F4-A69E-54B495BED09F}" type="sibTrans" cxnId="{81811028-B5A1-479B-AABF-66AFEEDEA8AC}">
      <dgm:prSet/>
      <dgm:spPr/>
      <dgm:t>
        <a:bodyPr/>
        <a:lstStyle/>
        <a:p>
          <a:endParaRPr lang="ru-RU"/>
        </a:p>
      </dgm:t>
    </dgm:pt>
    <dgm:pt modelId="{1EE1C869-6A02-4D11-874A-9C6631BA0BA8}">
      <dgm:prSet/>
      <dgm:spPr/>
      <dgm:t>
        <a:bodyPr/>
        <a:lstStyle/>
        <a:p>
          <a:r>
            <a:rPr lang="uk-UA"/>
            <a:t>КДО</a:t>
          </a:r>
          <a:endParaRPr lang="ru-RU"/>
        </a:p>
      </dgm:t>
    </dgm:pt>
    <dgm:pt modelId="{F5809E2A-F7E8-4D28-87D6-4FF354EB679D}" type="parTrans" cxnId="{85D69C03-BC27-4036-B2DC-EFCCAAF2B27B}">
      <dgm:prSet/>
      <dgm:spPr/>
      <dgm:t>
        <a:bodyPr/>
        <a:lstStyle/>
        <a:p>
          <a:endParaRPr lang="ru-RU"/>
        </a:p>
      </dgm:t>
    </dgm:pt>
    <dgm:pt modelId="{FA15B86B-A424-4F1A-88BB-E04E1F2F4B7D}" type="sibTrans" cxnId="{85D69C03-BC27-4036-B2DC-EFCCAAF2B27B}">
      <dgm:prSet/>
      <dgm:spPr/>
      <dgm:t>
        <a:bodyPr/>
        <a:lstStyle/>
        <a:p>
          <a:endParaRPr lang="ru-RU"/>
        </a:p>
      </dgm:t>
    </dgm:pt>
    <dgm:pt modelId="{43BB4CBC-906D-4DD7-8C4E-31298AA27FD6}" type="pres">
      <dgm:prSet presAssocID="{2042B469-B55A-4728-8AC9-D8EFA0451886}" presName="Name0" presStyleCnt="0">
        <dgm:presLayoutVars>
          <dgm:chMax val="1"/>
          <dgm:chPref val="1"/>
          <dgm:dir/>
          <dgm:animOne val="branch"/>
          <dgm:animLvl val="lvl"/>
        </dgm:presLayoutVars>
      </dgm:prSet>
      <dgm:spPr/>
      <dgm:t>
        <a:bodyPr/>
        <a:lstStyle/>
        <a:p>
          <a:endParaRPr lang="en-US"/>
        </a:p>
      </dgm:t>
    </dgm:pt>
    <dgm:pt modelId="{F720DCBC-897B-4A57-A421-E141B56584C0}" type="pres">
      <dgm:prSet presAssocID="{9D8B0E02-C798-47A7-A67D-C99974FD0063}" presName="singleCycle" presStyleCnt="0"/>
      <dgm:spPr/>
    </dgm:pt>
    <dgm:pt modelId="{374D3A93-93C2-49CD-B667-EAF802369267}" type="pres">
      <dgm:prSet presAssocID="{9D8B0E02-C798-47A7-A67D-C99974FD0063}" presName="singleCenter" presStyleLbl="node1" presStyleIdx="0" presStyleCnt="6" custScaleX="139535">
        <dgm:presLayoutVars>
          <dgm:chMax val="7"/>
          <dgm:chPref val="7"/>
        </dgm:presLayoutVars>
      </dgm:prSet>
      <dgm:spPr/>
      <dgm:t>
        <a:bodyPr/>
        <a:lstStyle/>
        <a:p>
          <a:endParaRPr lang="ru-RU"/>
        </a:p>
      </dgm:t>
    </dgm:pt>
    <dgm:pt modelId="{100D1A14-22D2-4CB4-BBE5-4BFCE1EE63D6}" type="pres">
      <dgm:prSet presAssocID="{29271897-1632-4227-9C17-A15315100801}" presName="Name56" presStyleLbl="parChTrans1D2" presStyleIdx="0" presStyleCnt="5"/>
      <dgm:spPr/>
      <dgm:t>
        <a:bodyPr/>
        <a:lstStyle/>
        <a:p>
          <a:endParaRPr lang="en-US"/>
        </a:p>
      </dgm:t>
    </dgm:pt>
    <dgm:pt modelId="{E142569F-EB63-4DB1-B826-C03621A82FB5}" type="pres">
      <dgm:prSet presAssocID="{4A921234-57B3-4C07-B670-09C300C2C145}" presName="text0" presStyleLbl="node1" presStyleIdx="1" presStyleCnt="6" custScaleX="122450">
        <dgm:presLayoutVars>
          <dgm:bulletEnabled val="1"/>
        </dgm:presLayoutVars>
      </dgm:prSet>
      <dgm:spPr/>
      <dgm:t>
        <a:bodyPr/>
        <a:lstStyle/>
        <a:p>
          <a:endParaRPr lang="ru-RU"/>
        </a:p>
      </dgm:t>
    </dgm:pt>
    <dgm:pt modelId="{5CB18CF7-6F7B-44A4-B027-69A1E971F06F}" type="pres">
      <dgm:prSet presAssocID="{0FD37F1F-E8F2-4EAD-ACE5-3DED5194D028}" presName="Name56" presStyleLbl="parChTrans1D2" presStyleIdx="1" presStyleCnt="5"/>
      <dgm:spPr/>
      <dgm:t>
        <a:bodyPr/>
        <a:lstStyle/>
        <a:p>
          <a:endParaRPr lang="en-US"/>
        </a:p>
      </dgm:t>
    </dgm:pt>
    <dgm:pt modelId="{75FB8D23-2C1A-4E69-B586-0899341B5F22}" type="pres">
      <dgm:prSet presAssocID="{3932CCCA-4559-4656-A83F-87E163B20D71}" presName="text0" presStyleLbl="node1" presStyleIdx="2" presStyleCnt="6" custScaleX="148825" custRadScaleRad="147603" custRadScaleInc="13487">
        <dgm:presLayoutVars>
          <dgm:bulletEnabled val="1"/>
        </dgm:presLayoutVars>
      </dgm:prSet>
      <dgm:spPr/>
      <dgm:t>
        <a:bodyPr/>
        <a:lstStyle/>
        <a:p>
          <a:endParaRPr lang="en-US"/>
        </a:p>
      </dgm:t>
    </dgm:pt>
    <dgm:pt modelId="{B79A6F4F-66F4-4CEA-8388-1F51E5D5C0EE}" type="pres">
      <dgm:prSet presAssocID="{F391CE92-B3B0-441E-BDDB-5238FB8104A5}" presName="Name56" presStyleLbl="parChTrans1D2" presStyleIdx="2" presStyleCnt="5"/>
      <dgm:spPr/>
      <dgm:t>
        <a:bodyPr/>
        <a:lstStyle/>
        <a:p>
          <a:endParaRPr lang="en-US"/>
        </a:p>
      </dgm:t>
    </dgm:pt>
    <dgm:pt modelId="{123B814E-79FA-4E0C-9C8D-C68AD2C1B08D}" type="pres">
      <dgm:prSet presAssocID="{8BAF7796-FB9E-4041-93B5-36CA81B9C4BE}" presName="text0" presStyleLbl="node1" presStyleIdx="3" presStyleCnt="6" custScaleX="147237" custRadScaleRad="141030" custRadScaleInc="-41911">
        <dgm:presLayoutVars>
          <dgm:bulletEnabled val="1"/>
        </dgm:presLayoutVars>
      </dgm:prSet>
      <dgm:spPr/>
      <dgm:t>
        <a:bodyPr/>
        <a:lstStyle/>
        <a:p>
          <a:endParaRPr lang="en-US"/>
        </a:p>
      </dgm:t>
    </dgm:pt>
    <dgm:pt modelId="{3720C615-D8E5-4022-8BAB-32E4F9FD305F}" type="pres">
      <dgm:prSet presAssocID="{0941F224-C325-4127-BE38-21EBA0E45B7A}" presName="Name56" presStyleLbl="parChTrans1D2" presStyleIdx="3" presStyleCnt="5"/>
      <dgm:spPr/>
      <dgm:t>
        <a:bodyPr/>
        <a:lstStyle/>
        <a:p>
          <a:endParaRPr lang="en-US"/>
        </a:p>
      </dgm:t>
    </dgm:pt>
    <dgm:pt modelId="{AA968F06-7B3B-49E5-B361-FD5581108715}" type="pres">
      <dgm:prSet presAssocID="{E52C6A24-4C61-4A5B-9A3A-10144C1AEE20}" presName="text0" presStyleLbl="node1" presStyleIdx="4" presStyleCnt="6" custScaleX="145630" custRadScaleRad="138740" custRadScaleInc="40309">
        <dgm:presLayoutVars>
          <dgm:bulletEnabled val="1"/>
        </dgm:presLayoutVars>
      </dgm:prSet>
      <dgm:spPr/>
      <dgm:t>
        <a:bodyPr/>
        <a:lstStyle/>
        <a:p>
          <a:endParaRPr lang="ru-RU"/>
        </a:p>
      </dgm:t>
    </dgm:pt>
    <dgm:pt modelId="{9D0CE31B-023C-4E7E-A310-D15B2759B7E0}" type="pres">
      <dgm:prSet presAssocID="{F5809E2A-F7E8-4D28-87D6-4FF354EB679D}" presName="Name56" presStyleLbl="parChTrans1D2" presStyleIdx="4" presStyleCnt="5"/>
      <dgm:spPr/>
      <dgm:t>
        <a:bodyPr/>
        <a:lstStyle/>
        <a:p>
          <a:endParaRPr lang="en-US"/>
        </a:p>
      </dgm:t>
    </dgm:pt>
    <dgm:pt modelId="{6BC6DC20-29D6-4C94-A0E3-9B1995FE95F0}" type="pres">
      <dgm:prSet presAssocID="{1EE1C869-6A02-4D11-874A-9C6631BA0BA8}" presName="text0" presStyleLbl="node1" presStyleIdx="5" presStyleCnt="6" custScaleX="115490" custRadScaleRad="147030" custRadScaleInc="-12971">
        <dgm:presLayoutVars>
          <dgm:bulletEnabled val="1"/>
        </dgm:presLayoutVars>
      </dgm:prSet>
      <dgm:spPr/>
      <dgm:t>
        <a:bodyPr/>
        <a:lstStyle/>
        <a:p>
          <a:endParaRPr lang="en-US"/>
        </a:p>
      </dgm:t>
    </dgm:pt>
  </dgm:ptLst>
  <dgm:cxnLst>
    <dgm:cxn modelId="{E296AD88-CFC1-40A9-A1BD-86ECB3668674}" type="presOf" srcId="{3932CCCA-4559-4656-A83F-87E163B20D71}" destId="{75FB8D23-2C1A-4E69-B586-0899341B5F22}" srcOrd="0" destOrd="0" presId="urn:microsoft.com/office/officeart/2008/layout/RadialCluster"/>
    <dgm:cxn modelId="{84477BCC-1BEF-4745-91E1-3E87FA4D9748}" type="presOf" srcId="{1EE1C869-6A02-4D11-874A-9C6631BA0BA8}" destId="{6BC6DC20-29D6-4C94-A0E3-9B1995FE95F0}" srcOrd="0" destOrd="0" presId="urn:microsoft.com/office/officeart/2008/layout/RadialCluster"/>
    <dgm:cxn modelId="{81811028-B5A1-479B-AABF-66AFEEDEA8AC}" srcId="{9D8B0E02-C798-47A7-A67D-C99974FD0063}" destId="{E52C6A24-4C61-4A5B-9A3A-10144C1AEE20}" srcOrd="3" destOrd="0" parTransId="{0941F224-C325-4127-BE38-21EBA0E45B7A}" sibTransId="{00460DE8-5D27-49F4-A69E-54B495BED09F}"/>
    <dgm:cxn modelId="{BA165E06-CB0C-4032-B092-D8C78EF559FB}" type="presOf" srcId="{4A921234-57B3-4C07-B670-09C300C2C145}" destId="{E142569F-EB63-4DB1-B826-C03621A82FB5}" srcOrd="0" destOrd="0" presId="urn:microsoft.com/office/officeart/2008/layout/RadialCluster"/>
    <dgm:cxn modelId="{704D5D8A-6467-4177-85AD-33254BB928D5}" type="presOf" srcId="{0FD37F1F-E8F2-4EAD-ACE5-3DED5194D028}" destId="{5CB18CF7-6F7B-44A4-B027-69A1E971F06F}" srcOrd="0" destOrd="0" presId="urn:microsoft.com/office/officeart/2008/layout/RadialCluster"/>
    <dgm:cxn modelId="{56C2749A-FA89-4C0A-979A-7AA4BB75C85A}" srcId="{9D8B0E02-C798-47A7-A67D-C99974FD0063}" destId="{3932CCCA-4559-4656-A83F-87E163B20D71}" srcOrd="1" destOrd="0" parTransId="{0FD37F1F-E8F2-4EAD-ACE5-3DED5194D028}" sibTransId="{204C43BB-F8BE-43A5-83EF-A9E29985C909}"/>
    <dgm:cxn modelId="{DC5A895D-E4C9-42CF-97E7-BC5C703E092C}" type="presOf" srcId="{E52C6A24-4C61-4A5B-9A3A-10144C1AEE20}" destId="{AA968F06-7B3B-49E5-B361-FD5581108715}" srcOrd="0" destOrd="0" presId="urn:microsoft.com/office/officeart/2008/layout/RadialCluster"/>
    <dgm:cxn modelId="{AC5A5376-424A-49EC-AAE5-2DBCBA7CD165}" type="presOf" srcId="{8BAF7796-FB9E-4041-93B5-36CA81B9C4BE}" destId="{123B814E-79FA-4E0C-9C8D-C68AD2C1B08D}" srcOrd="0" destOrd="0" presId="urn:microsoft.com/office/officeart/2008/layout/RadialCluster"/>
    <dgm:cxn modelId="{5BB65892-5EA9-403C-A4A8-6AE56165DAA0}" srcId="{2042B469-B55A-4728-8AC9-D8EFA0451886}" destId="{9D8B0E02-C798-47A7-A67D-C99974FD0063}" srcOrd="0" destOrd="0" parTransId="{F1D3B5C3-42CC-4DE5-89F4-52F2454097CC}" sibTransId="{DB7A372F-2603-4499-96E4-BF8F0C3F2D7D}"/>
    <dgm:cxn modelId="{E74980C4-307A-4364-966F-AA6DC43D1881}" type="presOf" srcId="{F5809E2A-F7E8-4D28-87D6-4FF354EB679D}" destId="{9D0CE31B-023C-4E7E-A310-D15B2759B7E0}" srcOrd="0" destOrd="0" presId="urn:microsoft.com/office/officeart/2008/layout/RadialCluster"/>
    <dgm:cxn modelId="{BD1B873F-02D0-4AB8-981C-D85D6C45E3D9}" srcId="{9D8B0E02-C798-47A7-A67D-C99974FD0063}" destId="{8BAF7796-FB9E-4041-93B5-36CA81B9C4BE}" srcOrd="2" destOrd="0" parTransId="{F391CE92-B3B0-441E-BDDB-5238FB8104A5}" sibTransId="{D94F2D97-7FE9-432B-BA97-6E1A551AF146}"/>
    <dgm:cxn modelId="{5CEA4B3C-0636-486B-B458-41A7A687B5C7}" type="presOf" srcId="{F391CE92-B3B0-441E-BDDB-5238FB8104A5}" destId="{B79A6F4F-66F4-4CEA-8388-1F51E5D5C0EE}" srcOrd="0" destOrd="0" presId="urn:microsoft.com/office/officeart/2008/layout/RadialCluster"/>
    <dgm:cxn modelId="{EFC0F61C-ED3B-49F0-A736-2989F21726EF}" srcId="{9D8B0E02-C798-47A7-A67D-C99974FD0063}" destId="{4A921234-57B3-4C07-B670-09C300C2C145}" srcOrd="0" destOrd="0" parTransId="{29271897-1632-4227-9C17-A15315100801}" sibTransId="{C1473952-DFCB-4EF2-AF2D-075421B8B55D}"/>
    <dgm:cxn modelId="{F1F1F971-DE80-4FFE-AA44-D530384A8355}" type="presOf" srcId="{9D8B0E02-C798-47A7-A67D-C99974FD0063}" destId="{374D3A93-93C2-49CD-B667-EAF802369267}" srcOrd="0" destOrd="0" presId="urn:microsoft.com/office/officeart/2008/layout/RadialCluster"/>
    <dgm:cxn modelId="{F1CD1844-FF45-4962-BE41-C8CCE49C3A74}" type="presOf" srcId="{29271897-1632-4227-9C17-A15315100801}" destId="{100D1A14-22D2-4CB4-BBE5-4BFCE1EE63D6}" srcOrd="0" destOrd="0" presId="urn:microsoft.com/office/officeart/2008/layout/RadialCluster"/>
    <dgm:cxn modelId="{8E1C067C-9CF2-4546-8463-2C4E719688B9}" type="presOf" srcId="{2042B469-B55A-4728-8AC9-D8EFA0451886}" destId="{43BB4CBC-906D-4DD7-8C4E-31298AA27FD6}" srcOrd="0" destOrd="0" presId="urn:microsoft.com/office/officeart/2008/layout/RadialCluster"/>
    <dgm:cxn modelId="{152F72C9-819C-4B43-96D7-B625B28C48D0}" type="presOf" srcId="{0941F224-C325-4127-BE38-21EBA0E45B7A}" destId="{3720C615-D8E5-4022-8BAB-32E4F9FD305F}" srcOrd="0" destOrd="0" presId="urn:microsoft.com/office/officeart/2008/layout/RadialCluster"/>
    <dgm:cxn modelId="{85D69C03-BC27-4036-B2DC-EFCCAAF2B27B}" srcId="{9D8B0E02-C798-47A7-A67D-C99974FD0063}" destId="{1EE1C869-6A02-4D11-874A-9C6631BA0BA8}" srcOrd="4" destOrd="0" parTransId="{F5809E2A-F7E8-4D28-87D6-4FF354EB679D}" sibTransId="{FA15B86B-A424-4F1A-88BB-E04E1F2F4B7D}"/>
    <dgm:cxn modelId="{F4C71635-C834-49C1-9BA9-258883577D78}" type="presParOf" srcId="{43BB4CBC-906D-4DD7-8C4E-31298AA27FD6}" destId="{F720DCBC-897B-4A57-A421-E141B56584C0}" srcOrd="0" destOrd="0" presId="urn:microsoft.com/office/officeart/2008/layout/RadialCluster"/>
    <dgm:cxn modelId="{E2DE8500-82E6-48AD-9A73-A4993E2B71DB}" type="presParOf" srcId="{F720DCBC-897B-4A57-A421-E141B56584C0}" destId="{374D3A93-93C2-49CD-B667-EAF802369267}" srcOrd="0" destOrd="0" presId="urn:microsoft.com/office/officeart/2008/layout/RadialCluster"/>
    <dgm:cxn modelId="{66E0B135-AC5C-432A-B7AE-7E51787B9733}" type="presParOf" srcId="{F720DCBC-897B-4A57-A421-E141B56584C0}" destId="{100D1A14-22D2-4CB4-BBE5-4BFCE1EE63D6}" srcOrd="1" destOrd="0" presId="urn:microsoft.com/office/officeart/2008/layout/RadialCluster"/>
    <dgm:cxn modelId="{4CD8D1CA-2312-41CA-B20C-3E027DC13661}" type="presParOf" srcId="{F720DCBC-897B-4A57-A421-E141B56584C0}" destId="{E142569F-EB63-4DB1-B826-C03621A82FB5}" srcOrd="2" destOrd="0" presId="urn:microsoft.com/office/officeart/2008/layout/RadialCluster"/>
    <dgm:cxn modelId="{68FFCA6C-74A1-4FF1-847F-01390B8DB670}" type="presParOf" srcId="{F720DCBC-897B-4A57-A421-E141B56584C0}" destId="{5CB18CF7-6F7B-44A4-B027-69A1E971F06F}" srcOrd="3" destOrd="0" presId="urn:microsoft.com/office/officeart/2008/layout/RadialCluster"/>
    <dgm:cxn modelId="{5C5092FA-BE2C-4269-9DB8-41F24F021CAC}" type="presParOf" srcId="{F720DCBC-897B-4A57-A421-E141B56584C0}" destId="{75FB8D23-2C1A-4E69-B586-0899341B5F22}" srcOrd="4" destOrd="0" presId="urn:microsoft.com/office/officeart/2008/layout/RadialCluster"/>
    <dgm:cxn modelId="{019D7718-FCB5-4EB8-8CD8-831085BC3DDB}" type="presParOf" srcId="{F720DCBC-897B-4A57-A421-E141B56584C0}" destId="{B79A6F4F-66F4-4CEA-8388-1F51E5D5C0EE}" srcOrd="5" destOrd="0" presId="urn:microsoft.com/office/officeart/2008/layout/RadialCluster"/>
    <dgm:cxn modelId="{A8986A37-F5E8-4D7F-8AE8-94C60B516593}" type="presParOf" srcId="{F720DCBC-897B-4A57-A421-E141B56584C0}" destId="{123B814E-79FA-4E0C-9C8D-C68AD2C1B08D}" srcOrd="6" destOrd="0" presId="urn:microsoft.com/office/officeart/2008/layout/RadialCluster"/>
    <dgm:cxn modelId="{0D605BA2-3B41-42B6-97FF-56366D809958}" type="presParOf" srcId="{F720DCBC-897B-4A57-A421-E141B56584C0}" destId="{3720C615-D8E5-4022-8BAB-32E4F9FD305F}" srcOrd="7" destOrd="0" presId="urn:microsoft.com/office/officeart/2008/layout/RadialCluster"/>
    <dgm:cxn modelId="{EB45C80D-F8FF-480D-BBEE-879404245BAF}" type="presParOf" srcId="{F720DCBC-897B-4A57-A421-E141B56584C0}" destId="{AA968F06-7B3B-49E5-B361-FD5581108715}" srcOrd="8" destOrd="0" presId="urn:microsoft.com/office/officeart/2008/layout/RadialCluster"/>
    <dgm:cxn modelId="{DD0BDCB9-E770-4C35-B59E-508DCC2D90F9}" type="presParOf" srcId="{F720DCBC-897B-4A57-A421-E141B56584C0}" destId="{9D0CE31B-023C-4E7E-A310-D15B2759B7E0}" srcOrd="9" destOrd="0" presId="urn:microsoft.com/office/officeart/2008/layout/RadialCluster"/>
    <dgm:cxn modelId="{C7187BAD-4ABB-449E-B8F3-BA898E84E96E}" type="presParOf" srcId="{F720DCBC-897B-4A57-A421-E141B56584C0}" destId="{6BC6DC20-29D6-4C94-A0E3-9B1995FE95F0}" srcOrd="10" destOrd="0" presId="urn:microsoft.com/office/officeart/2008/layout/Radial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BF0891F-1952-40EC-8FFA-E2E1B1831C21}"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DE158F39-FF2A-4235-B742-9F2ED6C98417}">
      <dgm:prSet phldrT="[Текст]"/>
      <dgm:spPr/>
      <dgm:t>
        <a:bodyPr/>
        <a:lstStyle/>
        <a:p>
          <a:r>
            <a:rPr lang="uk-UA"/>
            <a:t>Тропонін </a:t>
          </a:r>
          <a:r>
            <a:rPr lang="en-US"/>
            <a:t>I</a:t>
          </a:r>
        </a:p>
      </dgm:t>
    </dgm:pt>
    <dgm:pt modelId="{F261E8A2-FD4F-4C26-A9F8-8B19CDB25DE7}" type="parTrans" cxnId="{A105B619-23DB-4F56-85DB-E0CF30EBEC2E}">
      <dgm:prSet/>
      <dgm:spPr/>
      <dgm:t>
        <a:bodyPr/>
        <a:lstStyle/>
        <a:p>
          <a:endParaRPr lang="en-US"/>
        </a:p>
      </dgm:t>
    </dgm:pt>
    <dgm:pt modelId="{3D85A16D-B424-47C5-8E4A-4AA86174B015}" type="sibTrans" cxnId="{A105B619-23DB-4F56-85DB-E0CF30EBEC2E}">
      <dgm:prSet/>
      <dgm:spPr/>
      <dgm:t>
        <a:bodyPr/>
        <a:lstStyle/>
        <a:p>
          <a:endParaRPr lang="en-US"/>
        </a:p>
      </dgm:t>
    </dgm:pt>
    <dgm:pt modelId="{2363F7B3-9C4F-472A-B3B1-3FDBE63717BF}">
      <dgm:prSet phldrT="[Текст]"/>
      <dgm:spPr/>
      <dgm:t>
        <a:bodyPr/>
        <a:lstStyle/>
        <a:p>
          <a:r>
            <a:rPr lang="ru-RU"/>
            <a:t>Галектин-3</a:t>
          </a:r>
          <a:endParaRPr lang="en-US"/>
        </a:p>
      </dgm:t>
    </dgm:pt>
    <dgm:pt modelId="{9EABBA3B-A9C9-4878-955E-D6D19194C5E8}" type="parTrans" cxnId="{3D22996E-EC75-4AA5-9143-9183AADE6260}">
      <dgm:prSet/>
      <dgm:spPr>
        <a:ln>
          <a:noFill/>
        </a:ln>
      </dgm:spPr>
      <dgm:t>
        <a:bodyPr/>
        <a:lstStyle/>
        <a:p>
          <a:endParaRPr lang="en-US"/>
        </a:p>
      </dgm:t>
    </dgm:pt>
    <dgm:pt modelId="{8195D275-E1DB-4630-8801-4CE02D41A2E0}" type="sibTrans" cxnId="{3D22996E-EC75-4AA5-9143-9183AADE6260}">
      <dgm:prSet/>
      <dgm:spPr/>
      <dgm:t>
        <a:bodyPr/>
        <a:lstStyle/>
        <a:p>
          <a:endParaRPr lang="en-US"/>
        </a:p>
      </dgm:t>
    </dgm:pt>
    <dgm:pt modelId="{8DF4B5E7-89B8-4B56-8FBF-17CA725A6C72}">
      <dgm:prSet phldrT="[Текст]"/>
      <dgm:spPr/>
      <dgm:t>
        <a:bodyPr/>
        <a:lstStyle/>
        <a:p>
          <a:r>
            <a:rPr lang="uk-UA"/>
            <a:t>Вітронектин</a:t>
          </a:r>
          <a:endParaRPr lang="en-US"/>
        </a:p>
      </dgm:t>
    </dgm:pt>
    <dgm:pt modelId="{8F311D7D-89D7-47F5-ADD3-293253EC6DA8}" type="parTrans" cxnId="{1A50C5DE-AFFD-4C94-BC65-8E91B38C75F2}">
      <dgm:prSet/>
      <dgm:spPr/>
      <dgm:t>
        <a:bodyPr/>
        <a:lstStyle/>
        <a:p>
          <a:endParaRPr lang="en-US"/>
        </a:p>
      </dgm:t>
    </dgm:pt>
    <dgm:pt modelId="{03032918-34BC-4697-B455-5D7796523CAA}" type="sibTrans" cxnId="{1A50C5DE-AFFD-4C94-BC65-8E91B38C75F2}">
      <dgm:prSet/>
      <dgm:spPr/>
      <dgm:t>
        <a:bodyPr/>
        <a:lstStyle/>
        <a:p>
          <a:endParaRPr lang="en-US"/>
        </a:p>
      </dgm:t>
    </dgm:pt>
    <dgm:pt modelId="{15F3AC31-367C-49AB-9DF7-CF98F0750699}" type="pres">
      <dgm:prSet presAssocID="{2BF0891F-1952-40EC-8FFA-E2E1B1831C21}" presName="cycle" presStyleCnt="0">
        <dgm:presLayoutVars>
          <dgm:chMax val="1"/>
          <dgm:dir/>
          <dgm:animLvl val="ctr"/>
          <dgm:resizeHandles val="exact"/>
        </dgm:presLayoutVars>
      </dgm:prSet>
      <dgm:spPr/>
      <dgm:t>
        <a:bodyPr/>
        <a:lstStyle/>
        <a:p>
          <a:endParaRPr lang="en-US"/>
        </a:p>
      </dgm:t>
    </dgm:pt>
    <dgm:pt modelId="{958DE704-4C0E-4F5A-9A69-B76AFE8C6832}" type="pres">
      <dgm:prSet presAssocID="{DE158F39-FF2A-4235-B742-9F2ED6C98417}" presName="centerShape" presStyleLbl="node0" presStyleIdx="0" presStyleCnt="1" custScaleX="184361" custLinFactNeighborX="-2717" custLinFactNeighborY="-6793"/>
      <dgm:spPr/>
      <dgm:t>
        <a:bodyPr/>
        <a:lstStyle/>
        <a:p>
          <a:endParaRPr lang="en-US"/>
        </a:p>
      </dgm:t>
    </dgm:pt>
    <dgm:pt modelId="{31F5176C-5D29-47A3-8889-489E69D38A08}" type="pres">
      <dgm:prSet presAssocID="{9EABBA3B-A9C9-4878-955E-D6D19194C5E8}" presName="Name9" presStyleLbl="parChTrans1D2" presStyleIdx="0" presStyleCnt="2"/>
      <dgm:spPr/>
      <dgm:t>
        <a:bodyPr/>
        <a:lstStyle/>
        <a:p>
          <a:endParaRPr lang="en-US"/>
        </a:p>
      </dgm:t>
    </dgm:pt>
    <dgm:pt modelId="{98B74B41-8B63-49C5-B568-8C0A37B188EC}" type="pres">
      <dgm:prSet presAssocID="{9EABBA3B-A9C9-4878-955E-D6D19194C5E8}" presName="connTx" presStyleLbl="parChTrans1D2" presStyleIdx="0" presStyleCnt="2"/>
      <dgm:spPr/>
      <dgm:t>
        <a:bodyPr/>
        <a:lstStyle/>
        <a:p>
          <a:endParaRPr lang="en-US"/>
        </a:p>
      </dgm:t>
    </dgm:pt>
    <dgm:pt modelId="{351D6C3B-C941-455F-85C0-E24D611A1B90}" type="pres">
      <dgm:prSet presAssocID="{2363F7B3-9C4F-472A-B3B1-3FDBE63717BF}" presName="node" presStyleLbl="node1" presStyleIdx="0" presStyleCnt="2" custScaleX="188685" custRadScaleRad="178166" custRadScaleInc="94688">
        <dgm:presLayoutVars>
          <dgm:bulletEnabled val="1"/>
        </dgm:presLayoutVars>
      </dgm:prSet>
      <dgm:spPr/>
      <dgm:t>
        <a:bodyPr/>
        <a:lstStyle/>
        <a:p>
          <a:endParaRPr lang="en-US"/>
        </a:p>
      </dgm:t>
    </dgm:pt>
    <dgm:pt modelId="{9396C4B3-9963-4B66-B19F-6D8323676714}" type="pres">
      <dgm:prSet presAssocID="{8F311D7D-89D7-47F5-ADD3-293253EC6DA8}" presName="Name9" presStyleLbl="parChTrans1D2" presStyleIdx="1" presStyleCnt="2"/>
      <dgm:spPr/>
      <dgm:t>
        <a:bodyPr/>
        <a:lstStyle/>
        <a:p>
          <a:endParaRPr lang="en-US"/>
        </a:p>
      </dgm:t>
    </dgm:pt>
    <dgm:pt modelId="{62B9E22D-932A-4294-AD31-6F8DC6895521}" type="pres">
      <dgm:prSet presAssocID="{8F311D7D-89D7-47F5-ADD3-293253EC6DA8}" presName="connTx" presStyleLbl="parChTrans1D2" presStyleIdx="1" presStyleCnt="2"/>
      <dgm:spPr/>
      <dgm:t>
        <a:bodyPr/>
        <a:lstStyle/>
        <a:p>
          <a:endParaRPr lang="en-US"/>
        </a:p>
      </dgm:t>
    </dgm:pt>
    <dgm:pt modelId="{626A8EF2-597E-4717-A75A-8475124422D6}" type="pres">
      <dgm:prSet presAssocID="{8DF4B5E7-89B8-4B56-8FBF-17CA725A6C72}" presName="node" presStyleLbl="node1" presStyleIdx="1" presStyleCnt="2" custScaleX="188138" custRadScaleRad="201115" custRadScaleInc="103904">
        <dgm:presLayoutVars>
          <dgm:bulletEnabled val="1"/>
        </dgm:presLayoutVars>
      </dgm:prSet>
      <dgm:spPr/>
      <dgm:t>
        <a:bodyPr/>
        <a:lstStyle/>
        <a:p>
          <a:endParaRPr lang="en-US"/>
        </a:p>
      </dgm:t>
    </dgm:pt>
  </dgm:ptLst>
  <dgm:cxnLst>
    <dgm:cxn modelId="{9995B62F-2B77-4C0F-AC1F-9C1B151CE7D3}" type="presOf" srcId="{8F311D7D-89D7-47F5-ADD3-293253EC6DA8}" destId="{62B9E22D-932A-4294-AD31-6F8DC6895521}" srcOrd="1" destOrd="0" presId="urn:microsoft.com/office/officeart/2005/8/layout/radial1"/>
    <dgm:cxn modelId="{A75419C4-1590-4861-AD2D-21B4C8DBF943}" type="presOf" srcId="{8DF4B5E7-89B8-4B56-8FBF-17CA725A6C72}" destId="{626A8EF2-597E-4717-A75A-8475124422D6}" srcOrd="0" destOrd="0" presId="urn:microsoft.com/office/officeart/2005/8/layout/radial1"/>
    <dgm:cxn modelId="{43E8CE9C-D955-41D2-869E-051BD62A89F5}" type="presOf" srcId="{9EABBA3B-A9C9-4878-955E-D6D19194C5E8}" destId="{98B74B41-8B63-49C5-B568-8C0A37B188EC}" srcOrd="1" destOrd="0" presId="urn:microsoft.com/office/officeart/2005/8/layout/radial1"/>
    <dgm:cxn modelId="{3D22996E-EC75-4AA5-9143-9183AADE6260}" srcId="{DE158F39-FF2A-4235-B742-9F2ED6C98417}" destId="{2363F7B3-9C4F-472A-B3B1-3FDBE63717BF}" srcOrd="0" destOrd="0" parTransId="{9EABBA3B-A9C9-4878-955E-D6D19194C5E8}" sibTransId="{8195D275-E1DB-4630-8801-4CE02D41A2E0}"/>
    <dgm:cxn modelId="{3D2F306C-8E8C-46F5-9C7C-4FB3AC65278B}" type="presOf" srcId="{2363F7B3-9C4F-472A-B3B1-3FDBE63717BF}" destId="{351D6C3B-C941-455F-85C0-E24D611A1B90}" srcOrd="0" destOrd="0" presId="urn:microsoft.com/office/officeart/2005/8/layout/radial1"/>
    <dgm:cxn modelId="{25B166EB-FD26-4BAB-A011-246ECCCA4F6D}" type="presOf" srcId="{8F311D7D-89D7-47F5-ADD3-293253EC6DA8}" destId="{9396C4B3-9963-4B66-B19F-6D8323676714}" srcOrd="0" destOrd="0" presId="urn:microsoft.com/office/officeart/2005/8/layout/radial1"/>
    <dgm:cxn modelId="{0E67C56F-9601-4F3B-A152-A2B0F6AF1B1B}" type="presOf" srcId="{2BF0891F-1952-40EC-8FFA-E2E1B1831C21}" destId="{15F3AC31-367C-49AB-9DF7-CF98F0750699}" srcOrd="0" destOrd="0" presId="urn:microsoft.com/office/officeart/2005/8/layout/radial1"/>
    <dgm:cxn modelId="{1A50C5DE-AFFD-4C94-BC65-8E91B38C75F2}" srcId="{DE158F39-FF2A-4235-B742-9F2ED6C98417}" destId="{8DF4B5E7-89B8-4B56-8FBF-17CA725A6C72}" srcOrd="1" destOrd="0" parTransId="{8F311D7D-89D7-47F5-ADD3-293253EC6DA8}" sibTransId="{03032918-34BC-4697-B455-5D7796523CAA}"/>
    <dgm:cxn modelId="{A105B619-23DB-4F56-85DB-E0CF30EBEC2E}" srcId="{2BF0891F-1952-40EC-8FFA-E2E1B1831C21}" destId="{DE158F39-FF2A-4235-B742-9F2ED6C98417}" srcOrd="0" destOrd="0" parTransId="{F261E8A2-FD4F-4C26-A9F8-8B19CDB25DE7}" sibTransId="{3D85A16D-B424-47C5-8E4A-4AA86174B015}"/>
    <dgm:cxn modelId="{73D5E706-1E39-478B-8CA8-407577E86D54}" type="presOf" srcId="{9EABBA3B-A9C9-4878-955E-D6D19194C5E8}" destId="{31F5176C-5D29-47A3-8889-489E69D38A08}" srcOrd="0" destOrd="0" presId="urn:microsoft.com/office/officeart/2005/8/layout/radial1"/>
    <dgm:cxn modelId="{E6682C5B-FEA0-41F5-9871-FB11F7DC5AC3}" type="presOf" srcId="{DE158F39-FF2A-4235-B742-9F2ED6C98417}" destId="{958DE704-4C0E-4F5A-9A69-B76AFE8C6832}" srcOrd="0" destOrd="0" presId="urn:microsoft.com/office/officeart/2005/8/layout/radial1"/>
    <dgm:cxn modelId="{665811A9-6808-4ABD-B702-B929D4791B3F}" type="presParOf" srcId="{15F3AC31-367C-49AB-9DF7-CF98F0750699}" destId="{958DE704-4C0E-4F5A-9A69-B76AFE8C6832}" srcOrd="0" destOrd="0" presId="urn:microsoft.com/office/officeart/2005/8/layout/radial1"/>
    <dgm:cxn modelId="{AB817BA9-AA1C-45AA-A4DE-BEDBAA6EEE87}" type="presParOf" srcId="{15F3AC31-367C-49AB-9DF7-CF98F0750699}" destId="{31F5176C-5D29-47A3-8889-489E69D38A08}" srcOrd="1" destOrd="0" presId="urn:microsoft.com/office/officeart/2005/8/layout/radial1"/>
    <dgm:cxn modelId="{FA710CE3-F022-4111-9430-AA3DE6989993}" type="presParOf" srcId="{31F5176C-5D29-47A3-8889-489E69D38A08}" destId="{98B74B41-8B63-49C5-B568-8C0A37B188EC}" srcOrd="0" destOrd="0" presId="urn:microsoft.com/office/officeart/2005/8/layout/radial1"/>
    <dgm:cxn modelId="{3AA87EB8-323B-45F6-B625-95E50EBF85F4}" type="presParOf" srcId="{15F3AC31-367C-49AB-9DF7-CF98F0750699}" destId="{351D6C3B-C941-455F-85C0-E24D611A1B90}" srcOrd="2" destOrd="0" presId="urn:microsoft.com/office/officeart/2005/8/layout/radial1"/>
    <dgm:cxn modelId="{366B37E4-8E6E-4F0E-B2DB-8CDBF9BC1280}" type="presParOf" srcId="{15F3AC31-367C-49AB-9DF7-CF98F0750699}" destId="{9396C4B3-9963-4B66-B19F-6D8323676714}" srcOrd="3" destOrd="0" presId="urn:microsoft.com/office/officeart/2005/8/layout/radial1"/>
    <dgm:cxn modelId="{D995F6F0-CA3D-4DAA-BFEF-7E54E14F74E2}" type="presParOf" srcId="{9396C4B3-9963-4B66-B19F-6D8323676714}" destId="{62B9E22D-932A-4294-AD31-6F8DC6895521}" srcOrd="0" destOrd="0" presId="urn:microsoft.com/office/officeart/2005/8/layout/radial1"/>
    <dgm:cxn modelId="{54552907-145E-43F7-9942-B8827522DF3A}" type="presParOf" srcId="{15F3AC31-367C-49AB-9DF7-CF98F0750699}" destId="{626A8EF2-597E-4717-A75A-8475124422D6}" srcOrd="4" destOrd="0" presId="urn:microsoft.com/office/officeart/2005/8/layout/radial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E585DED-DE93-40EE-949D-540DD129CDA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712D7D44-F695-4804-B2C3-234D91B511A5}">
      <dgm:prSet phldrT="[Текст]"/>
      <dgm:spPr/>
      <dgm:t>
        <a:bodyPr/>
        <a:lstStyle/>
        <a:p>
          <a:r>
            <a:rPr lang="ru-RU"/>
            <a:t>Вік</a:t>
          </a:r>
        </a:p>
      </dgm:t>
    </dgm:pt>
    <dgm:pt modelId="{74DF42A8-7F70-4DED-B9BA-A9C63642DD68}" type="parTrans" cxnId="{280E6F8F-7B39-41FC-96DD-E57668966DC6}">
      <dgm:prSet/>
      <dgm:spPr/>
      <dgm:t>
        <a:bodyPr/>
        <a:lstStyle/>
        <a:p>
          <a:endParaRPr lang="ru-RU"/>
        </a:p>
      </dgm:t>
    </dgm:pt>
    <dgm:pt modelId="{C4D34E03-F207-4347-95E9-28AEF23C7BC7}" type="sibTrans" cxnId="{280E6F8F-7B39-41FC-96DD-E57668966DC6}">
      <dgm:prSet/>
      <dgm:spPr/>
      <dgm:t>
        <a:bodyPr/>
        <a:lstStyle/>
        <a:p>
          <a:endParaRPr lang="ru-RU"/>
        </a:p>
      </dgm:t>
    </dgm:pt>
    <dgm:pt modelId="{EF401353-0DE9-478A-842D-49D605FD4AED}">
      <dgm:prSet phldrT="[Текст]"/>
      <dgm:spPr/>
      <dgm:t>
        <a:bodyPr/>
        <a:lstStyle/>
        <a:p>
          <a:r>
            <a:rPr lang="ru-RU"/>
            <a:t>Галектин-3</a:t>
          </a:r>
        </a:p>
      </dgm:t>
    </dgm:pt>
    <dgm:pt modelId="{021EFD07-CFF0-49D3-841F-B9B133069F65}" type="parTrans" cxnId="{4E26DB57-DB43-4DD0-9147-355C04507B6A}">
      <dgm:prSet/>
      <dgm:spPr>
        <a:ln>
          <a:noFill/>
        </a:ln>
      </dgm:spPr>
      <dgm:t>
        <a:bodyPr/>
        <a:lstStyle/>
        <a:p>
          <a:endParaRPr lang="ru-RU"/>
        </a:p>
      </dgm:t>
    </dgm:pt>
    <dgm:pt modelId="{A58772AC-6D18-47E8-B0E3-03D0E3C59868}" type="sibTrans" cxnId="{4E26DB57-DB43-4DD0-9147-355C04507B6A}">
      <dgm:prSet/>
      <dgm:spPr/>
      <dgm:t>
        <a:bodyPr/>
        <a:lstStyle/>
        <a:p>
          <a:endParaRPr lang="ru-RU"/>
        </a:p>
      </dgm:t>
    </dgm:pt>
    <dgm:pt modelId="{5B234427-C877-4241-8A4E-8530363DB830}">
      <dgm:prSet phldrT="[Текст]"/>
      <dgm:spPr/>
      <dgm:t>
        <a:bodyPr/>
        <a:lstStyle/>
        <a:p>
          <a:r>
            <a:rPr lang="ru-RU"/>
            <a:t>Вітронектин</a:t>
          </a:r>
        </a:p>
      </dgm:t>
    </dgm:pt>
    <dgm:pt modelId="{61E7412B-5DAF-413F-873F-9B2D1A708E61}" type="parTrans" cxnId="{5EECCF24-7700-426E-893B-6ABF6AF86FA2}">
      <dgm:prSet/>
      <dgm:spPr/>
      <dgm:t>
        <a:bodyPr/>
        <a:lstStyle/>
        <a:p>
          <a:endParaRPr lang="ru-RU"/>
        </a:p>
      </dgm:t>
    </dgm:pt>
    <dgm:pt modelId="{94770857-6617-4675-B951-D259F60778C0}" type="sibTrans" cxnId="{5EECCF24-7700-426E-893B-6ABF6AF86FA2}">
      <dgm:prSet/>
      <dgm:spPr/>
      <dgm:t>
        <a:bodyPr/>
        <a:lstStyle/>
        <a:p>
          <a:endParaRPr lang="ru-RU"/>
        </a:p>
      </dgm:t>
    </dgm:pt>
    <dgm:pt modelId="{B04D645D-FBB8-4828-8070-7C1330C6C685}" type="pres">
      <dgm:prSet presAssocID="{2E585DED-DE93-40EE-949D-540DD129CDA7}" presName="cycle" presStyleCnt="0">
        <dgm:presLayoutVars>
          <dgm:chMax val="1"/>
          <dgm:dir/>
          <dgm:animLvl val="ctr"/>
          <dgm:resizeHandles val="exact"/>
        </dgm:presLayoutVars>
      </dgm:prSet>
      <dgm:spPr/>
      <dgm:t>
        <a:bodyPr/>
        <a:lstStyle/>
        <a:p>
          <a:endParaRPr lang="en-US"/>
        </a:p>
      </dgm:t>
    </dgm:pt>
    <dgm:pt modelId="{9A87186E-808C-4AAC-B029-9BE298EAC299}" type="pres">
      <dgm:prSet presAssocID="{712D7D44-F695-4804-B2C3-234D91B511A5}" presName="centerShape" presStyleLbl="node0" presStyleIdx="0" presStyleCnt="1" custScaleX="200799" custScaleY="96988" custLinFactNeighborX="1740" custLinFactNeighborY="-25511"/>
      <dgm:spPr/>
      <dgm:t>
        <a:bodyPr/>
        <a:lstStyle/>
        <a:p>
          <a:endParaRPr lang="ru-RU"/>
        </a:p>
      </dgm:t>
    </dgm:pt>
    <dgm:pt modelId="{301B699D-809B-42FF-9DAB-CADF171A73E0}" type="pres">
      <dgm:prSet presAssocID="{021EFD07-CFF0-49D3-841F-B9B133069F65}" presName="Name9" presStyleLbl="parChTrans1D2" presStyleIdx="0" presStyleCnt="2"/>
      <dgm:spPr/>
      <dgm:t>
        <a:bodyPr/>
        <a:lstStyle/>
        <a:p>
          <a:endParaRPr lang="en-US"/>
        </a:p>
      </dgm:t>
    </dgm:pt>
    <dgm:pt modelId="{23B6288E-E97C-4ADC-AE88-B3F5113A1B99}" type="pres">
      <dgm:prSet presAssocID="{021EFD07-CFF0-49D3-841F-B9B133069F65}" presName="connTx" presStyleLbl="parChTrans1D2" presStyleIdx="0" presStyleCnt="2"/>
      <dgm:spPr/>
      <dgm:t>
        <a:bodyPr/>
        <a:lstStyle/>
        <a:p>
          <a:endParaRPr lang="en-US"/>
        </a:p>
      </dgm:t>
    </dgm:pt>
    <dgm:pt modelId="{6E54ECB0-002B-4A9F-8142-12C25C77B99E}" type="pres">
      <dgm:prSet presAssocID="{EF401353-0DE9-478A-842D-49D605FD4AED}" presName="node" presStyleLbl="node1" presStyleIdx="0" presStyleCnt="2" custScaleX="203413" custScaleY="182762" custRadScaleRad="272455" custRadScaleInc="-88079">
        <dgm:presLayoutVars>
          <dgm:bulletEnabled val="1"/>
        </dgm:presLayoutVars>
      </dgm:prSet>
      <dgm:spPr/>
      <dgm:t>
        <a:bodyPr/>
        <a:lstStyle/>
        <a:p>
          <a:endParaRPr lang="en-US"/>
        </a:p>
      </dgm:t>
    </dgm:pt>
    <dgm:pt modelId="{D658A18B-CA66-4F7D-8486-6B295B6D1208}" type="pres">
      <dgm:prSet presAssocID="{61E7412B-5DAF-413F-873F-9B2D1A708E61}" presName="Name9" presStyleLbl="parChTrans1D2" presStyleIdx="1" presStyleCnt="2"/>
      <dgm:spPr/>
      <dgm:t>
        <a:bodyPr/>
        <a:lstStyle/>
        <a:p>
          <a:endParaRPr lang="en-US"/>
        </a:p>
      </dgm:t>
    </dgm:pt>
    <dgm:pt modelId="{A48063B4-5444-42C9-A02E-AB7370506FB0}" type="pres">
      <dgm:prSet presAssocID="{61E7412B-5DAF-413F-873F-9B2D1A708E61}" presName="connTx" presStyleLbl="parChTrans1D2" presStyleIdx="1" presStyleCnt="2"/>
      <dgm:spPr/>
      <dgm:t>
        <a:bodyPr/>
        <a:lstStyle/>
        <a:p>
          <a:endParaRPr lang="en-US"/>
        </a:p>
      </dgm:t>
    </dgm:pt>
    <dgm:pt modelId="{990594D8-855D-4B2C-A3AB-D9CC16CA2AC4}" type="pres">
      <dgm:prSet presAssocID="{5B234427-C877-4241-8A4E-8530363DB830}" presName="node" presStyleLbl="node1" presStyleIdx="1" presStyleCnt="2" custScaleX="215683" custScaleY="184883" custRadScaleRad="272636" custRadScaleInc="-111921">
        <dgm:presLayoutVars>
          <dgm:bulletEnabled val="1"/>
        </dgm:presLayoutVars>
      </dgm:prSet>
      <dgm:spPr/>
      <dgm:t>
        <a:bodyPr/>
        <a:lstStyle/>
        <a:p>
          <a:endParaRPr lang="en-US"/>
        </a:p>
      </dgm:t>
    </dgm:pt>
  </dgm:ptLst>
  <dgm:cxnLst>
    <dgm:cxn modelId="{280E6F8F-7B39-41FC-96DD-E57668966DC6}" srcId="{2E585DED-DE93-40EE-949D-540DD129CDA7}" destId="{712D7D44-F695-4804-B2C3-234D91B511A5}" srcOrd="0" destOrd="0" parTransId="{74DF42A8-7F70-4DED-B9BA-A9C63642DD68}" sibTransId="{C4D34E03-F207-4347-95E9-28AEF23C7BC7}"/>
    <dgm:cxn modelId="{3F937A4E-253D-4B07-8C8B-181D2A1B0BF8}" type="presOf" srcId="{2E585DED-DE93-40EE-949D-540DD129CDA7}" destId="{B04D645D-FBB8-4828-8070-7C1330C6C685}" srcOrd="0" destOrd="0" presId="urn:microsoft.com/office/officeart/2005/8/layout/radial1"/>
    <dgm:cxn modelId="{A2F24100-17EE-4372-8250-B82336A0A581}" type="presOf" srcId="{EF401353-0DE9-478A-842D-49D605FD4AED}" destId="{6E54ECB0-002B-4A9F-8142-12C25C77B99E}" srcOrd="0" destOrd="0" presId="urn:microsoft.com/office/officeart/2005/8/layout/radial1"/>
    <dgm:cxn modelId="{2A989F68-5272-4B11-A679-A385A6DF77D5}" type="presOf" srcId="{021EFD07-CFF0-49D3-841F-B9B133069F65}" destId="{23B6288E-E97C-4ADC-AE88-B3F5113A1B99}" srcOrd="1" destOrd="0" presId="urn:microsoft.com/office/officeart/2005/8/layout/radial1"/>
    <dgm:cxn modelId="{F877EB92-7780-4A83-B644-489FF4C65076}" type="presOf" srcId="{5B234427-C877-4241-8A4E-8530363DB830}" destId="{990594D8-855D-4B2C-A3AB-D9CC16CA2AC4}" srcOrd="0" destOrd="0" presId="urn:microsoft.com/office/officeart/2005/8/layout/radial1"/>
    <dgm:cxn modelId="{0720FA3C-55DC-4E26-8CE5-F94BF84D2B54}" type="presOf" srcId="{021EFD07-CFF0-49D3-841F-B9B133069F65}" destId="{301B699D-809B-42FF-9DAB-CADF171A73E0}" srcOrd="0" destOrd="0" presId="urn:microsoft.com/office/officeart/2005/8/layout/radial1"/>
    <dgm:cxn modelId="{B95DAC8E-5E79-40FC-8D61-85D560EB5AFC}" type="presOf" srcId="{61E7412B-5DAF-413F-873F-9B2D1A708E61}" destId="{D658A18B-CA66-4F7D-8486-6B295B6D1208}" srcOrd="0" destOrd="0" presId="urn:microsoft.com/office/officeart/2005/8/layout/radial1"/>
    <dgm:cxn modelId="{D9074DFD-2191-4ACC-A0E5-3D1EDB4A4E79}" type="presOf" srcId="{61E7412B-5DAF-413F-873F-9B2D1A708E61}" destId="{A48063B4-5444-42C9-A02E-AB7370506FB0}" srcOrd="1" destOrd="0" presId="urn:microsoft.com/office/officeart/2005/8/layout/radial1"/>
    <dgm:cxn modelId="{5EECCF24-7700-426E-893B-6ABF6AF86FA2}" srcId="{712D7D44-F695-4804-B2C3-234D91B511A5}" destId="{5B234427-C877-4241-8A4E-8530363DB830}" srcOrd="1" destOrd="0" parTransId="{61E7412B-5DAF-413F-873F-9B2D1A708E61}" sibTransId="{94770857-6617-4675-B951-D259F60778C0}"/>
    <dgm:cxn modelId="{4E26DB57-DB43-4DD0-9147-355C04507B6A}" srcId="{712D7D44-F695-4804-B2C3-234D91B511A5}" destId="{EF401353-0DE9-478A-842D-49D605FD4AED}" srcOrd="0" destOrd="0" parTransId="{021EFD07-CFF0-49D3-841F-B9B133069F65}" sibTransId="{A58772AC-6D18-47E8-B0E3-03D0E3C59868}"/>
    <dgm:cxn modelId="{145EF812-C788-468C-840A-C2A504D4202D}" type="presOf" srcId="{712D7D44-F695-4804-B2C3-234D91B511A5}" destId="{9A87186E-808C-4AAC-B029-9BE298EAC299}" srcOrd="0" destOrd="0" presId="urn:microsoft.com/office/officeart/2005/8/layout/radial1"/>
    <dgm:cxn modelId="{A70DFB5A-4CEA-42BC-8695-F4309D945154}" type="presParOf" srcId="{B04D645D-FBB8-4828-8070-7C1330C6C685}" destId="{9A87186E-808C-4AAC-B029-9BE298EAC299}" srcOrd="0" destOrd="0" presId="urn:microsoft.com/office/officeart/2005/8/layout/radial1"/>
    <dgm:cxn modelId="{35CBEEB8-595B-49B8-AE5F-4B596F807899}" type="presParOf" srcId="{B04D645D-FBB8-4828-8070-7C1330C6C685}" destId="{301B699D-809B-42FF-9DAB-CADF171A73E0}" srcOrd="1" destOrd="0" presId="urn:microsoft.com/office/officeart/2005/8/layout/radial1"/>
    <dgm:cxn modelId="{A3A9D693-74A5-4C48-8C03-C43FCE998932}" type="presParOf" srcId="{301B699D-809B-42FF-9DAB-CADF171A73E0}" destId="{23B6288E-E97C-4ADC-AE88-B3F5113A1B99}" srcOrd="0" destOrd="0" presId="urn:microsoft.com/office/officeart/2005/8/layout/radial1"/>
    <dgm:cxn modelId="{CC283336-F94B-43C2-81C7-B73FE2C6DBBE}" type="presParOf" srcId="{B04D645D-FBB8-4828-8070-7C1330C6C685}" destId="{6E54ECB0-002B-4A9F-8142-12C25C77B99E}" srcOrd="2" destOrd="0" presId="urn:microsoft.com/office/officeart/2005/8/layout/radial1"/>
    <dgm:cxn modelId="{EC575F2B-49FE-4DC1-9248-3703871FA358}" type="presParOf" srcId="{B04D645D-FBB8-4828-8070-7C1330C6C685}" destId="{D658A18B-CA66-4F7D-8486-6B295B6D1208}" srcOrd="3" destOrd="0" presId="urn:microsoft.com/office/officeart/2005/8/layout/radial1"/>
    <dgm:cxn modelId="{079848FB-9A79-4DFE-9731-7162EA2BCCD4}" type="presParOf" srcId="{D658A18B-CA66-4F7D-8486-6B295B6D1208}" destId="{A48063B4-5444-42C9-A02E-AB7370506FB0}" srcOrd="0" destOrd="0" presId="urn:microsoft.com/office/officeart/2005/8/layout/radial1"/>
    <dgm:cxn modelId="{E661EB4B-D486-498C-94A6-B03AAEBAB45F}" type="presParOf" srcId="{B04D645D-FBB8-4828-8070-7C1330C6C685}" destId="{990594D8-855D-4B2C-A3AB-D9CC16CA2AC4}" srcOrd="4" destOrd="0" presId="urn:microsoft.com/office/officeart/2005/8/layout/radial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E49029-DADE-4CF8-9DCF-0BB497F98C67}">
      <dsp:nvSpPr>
        <dsp:cNvPr id="0" name=""/>
        <dsp:cNvSpPr/>
      </dsp:nvSpPr>
      <dsp:spPr>
        <a:xfrm>
          <a:off x="2171923" y="1764"/>
          <a:ext cx="1142553" cy="742659"/>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Вітронектин</a:t>
          </a:r>
        </a:p>
      </dsp:txBody>
      <dsp:txXfrm>
        <a:off x="2208177" y="38018"/>
        <a:ext cx="1070045" cy="670151"/>
      </dsp:txXfrm>
    </dsp:sp>
    <dsp:sp modelId="{32399F3A-E69B-4010-911B-B5FFD47E061A}">
      <dsp:nvSpPr>
        <dsp:cNvPr id="0" name=""/>
        <dsp:cNvSpPr/>
      </dsp:nvSpPr>
      <dsp:spPr>
        <a:xfrm>
          <a:off x="1516093" y="373093"/>
          <a:ext cx="2454212" cy="2454212"/>
        </a:xfrm>
        <a:custGeom>
          <a:avLst/>
          <a:gdLst/>
          <a:ahLst/>
          <a:cxnLst/>
          <a:rect l="0" t="0" r="0" b="0"/>
          <a:pathLst>
            <a:path>
              <a:moveTo>
                <a:pt x="1806615" y="145459"/>
              </a:moveTo>
              <a:arcTo wR="1227106" hR="1227106" stAng="17890853"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2C2DE4-B49B-4240-AC26-C25E7E627A72}">
      <dsp:nvSpPr>
        <dsp:cNvPr id="0" name=""/>
        <dsp:cNvSpPr/>
      </dsp:nvSpPr>
      <dsp:spPr>
        <a:xfrm>
          <a:off x="3399029" y="1228870"/>
          <a:ext cx="1142553" cy="742659"/>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ОТ</a:t>
          </a:r>
          <a:endParaRPr lang="ru-RU" sz="1400" kern="1200"/>
        </a:p>
      </dsp:txBody>
      <dsp:txXfrm>
        <a:off x="3435283" y="1265124"/>
        <a:ext cx="1070045" cy="670151"/>
      </dsp:txXfrm>
    </dsp:sp>
    <dsp:sp modelId="{73C37A82-7437-4370-B6F1-DAB5B4340507}">
      <dsp:nvSpPr>
        <dsp:cNvPr id="0" name=""/>
        <dsp:cNvSpPr/>
      </dsp:nvSpPr>
      <dsp:spPr>
        <a:xfrm>
          <a:off x="1516093" y="373093"/>
          <a:ext cx="2454212" cy="2454212"/>
        </a:xfrm>
        <a:custGeom>
          <a:avLst/>
          <a:gdLst/>
          <a:ahLst/>
          <a:cxnLst/>
          <a:rect l="0" t="0" r="0" b="0"/>
          <a:pathLst>
            <a:path>
              <a:moveTo>
                <a:pt x="2393825" y="1607308"/>
              </a:moveTo>
              <a:arcTo wR="1227106" hR="1227106" stAng="1082964"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EA3F8B-3210-47B0-8EF6-FCDD85A53A06}">
      <dsp:nvSpPr>
        <dsp:cNvPr id="0" name=""/>
        <dsp:cNvSpPr/>
      </dsp:nvSpPr>
      <dsp:spPr>
        <a:xfrm>
          <a:off x="2171923" y="2455976"/>
          <a:ext cx="1142553" cy="742659"/>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Галектин-3</a:t>
          </a:r>
          <a:endParaRPr lang="ru-RU" sz="1400" kern="1200"/>
        </a:p>
      </dsp:txBody>
      <dsp:txXfrm>
        <a:off x="2208177" y="2492230"/>
        <a:ext cx="1070045" cy="670151"/>
      </dsp:txXfrm>
    </dsp:sp>
    <dsp:sp modelId="{33169181-B56C-4ED7-8FE1-88174E2FE6BD}">
      <dsp:nvSpPr>
        <dsp:cNvPr id="0" name=""/>
        <dsp:cNvSpPr/>
      </dsp:nvSpPr>
      <dsp:spPr>
        <a:xfrm>
          <a:off x="1516093" y="373093"/>
          <a:ext cx="2454212" cy="2454212"/>
        </a:xfrm>
        <a:custGeom>
          <a:avLst/>
          <a:gdLst/>
          <a:ahLst/>
          <a:cxnLst/>
          <a:rect l="0" t="0" r="0" b="0"/>
          <a:pathLst>
            <a:path>
              <a:moveTo>
                <a:pt x="647596" y="2308752"/>
              </a:moveTo>
              <a:arcTo wR="1227106" hR="1227106" stAng="7090853"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BE629B-5173-4A83-8FD5-313FAF754D58}">
      <dsp:nvSpPr>
        <dsp:cNvPr id="0" name=""/>
        <dsp:cNvSpPr/>
      </dsp:nvSpPr>
      <dsp:spPr>
        <a:xfrm>
          <a:off x="944817" y="1228870"/>
          <a:ext cx="1142553" cy="742659"/>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ІМТ</a:t>
          </a:r>
          <a:endParaRPr lang="ru-RU" sz="1400" kern="1200"/>
        </a:p>
      </dsp:txBody>
      <dsp:txXfrm>
        <a:off x="981071" y="1265124"/>
        <a:ext cx="1070045" cy="670151"/>
      </dsp:txXfrm>
    </dsp:sp>
    <dsp:sp modelId="{27C7561E-0810-488E-9BF6-12C8E9E4B007}">
      <dsp:nvSpPr>
        <dsp:cNvPr id="0" name=""/>
        <dsp:cNvSpPr/>
      </dsp:nvSpPr>
      <dsp:spPr>
        <a:xfrm>
          <a:off x="1516093" y="373093"/>
          <a:ext cx="2454212" cy="2454212"/>
        </a:xfrm>
        <a:custGeom>
          <a:avLst/>
          <a:gdLst/>
          <a:ahLst/>
          <a:cxnLst/>
          <a:rect l="0" t="0" r="0" b="0"/>
          <a:pathLst>
            <a:path>
              <a:moveTo>
                <a:pt x="60386" y="846903"/>
              </a:moveTo>
              <a:arcTo wR="1227106" hR="1227106" stAng="11882964"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FB689F-7275-4ED8-BDC0-CD033C204A38}">
      <dsp:nvSpPr>
        <dsp:cNvPr id="0" name=""/>
        <dsp:cNvSpPr/>
      </dsp:nvSpPr>
      <dsp:spPr>
        <a:xfrm>
          <a:off x="1750429" y="1156171"/>
          <a:ext cx="1981504"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kern="1200"/>
            <a:t>Галектин-3</a:t>
          </a:r>
        </a:p>
      </dsp:txBody>
      <dsp:txXfrm>
        <a:off x="2040614" y="1286224"/>
        <a:ext cx="1401134" cy="627951"/>
      </dsp:txXfrm>
    </dsp:sp>
    <dsp:sp modelId="{D812D0CB-3961-4DBF-8A9B-A35992970F74}">
      <dsp:nvSpPr>
        <dsp:cNvPr id="0" name=""/>
        <dsp:cNvSpPr/>
      </dsp:nvSpPr>
      <dsp:spPr>
        <a:xfrm rot="16200000">
          <a:off x="2607922" y="1008343"/>
          <a:ext cx="266519" cy="29135"/>
        </a:xfrm>
        <a:custGeom>
          <a:avLst/>
          <a:gdLst/>
          <a:ahLst/>
          <a:cxnLst/>
          <a:rect l="0" t="0" r="0" b="0"/>
          <a:pathLst>
            <a:path>
              <a:moveTo>
                <a:pt x="0" y="14567"/>
              </a:moveTo>
              <a:lnTo>
                <a:pt x="266519" y="14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4518" y="1016248"/>
        <a:ext cx="13325" cy="13325"/>
      </dsp:txXfrm>
    </dsp:sp>
    <dsp:sp modelId="{691F22A9-CDD1-483F-A113-4021D38D9ED7}">
      <dsp:nvSpPr>
        <dsp:cNvPr id="0" name=""/>
        <dsp:cNvSpPr/>
      </dsp:nvSpPr>
      <dsp:spPr>
        <a:xfrm>
          <a:off x="2043754" y="1594"/>
          <a:ext cx="1394854" cy="88805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ЛПНЩ</a:t>
          </a:r>
        </a:p>
      </dsp:txBody>
      <dsp:txXfrm>
        <a:off x="2248026" y="131647"/>
        <a:ext cx="986310" cy="627951"/>
      </dsp:txXfrm>
    </dsp:sp>
    <dsp:sp modelId="{755A2CD9-047B-4537-8FA7-B76EDE1A1D8B}">
      <dsp:nvSpPr>
        <dsp:cNvPr id="0" name=""/>
        <dsp:cNvSpPr/>
      </dsp:nvSpPr>
      <dsp:spPr>
        <a:xfrm rot="21565494">
          <a:off x="3731673" y="1573271"/>
          <a:ext cx="481815" cy="29135"/>
        </a:xfrm>
        <a:custGeom>
          <a:avLst/>
          <a:gdLst/>
          <a:ahLst/>
          <a:cxnLst/>
          <a:rect l="0" t="0" r="0" b="0"/>
          <a:pathLst>
            <a:path>
              <a:moveTo>
                <a:pt x="0" y="14567"/>
              </a:moveTo>
              <a:lnTo>
                <a:pt x="481815" y="14567"/>
              </a:lnTo>
            </a:path>
          </a:pathLst>
        </a:custGeom>
        <a:noFill/>
        <a:ln w="25400" cap="flat" cmpd="sng" algn="ctr">
          <a:solidFill>
            <a:schemeClr val="accent2"/>
          </a:solidFill>
          <a:prstDash val="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60535" y="1575794"/>
        <a:ext cx="24090" cy="24090"/>
      </dsp:txXfrm>
    </dsp:sp>
    <dsp:sp modelId="{C003B682-7B72-4378-A56F-B296B21337DA}">
      <dsp:nvSpPr>
        <dsp:cNvPr id="0" name=""/>
        <dsp:cNvSpPr/>
      </dsp:nvSpPr>
      <dsp:spPr>
        <a:xfrm>
          <a:off x="4213425" y="1135507"/>
          <a:ext cx="1172804" cy="88805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ЛПВЩ</a:t>
          </a:r>
        </a:p>
      </dsp:txBody>
      <dsp:txXfrm>
        <a:off x="4385178" y="1265560"/>
        <a:ext cx="829298" cy="627951"/>
      </dsp:txXfrm>
    </dsp:sp>
    <dsp:sp modelId="{924017CE-89E7-4323-964B-C5E0CFDCAF92}">
      <dsp:nvSpPr>
        <dsp:cNvPr id="0" name=""/>
        <dsp:cNvSpPr/>
      </dsp:nvSpPr>
      <dsp:spPr>
        <a:xfrm rot="5400000">
          <a:off x="2607922" y="2162920"/>
          <a:ext cx="266519" cy="29135"/>
        </a:xfrm>
        <a:custGeom>
          <a:avLst/>
          <a:gdLst/>
          <a:ahLst/>
          <a:cxnLst/>
          <a:rect l="0" t="0" r="0" b="0"/>
          <a:pathLst>
            <a:path>
              <a:moveTo>
                <a:pt x="0" y="14567"/>
              </a:moveTo>
              <a:lnTo>
                <a:pt x="266519" y="14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4518" y="2170825"/>
        <a:ext cx="13325" cy="13325"/>
      </dsp:txXfrm>
    </dsp:sp>
    <dsp:sp modelId="{83B671BE-5251-45C1-97F9-59EEE43CEB73}">
      <dsp:nvSpPr>
        <dsp:cNvPr id="0" name=""/>
        <dsp:cNvSpPr/>
      </dsp:nvSpPr>
      <dsp:spPr>
        <a:xfrm>
          <a:off x="2090253" y="2310748"/>
          <a:ext cx="1301856" cy="88805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ТГ</a:t>
          </a:r>
        </a:p>
      </dsp:txBody>
      <dsp:txXfrm>
        <a:off x="2280905" y="2440801"/>
        <a:ext cx="920552" cy="627951"/>
      </dsp:txXfrm>
    </dsp:sp>
    <dsp:sp modelId="{97BA9B9E-AC13-435C-A889-97B597F9E959}">
      <dsp:nvSpPr>
        <dsp:cNvPr id="0" name=""/>
        <dsp:cNvSpPr/>
      </dsp:nvSpPr>
      <dsp:spPr>
        <a:xfrm rot="10781181">
          <a:off x="1435363" y="1591917"/>
          <a:ext cx="315142" cy="29135"/>
        </a:xfrm>
        <a:custGeom>
          <a:avLst/>
          <a:gdLst/>
          <a:ahLst/>
          <a:cxnLst/>
          <a:rect l="0" t="0" r="0" b="0"/>
          <a:pathLst>
            <a:path>
              <a:moveTo>
                <a:pt x="0" y="14567"/>
              </a:moveTo>
              <a:lnTo>
                <a:pt x="315142" y="14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85056" y="1598607"/>
        <a:ext cx="15757" cy="15757"/>
      </dsp:txXfrm>
    </dsp:sp>
    <dsp:sp modelId="{3AF2B170-92F9-4662-9FBB-D5644B46BC7B}">
      <dsp:nvSpPr>
        <dsp:cNvPr id="0" name=""/>
        <dsp:cNvSpPr/>
      </dsp:nvSpPr>
      <dsp:spPr>
        <a:xfrm>
          <a:off x="270649" y="1166507"/>
          <a:ext cx="1164731" cy="88805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ЗХС</a:t>
          </a:r>
        </a:p>
      </dsp:txBody>
      <dsp:txXfrm>
        <a:off x="441220" y="1296560"/>
        <a:ext cx="823589" cy="62795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FB689F-7275-4ED8-BDC0-CD033C204A38}">
      <dsp:nvSpPr>
        <dsp:cNvPr id="0" name=""/>
        <dsp:cNvSpPr/>
      </dsp:nvSpPr>
      <dsp:spPr>
        <a:xfrm>
          <a:off x="1864250" y="1084525"/>
          <a:ext cx="1857437" cy="8324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Вітронектин</a:t>
          </a:r>
        </a:p>
      </dsp:txBody>
      <dsp:txXfrm>
        <a:off x="2136265" y="1206435"/>
        <a:ext cx="1313407" cy="588633"/>
      </dsp:txXfrm>
    </dsp:sp>
    <dsp:sp modelId="{D812D0CB-3961-4DBF-8A9B-A35992970F74}">
      <dsp:nvSpPr>
        <dsp:cNvPr id="0" name=""/>
        <dsp:cNvSpPr/>
      </dsp:nvSpPr>
      <dsp:spPr>
        <a:xfrm rot="16200000">
          <a:off x="2667731" y="945884"/>
          <a:ext cx="250475" cy="26806"/>
        </a:xfrm>
        <a:custGeom>
          <a:avLst/>
          <a:gdLst/>
          <a:ahLst/>
          <a:cxnLst/>
          <a:rect l="0" t="0" r="0" b="0"/>
          <a:pathLst>
            <a:path>
              <a:moveTo>
                <a:pt x="0" y="13403"/>
              </a:moveTo>
              <a:lnTo>
                <a:pt x="250475" y="1340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86707" y="953025"/>
        <a:ext cx="12523" cy="12523"/>
      </dsp:txXfrm>
    </dsp:sp>
    <dsp:sp modelId="{691F22A9-CDD1-483F-A113-4021D38D9ED7}">
      <dsp:nvSpPr>
        <dsp:cNvPr id="0" name=""/>
        <dsp:cNvSpPr/>
      </dsp:nvSpPr>
      <dsp:spPr>
        <a:xfrm>
          <a:off x="2139210" y="1596"/>
          <a:ext cx="1307518" cy="83245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t>ЛПНЩ</a:t>
          </a:r>
        </a:p>
      </dsp:txBody>
      <dsp:txXfrm>
        <a:off x="2330692" y="123506"/>
        <a:ext cx="924554" cy="588633"/>
      </dsp:txXfrm>
    </dsp:sp>
    <dsp:sp modelId="{755A2CD9-047B-4537-8FA7-B76EDE1A1D8B}">
      <dsp:nvSpPr>
        <dsp:cNvPr id="0" name=""/>
        <dsp:cNvSpPr/>
      </dsp:nvSpPr>
      <dsp:spPr>
        <a:xfrm rot="21565494">
          <a:off x="3721443" y="1475756"/>
          <a:ext cx="452795" cy="26806"/>
        </a:xfrm>
        <a:custGeom>
          <a:avLst/>
          <a:gdLst/>
          <a:ahLst/>
          <a:cxnLst/>
          <a:rect l="0" t="0" r="0" b="0"/>
          <a:pathLst>
            <a:path>
              <a:moveTo>
                <a:pt x="0" y="13403"/>
              </a:moveTo>
              <a:lnTo>
                <a:pt x="452795" y="13403"/>
              </a:lnTo>
            </a:path>
          </a:pathLst>
        </a:custGeom>
        <a:noFill/>
        <a:ln w="25400" cap="flat" cmpd="sng" algn="ctr">
          <a:noFill/>
          <a:prstDash val="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36521" y="1477840"/>
        <a:ext cx="22639" cy="22639"/>
      </dsp:txXfrm>
    </dsp:sp>
    <dsp:sp modelId="{C003B682-7B72-4378-A56F-B296B21337DA}">
      <dsp:nvSpPr>
        <dsp:cNvPr id="0" name=""/>
        <dsp:cNvSpPr/>
      </dsp:nvSpPr>
      <dsp:spPr>
        <a:xfrm>
          <a:off x="4174179" y="1065143"/>
          <a:ext cx="1099371" cy="83245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ЛПВЩ</a:t>
          </a:r>
        </a:p>
      </dsp:txBody>
      <dsp:txXfrm>
        <a:off x="4335178" y="1187053"/>
        <a:ext cx="777373" cy="588633"/>
      </dsp:txXfrm>
    </dsp:sp>
    <dsp:sp modelId="{924017CE-89E7-4323-964B-C5E0CFDCAF92}">
      <dsp:nvSpPr>
        <dsp:cNvPr id="0" name=""/>
        <dsp:cNvSpPr/>
      </dsp:nvSpPr>
      <dsp:spPr>
        <a:xfrm rot="5400000">
          <a:off x="2667731" y="2028813"/>
          <a:ext cx="250475" cy="26806"/>
        </a:xfrm>
        <a:custGeom>
          <a:avLst/>
          <a:gdLst/>
          <a:ahLst/>
          <a:cxnLst/>
          <a:rect l="0" t="0" r="0" b="0"/>
          <a:pathLst>
            <a:path>
              <a:moveTo>
                <a:pt x="0" y="13403"/>
              </a:moveTo>
              <a:lnTo>
                <a:pt x="250475" y="1340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86707" y="2035955"/>
        <a:ext cx="12523" cy="12523"/>
      </dsp:txXfrm>
    </dsp:sp>
    <dsp:sp modelId="{83B671BE-5251-45C1-97F9-59EEE43CEB73}">
      <dsp:nvSpPr>
        <dsp:cNvPr id="0" name=""/>
        <dsp:cNvSpPr/>
      </dsp:nvSpPr>
      <dsp:spPr>
        <a:xfrm>
          <a:off x="2182797" y="2167455"/>
          <a:ext cx="1220343" cy="83245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ТГ</a:t>
          </a:r>
        </a:p>
      </dsp:txBody>
      <dsp:txXfrm>
        <a:off x="2361512" y="2289365"/>
        <a:ext cx="862913" cy="588633"/>
      </dsp:txXfrm>
    </dsp:sp>
    <dsp:sp modelId="{97BA9B9E-AC13-435C-A889-97B597F9E959}">
      <dsp:nvSpPr>
        <dsp:cNvPr id="0" name=""/>
        <dsp:cNvSpPr/>
      </dsp:nvSpPr>
      <dsp:spPr>
        <a:xfrm rot="10781181">
          <a:off x="1567859" y="1493244"/>
          <a:ext cx="296463" cy="26806"/>
        </a:xfrm>
        <a:custGeom>
          <a:avLst/>
          <a:gdLst/>
          <a:ahLst/>
          <a:cxnLst/>
          <a:rect l="0" t="0" r="0" b="0"/>
          <a:pathLst>
            <a:path>
              <a:moveTo>
                <a:pt x="0" y="13403"/>
              </a:moveTo>
              <a:lnTo>
                <a:pt x="296463" y="1340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08678" y="1499236"/>
        <a:ext cx="14823" cy="14823"/>
      </dsp:txXfrm>
    </dsp:sp>
    <dsp:sp modelId="{3AF2B170-92F9-4662-9FBB-D5644B46BC7B}">
      <dsp:nvSpPr>
        <dsp:cNvPr id="0" name=""/>
        <dsp:cNvSpPr/>
      </dsp:nvSpPr>
      <dsp:spPr>
        <a:xfrm>
          <a:off x="476070" y="1094220"/>
          <a:ext cx="1091804" cy="83245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ЗХС</a:t>
          </a:r>
        </a:p>
      </dsp:txBody>
      <dsp:txXfrm>
        <a:off x="635961" y="1216130"/>
        <a:ext cx="772022" cy="58863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BDE0A-CBF3-46CA-9BB6-12277797414A}">
      <dsp:nvSpPr>
        <dsp:cNvPr id="0" name=""/>
        <dsp:cNvSpPr/>
      </dsp:nvSpPr>
      <dsp:spPr>
        <a:xfrm>
          <a:off x="-322288" y="272497"/>
          <a:ext cx="2368829" cy="1231850"/>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uk-UA" sz="2900" kern="1200"/>
            <a:t>Креатинін</a:t>
          </a:r>
        </a:p>
      </dsp:txBody>
      <dsp:txXfrm>
        <a:off x="24619" y="452897"/>
        <a:ext cx="1675015" cy="871050"/>
      </dsp:txXfrm>
    </dsp:sp>
    <dsp:sp modelId="{7EB54C57-43B8-41DB-A804-A4B386A883DC}">
      <dsp:nvSpPr>
        <dsp:cNvPr id="0" name=""/>
        <dsp:cNvSpPr/>
      </dsp:nvSpPr>
      <dsp:spPr>
        <a:xfrm>
          <a:off x="2046541" y="859374"/>
          <a:ext cx="1289443" cy="58095"/>
        </a:xfrm>
        <a:custGeom>
          <a:avLst/>
          <a:gdLst/>
          <a:ahLst/>
          <a:cxnLst/>
          <a:rect l="0" t="0" r="0" b="0"/>
          <a:pathLst>
            <a:path>
              <a:moveTo>
                <a:pt x="0" y="29047"/>
              </a:moveTo>
              <a:lnTo>
                <a:pt x="1289443" y="290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9027" y="856186"/>
        <a:ext cx="64472" cy="64472"/>
      </dsp:txXfrm>
    </dsp:sp>
    <dsp:sp modelId="{67626249-135F-4A22-A677-C5E1AF98E401}">
      <dsp:nvSpPr>
        <dsp:cNvPr id="0" name=""/>
        <dsp:cNvSpPr/>
      </dsp:nvSpPr>
      <dsp:spPr>
        <a:xfrm>
          <a:off x="3335984" y="295891"/>
          <a:ext cx="2485692" cy="1185062"/>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uk-UA" sz="2800" kern="1200"/>
            <a:t>Галектин-3</a:t>
          </a:r>
          <a:endParaRPr lang="en-US" sz="2800" kern="1200"/>
        </a:p>
      </dsp:txBody>
      <dsp:txXfrm>
        <a:off x="3700005" y="469439"/>
        <a:ext cx="1757650" cy="83796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BDE0A-CBF3-46CA-9BB6-12277797414A}">
      <dsp:nvSpPr>
        <dsp:cNvPr id="0" name=""/>
        <dsp:cNvSpPr/>
      </dsp:nvSpPr>
      <dsp:spPr>
        <a:xfrm>
          <a:off x="-261276" y="270522"/>
          <a:ext cx="2158477" cy="1225409"/>
        </a:xfrm>
        <a:prstGeom prst="ellips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t>Лейкоцити крові</a:t>
          </a:r>
        </a:p>
      </dsp:txBody>
      <dsp:txXfrm>
        <a:off x="54826" y="449979"/>
        <a:ext cx="1526273" cy="866495"/>
      </dsp:txXfrm>
    </dsp:sp>
    <dsp:sp modelId="{7EB54C57-43B8-41DB-A804-A4B386A883DC}">
      <dsp:nvSpPr>
        <dsp:cNvPr id="0" name=""/>
        <dsp:cNvSpPr/>
      </dsp:nvSpPr>
      <dsp:spPr>
        <a:xfrm>
          <a:off x="1897201" y="854310"/>
          <a:ext cx="1427531" cy="57832"/>
        </a:xfrm>
        <a:custGeom>
          <a:avLst/>
          <a:gdLst/>
          <a:ahLst/>
          <a:cxnLst/>
          <a:rect l="0" t="0" r="0" b="0"/>
          <a:pathLst>
            <a:path>
              <a:moveTo>
                <a:pt x="0" y="28916"/>
              </a:moveTo>
              <a:lnTo>
                <a:pt x="1427531" y="289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5279" y="847538"/>
        <a:ext cx="71376" cy="71376"/>
      </dsp:txXfrm>
    </dsp:sp>
    <dsp:sp modelId="{67626249-135F-4A22-A677-C5E1AF98E401}">
      <dsp:nvSpPr>
        <dsp:cNvPr id="0" name=""/>
        <dsp:cNvSpPr/>
      </dsp:nvSpPr>
      <dsp:spPr>
        <a:xfrm>
          <a:off x="3324733" y="293793"/>
          <a:ext cx="2432121" cy="1178866"/>
        </a:xfrm>
        <a:prstGeom prst="ellips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t>Вітронектин</a:t>
          </a:r>
          <a:endParaRPr lang="en-US" sz="2400" kern="1200"/>
        </a:p>
      </dsp:txBody>
      <dsp:txXfrm>
        <a:off x="3680909" y="466434"/>
        <a:ext cx="1719769" cy="833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8B634-0510-46A4-9DDD-F427785211F8}">
      <dsp:nvSpPr>
        <dsp:cNvPr id="0" name=""/>
        <dsp:cNvSpPr/>
      </dsp:nvSpPr>
      <dsp:spPr>
        <a:xfrm>
          <a:off x="603534" y="1001880"/>
          <a:ext cx="1485730" cy="8078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uk-UA" sz="2200" kern="1200"/>
            <a:t>Галектин-3</a:t>
          </a:r>
          <a:endParaRPr lang="ru-RU" sz="2200" kern="1200"/>
        </a:p>
      </dsp:txBody>
      <dsp:txXfrm>
        <a:off x="642969" y="1041315"/>
        <a:ext cx="1406860" cy="728970"/>
      </dsp:txXfrm>
    </dsp:sp>
    <dsp:sp modelId="{F3675A9A-9845-42DB-9E3F-14C83FF33955}">
      <dsp:nvSpPr>
        <dsp:cNvPr id="0" name=""/>
        <dsp:cNvSpPr/>
      </dsp:nvSpPr>
      <dsp:spPr>
        <a:xfrm rot="2863350">
          <a:off x="1645027" y="1964856"/>
          <a:ext cx="419348" cy="0"/>
        </a:xfrm>
        <a:custGeom>
          <a:avLst/>
          <a:gdLst/>
          <a:ahLst/>
          <a:cxnLst/>
          <a:rect l="0" t="0" r="0" b="0"/>
          <a:pathLst>
            <a:path>
              <a:moveTo>
                <a:pt x="0" y="0"/>
              </a:moveTo>
              <a:lnTo>
                <a:pt x="41934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DFA20-4BAA-418D-8612-0D22BA3EA866}">
      <dsp:nvSpPr>
        <dsp:cNvPr id="0" name=""/>
        <dsp:cNvSpPr/>
      </dsp:nvSpPr>
      <dsp:spPr>
        <a:xfrm>
          <a:off x="1971184" y="2119993"/>
          <a:ext cx="541252" cy="54125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ОТ</a:t>
          </a:r>
          <a:endParaRPr lang="ru-RU" sz="2500" kern="1200"/>
        </a:p>
      </dsp:txBody>
      <dsp:txXfrm>
        <a:off x="1997606" y="2146415"/>
        <a:ext cx="488408" cy="488408"/>
      </dsp:txXfrm>
    </dsp:sp>
    <dsp:sp modelId="{FBCDFB72-DB44-4383-B97F-915FE5EDCF49}">
      <dsp:nvSpPr>
        <dsp:cNvPr id="0" name=""/>
        <dsp:cNvSpPr/>
      </dsp:nvSpPr>
      <dsp:spPr>
        <a:xfrm rot="8026506">
          <a:off x="601634" y="1962408"/>
          <a:ext cx="422923" cy="0"/>
        </a:xfrm>
        <a:custGeom>
          <a:avLst/>
          <a:gdLst/>
          <a:ahLst/>
          <a:cxnLst/>
          <a:rect l="0" t="0" r="0" b="0"/>
          <a:pathLst>
            <a:path>
              <a:moveTo>
                <a:pt x="0" y="0"/>
              </a:moveTo>
              <a:lnTo>
                <a:pt x="42292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1DE6C-13EB-4960-BAE3-BD18DE41D188}">
      <dsp:nvSpPr>
        <dsp:cNvPr id="0" name=""/>
        <dsp:cNvSpPr/>
      </dsp:nvSpPr>
      <dsp:spPr>
        <a:xfrm>
          <a:off x="136878" y="2115096"/>
          <a:ext cx="541252" cy="54125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uk-UA" sz="1900" kern="1200"/>
            <a:t>ІМТ</a:t>
          </a:r>
          <a:endParaRPr lang="ru-RU" sz="1900" kern="1200"/>
        </a:p>
      </dsp:txBody>
      <dsp:txXfrm>
        <a:off x="163300" y="2141518"/>
        <a:ext cx="488408" cy="4884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8B634-0510-46A4-9DDD-F427785211F8}">
      <dsp:nvSpPr>
        <dsp:cNvPr id="0" name=""/>
        <dsp:cNvSpPr/>
      </dsp:nvSpPr>
      <dsp:spPr>
        <a:xfrm>
          <a:off x="615969" y="991527"/>
          <a:ext cx="1516341" cy="82448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uk-UA" sz="2200" kern="1200"/>
            <a:t>Галектин-3</a:t>
          </a:r>
          <a:endParaRPr lang="ru-RU" sz="2200" kern="1200"/>
        </a:p>
      </dsp:txBody>
      <dsp:txXfrm>
        <a:off x="656217" y="1031775"/>
        <a:ext cx="1435845" cy="743988"/>
      </dsp:txXfrm>
    </dsp:sp>
    <dsp:sp modelId="{F3675A9A-9845-42DB-9E3F-14C83FF33955}">
      <dsp:nvSpPr>
        <dsp:cNvPr id="0" name=""/>
        <dsp:cNvSpPr/>
      </dsp:nvSpPr>
      <dsp:spPr>
        <a:xfrm rot="2863350">
          <a:off x="1678919" y="1974344"/>
          <a:ext cx="427988" cy="0"/>
        </a:xfrm>
        <a:custGeom>
          <a:avLst/>
          <a:gdLst/>
          <a:ahLst/>
          <a:cxnLst/>
          <a:rect l="0" t="0" r="0" b="0"/>
          <a:pathLst>
            <a:path>
              <a:moveTo>
                <a:pt x="0" y="0"/>
              </a:moveTo>
              <a:lnTo>
                <a:pt x="42798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DFA20-4BAA-418D-8612-0D22BA3EA866}">
      <dsp:nvSpPr>
        <dsp:cNvPr id="0" name=""/>
        <dsp:cNvSpPr/>
      </dsp:nvSpPr>
      <dsp:spPr>
        <a:xfrm>
          <a:off x="2011796" y="2132677"/>
          <a:ext cx="552404" cy="55240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ОТ</a:t>
          </a:r>
          <a:endParaRPr lang="ru-RU" sz="2500" kern="1200"/>
        </a:p>
      </dsp:txBody>
      <dsp:txXfrm>
        <a:off x="2038762" y="2159643"/>
        <a:ext cx="498472" cy="498472"/>
      </dsp:txXfrm>
    </dsp:sp>
    <dsp:sp modelId="{FBCDFB72-DB44-4383-B97F-915FE5EDCF49}">
      <dsp:nvSpPr>
        <dsp:cNvPr id="0" name=""/>
        <dsp:cNvSpPr/>
      </dsp:nvSpPr>
      <dsp:spPr>
        <a:xfrm rot="8026506">
          <a:off x="614030" y="1971845"/>
          <a:ext cx="431636" cy="0"/>
        </a:xfrm>
        <a:custGeom>
          <a:avLst/>
          <a:gdLst/>
          <a:ahLst/>
          <a:cxnLst/>
          <a:rect l="0" t="0" r="0" b="0"/>
          <a:pathLst>
            <a:path>
              <a:moveTo>
                <a:pt x="0" y="0"/>
              </a:moveTo>
              <a:lnTo>
                <a:pt x="43163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1DE6C-13EB-4960-BAE3-BD18DE41D188}">
      <dsp:nvSpPr>
        <dsp:cNvPr id="0" name=""/>
        <dsp:cNvSpPr/>
      </dsp:nvSpPr>
      <dsp:spPr>
        <a:xfrm>
          <a:off x="139698" y="2127679"/>
          <a:ext cx="552404" cy="55240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uk-UA" sz="1900" kern="1200"/>
            <a:t>ІМТ</a:t>
          </a:r>
          <a:endParaRPr lang="ru-RU" sz="1900" kern="1200"/>
        </a:p>
      </dsp:txBody>
      <dsp:txXfrm>
        <a:off x="166664" y="2154645"/>
        <a:ext cx="498472" cy="4984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811B2-B2CB-4015-A3BE-A94CB368C757}">
      <dsp:nvSpPr>
        <dsp:cNvPr id="0" name=""/>
        <dsp:cNvSpPr/>
      </dsp:nvSpPr>
      <dsp:spPr>
        <a:xfrm>
          <a:off x="452830" y="1026795"/>
          <a:ext cx="1837538" cy="822960"/>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uk-UA" sz="2400" kern="1200"/>
            <a:t>Вітронектин</a:t>
          </a:r>
          <a:endParaRPr lang="ru-RU" sz="2400" kern="1200"/>
        </a:p>
      </dsp:txBody>
      <dsp:txXfrm>
        <a:off x="493004" y="1066969"/>
        <a:ext cx="1757190" cy="742612"/>
      </dsp:txXfrm>
    </dsp:sp>
    <dsp:sp modelId="{94EDB7AB-1C33-4C82-8EA8-440FE62FAB10}">
      <dsp:nvSpPr>
        <dsp:cNvPr id="0" name=""/>
        <dsp:cNvSpPr/>
      </dsp:nvSpPr>
      <dsp:spPr>
        <a:xfrm rot="3063474">
          <a:off x="1606515" y="2054125"/>
          <a:ext cx="525521" cy="0"/>
        </a:xfrm>
        <a:custGeom>
          <a:avLst/>
          <a:gdLst/>
          <a:ahLst/>
          <a:cxnLst/>
          <a:rect l="0" t="0" r="0" b="0"/>
          <a:pathLst>
            <a:path>
              <a:moveTo>
                <a:pt x="0" y="0"/>
              </a:moveTo>
              <a:lnTo>
                <a:pt x="52552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04B62-4420-473B-B158-B9C20604AA63}">
      <dsp:nvSpPr>
        <dsp:cNvPr id="0" name=""/>
        <dsp:cNvSpPr/>
      </dsp:nvSpPr>
      <dsp:spPr>
        <a:xfrm>
          <a:off x="1981528" y="2258496"/>
          <a:ext cx="551383" cy="551383"/>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ОТ</a:t>
          </a:r>
          <a:endParaRPr lang="ru-RU" sz="2500" kern="1200"/>
        </a:p>
      </dsp:txBody>
      <dsp:txXfrm>
        <a:off x="2008444" y="2285412"/>
        <a:ext cx="497551" cy="497551"/>
      </dsp:txXfrm>
    </dsp:sp>
    <dsp:sp modelId="{121B011E-BA4C-491A-9AA3-C987DDFF99AD}">
      <dsp:nvSpPr>
        <dsp:cNvPr id="0" name=""/>
        <dsp:cNvSpPr/>
      </dsp:nvSpPr>
      <dsp:spPr>
        <a:xfrm rot="7816824">
          <a:off x="591609" y="2049577"/>
          <a:ext cx="523856" cy="0"/>
        </a:xfrm>
        <a:custGeom>
          <a:avLst/>
          <a:gdLst/>
          <a:ahLst/>
          <a:cxnLst/>
          <a:rect l="0" t="0" r="0" b="0"/>
          <a:pathLst>
            <a:path>
              <a:moveTo>
                <a:pt x="0" y="0"/>
              </a:moveTo>
              <a:lnTo>
                <a:pt x="5238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52DA5-617B-4B74-86F2-2E3E39192C47}">
      <dsp:nvSpPr>
        <dsp:cNvPr id="0" name=""/>
        <dsp:cNvSpPr/>
      </dsp:nvSpPr>
      <dsp:spPr>
        <a:xfrm>
          <a:off x="174860" y="2249399"/>
          <a:ext cx="551383" cy="551383"/>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uk-UA" sz="1900" kern="1200"/>
            <a:t>ІМТ</a:t>
          </a:r>
          <a:endParaRPr lang="ru-RU" sz="1900" kern="1200"/>
        </a:p>
      </dsp:txBody>
      <dsp:txXfrm>
        <a:off x="201776" y="2276315"/>
        <a:ext cx="497551" cy="4975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811B2-B2CB-4015-A3BE-A94CB368C757}">
      <dsp:nvSpPr>
        <dsp:cNvPr id="0" name=""/>
        <dsp:cNvSpPr/>
      </dsp:nvSpPr>
      <dsp:spPr>
        <a:xfrm>
          <a:off x="622318" y="1004347"/>
          <a:ext cx="1922183" cy="860869"/>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Вітронектин</a:t>
          </a:r>
          <a:endParaRPr lang="ru-RU" sz="2500" kern="1200"/>
        </a:p>
      </dsp:txBody>
      <dsp:txXfrm>
        <a:off x="664342" y="1046371"/>
        <a:ext cx="1838135" cy="776821"/>
      </dsp:txXfrm>
    </dsp:sp>
    <dsp:sp modelId="{94EDB7AB-1C33-4C82-8EA8-440FE62FAB10}">
      <dsp:nvSpPr>
        <dsp:cNvPr id="0" name=""/>
        <dsp:cNvSpPr/>
      </dsp:nvSpPr>
      <dsp:spPr>
        <a:xfrm rot="3063467">
          <a:off x="1829149" y="2078999"/>
          <a:ext cx="549724" cy="0"/>
        </a:xfrm>
        <a:custGeom>
          <a:avLst/>
          <a:gdLst/>
          <a:ahLst/>
          <a:cxnLst/>
          <a:rect l="0" t="0" r="0" b="0"/>
          <a:pathLst>
            <a:path>
              <a:moveTo>
                <a:pt x="0" y="0"/>
              </a:moveTo>
              <a:lnTo>
                <a:pt x="5497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04B62-4420-473B-B158-B9C20604AA63}">
      <dsp:nvSpPr>
        <dsp:cNvPr id="0" name=""/>
        <dsp:cNvSpPr/>
      </dsp:nvSpPr>
      <dsp:spPr>
        <a:xfrm>
          <a:off x="2221435" y="2292782"/>
          <a:ext cx="576782" cy="576782"/>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1155700">
            <a:lnSpc>
              <a:spcPct val="90000"/>
            </a:lnSpc>
            <a:spcBef>
              <a:spcPct val="0"/>
            </a:spcBef>
            <a:spcAft>
              <a:spcPct val="35000"/>
            </a:spcAft>
          </a:pPr>
          <a:r>
            <a:rPr lang="uk-UA" sz="2600" kern="1200"/>
            <a:t>ОТ</a:t>
          </a:r>
          <a:endParaRPr lang="ru-RU" sz="2600" kern="1200"/>
        </a:p>
      </dsp:txBody>
      <dsp:txXfrm>
        <a:off x="2249591" y="2320938"/>
        <a:ext cx="520470" cy="520470"/>
      </dsp:txXfrm>
    </dsp:sp>
    <dsp:sp modelId="{121B011E-BA4C-491A-9AA3-C987DDFF99AD}">
      <dsp:nvSpPr>
        <dsp:cNvPr id="0" name=""/>
        <dsp:cNvSpPr/>
      </dsp:nvSpPr>
      <dsp:spPr>
        <a:xfrm rot="7816824">
          <a:off x="767489" y="2074244"/>
          <a:ext cx="547987" cy="0"/>
        </a:xfrm>
        <a:custGeom>
          <a:avLst/>
          <a:gdLst/>
          <a:ahLst/>
          <a:cxnLst/>
          <a:rect l="0" t="0" r="0" b="0"/>
          <a:pathLst>
            <a:path>
              <a:moveTo>
                <a:pt x="0" y="0"/>
              </a:moveTo>
              <a:lnTo>
                <a:pt x="54798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52DA5-617B-4B74-86F2-2E3E39192C47}">
      <dsp:nvSpPr>
        <dsp:cNvPr id="0" name=""/>
        <dsp:cNvSpPr/>
      </dsp:nvSpPr>
      <dsp:spPr>
        <a:xfrm>
          <a:off x="331542" y="2283271"/>
          <a:ext cx="576782" cy="576782"/>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uk-UA" sz="2000" kern="1200"/>
            <a:t>ІМТ</a:t>
          </a:r>
          <a:endParaRPr lang="ru-RU" sz="2000" kern="1200"/>
        </a:p>
      </dsp:txBody>
      <dsp:txXfrm>
        <a:off x="359698" y="2311427"/>
        <a:ext cx="520470" cy="5204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D3A93-93C2-49CD-B667-EAF802369267}">
      <dsp:nvSpPr>
        <dsp:cNvPr id="0" name=""/>
        <dsp:cNvSpPr/>
      </dsp:nvSpPr>
      <dsp:spPr>
        <a:xfrm>
          <a:off x="1879461" y="1440933"/>
          <a:ext cx="1546227" cy="110812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Галектин-3</a:t>
          </a:r>
          <a:endParaRPr lang="ru-RU" sz="2500" kern="1200"/>
        </a:p>
      </dsp:txBody>
      <dsp:txXfrm>
        <a:off x="1933555" y="1495027"/>
        <a:ext cx="1438039" cy="999940"/>
      </dsp:txXfrm>
    </dsp:sp>
    <dsp:sp modelId="{100D1A14-22D2-4CB4-BBE5-4BFCE1EE63D6}">
      <dsp:nvSpPr>
        <dsp:cNvPr id="0" name=""/>
        <dsp:cNvSpPr/>
      </dsp:nvSpPr>
      <dsp:spPr>
        <a:xfrm rot="16200000">
          <a:off x="2339673" y="1128031"/>
          <a:ext cx="625804" cy="0"/>
        </a:xfrm>
        <a:custGeom>
          <a:avLst/>
          <a:gdLst/>
          <a:ahLst/>
          <a:cxnLst/>
          <a:rect l="0" t="0" r="0" b="0"/>
          <a:pathLst>
            <a:path>
              <a:moveTo>
                <a:pt x="0" y="0"/>
              </a:moveTo>
              <a:lnTo>
                <a:pt x="62580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42569F-EB63-4DB1-B826-C03621A82FB5}">
      <dsp:nvSpPr>
        <dsp:cNvPr id="0" name=""/>
        <dsp:cNvSpPr/>
      </dsp:nvSpPr>
      <dsp:spPr>
        <a:xfrm>
          <a:off x="2281351" y="72682"/>
          <a:ext cx="742446" cy="742446"/>
        </a:xfrm>
        <a:prstGeom prst="round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uk-UA" sz="2400" kern="1200"/>
            <a:t>КСО</a:t>
          </a:r>
          <a:endParaRPr lang="ru-RU" sz="2400" kern="1200"/>
        </a:p>
      </dsp:txBody>
      <dsp:txXfrm>
        <a:off x="2317594" y="108925"/>
        <a:ext cx="669960" cy="669960"/>
      </dsp:txXfrm>
    </dsp:sp>
    <dsp:sp modelId="{5CB18CF7-6F7B-44A4-B027-69A1E971F06F}">
      <dsp:nvSpPr>
        <dsp:cNvPr id="0" name=""/>
        <dsp:cNvSpPr/>
      </dsp:nvSpPr>
      <dsp:spPr>
        <a:xfrm rot="20723645">
          <a:off x="3416117" y="1718844"/>
          <a:ext cx="592352" cy="0"/>
        </a:xfrm>
        <a:custGeom>
          <a:avLst/>
          <a:gdLst/>
          <a:ahLst/>
          <a:cxnLst/>
          <a:rect l="0" t="0" r="0" b="0"/>
          <a:pathLst>
            <a:path>
              <a:moveTo>
                <a:pt x="0" y="0"/>
              </a:moveTo>
              <a:lnTo>
                <a:pt x="592352"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B8D23-2C1A-4E69-B586-0899341B5F22}">
      <dsp:nvSpPr>
        <dsp:cNvPr id="0" name=""/>
        <dsp:cNvSpPr/>
      </dsp:nvSpPr>
      <dsp:spPr>
        <a:xfrm>
          <a:off x="3998898" y="1128965"/>
          <a:ext cx="1104945" cy="742446"/>
        </a:xfrm>
        <a:prstGeom prst="round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1377950">
            <a:lnSpc>
              <a:spcPct val="90000"/>
            </a:lnSpc>
            <a:spcBef>
              <a:spcPct val="0"/>
            </a:spcBef>
            <a:spcAft>
              <a:spcPct val="35000"/>
            </a:spcAft>
          </a:pPr>
          <a:r>
            <a:rPr lang="en-US" sz="3100" kern="1200"/>
            <a:t>Ea/Es</a:t>
          </a:r>
          <a:endParaRPr lang="ru-RU" sz="3100" kern="1200"/>
        </a:p>
      </dsp:txBody>
      <dsp:txXfrm>
        <a:off x="4035141" y="1165208"/>
        <a:ext cx="1032459" cy="669960"/>
      </dsp:txXfrm>
    </dsp:sp>
    <dsp:sp modelId="{B79A6F4F-66F4-4CEA-8388-1F51E5D5C0EE}">
      <dsp:nvSpPr>
        <dsp:cNvPr id="0" name=""/>
        <dsp:cNvSpPr/>
      </dsp:nvSpPr>
      <dsp:spPr>
        <a:xfrm rot="2277112">
          <a:off x="3293815" y="2750189"/>
          <a:ext cx="654073" cy="0"/>
        </a:xfrm>
        <a:custGeom>
          <a:avLst/>
          <a:gdLst/>
          <a:ahLst/>
          <a:cxnLst/>
          <a:rect l="0" t="0" r="0" b="0"/>
          <a:pathLst>
            <a:path>
              <a:moveTo>
                <a:pt x="0" y="0"/>
              </a:moveTo>
              <a:lnTo>
                <a:pt x="654073" y="0"/>
              </a:lnTo>
            </a:path>
          </a:pathLst>
        </a:custGeom>
        <a:noFill/>
        <a:ln w="28575" cap="flat" cmpd="sng" algn="ctr">
          <a:solidFill>
            <a:srgbClr val="7030A0"/>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123B814E-79FA-4E0C-9C8D-C68AD2C1B08D}">
      <dsp:nvSpPr>
        <dsp:cNvPr id="0" name=""/>
        <dsp:cNvSpPr/>
      </dsp:nvSpPr>
      <dsp:spPr>
        <a:xfrm>
          <a:off x="3808119" y="2951316"/>
          <a:ext cx="1093155" cy="742446"/>
        </a:xfrm>
        <a:prstGeom prst="round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uk-UA" sz="3500" kern="1200"/>
            <a:t>ФВ</a:t>
          </a:r>
          <a:endParaRPr lang="ru-RU" sz="3500" kern="1200"/>
        </a:p>
      </dsp:txBody>
      <dsp:txXfrm>
        <a:off x="3844362" y="2987559"/>
        <a:ext cx="1020669" cy="669960"/>
      </dsp:txXfrm>
    </dsp:sp>
    <dsp:sp modelId="{3720C615-D8E5-4022-8BAB-32E4F9FD305F}">
      <dsp:nvSpPr>
        <dsp:cNvPr id="0" name=""/>
        <dsp:cNvSpPr/>
      </dsp:nvSpPr>
      <dsp:spPr>
        <a:xfrm rot="8481790">
          <a:off x="1385686" y="2750189"/>
          <a:ext cx="644244" cy="0"/>
        </a:xfrm>
        <a:custGeom>
          <a:avLst/>
          <a:gdLst/>
          <a:ahLst/>
          <a:cxnLst/>
          <a:rect l="0" t="0" r="0" b="0"/>
          <a:pathLst>
            <a:path>
              <a:moveTo>
                <a:pt x="0" y="0"/>
              </a:moveTo>
              <a:lnTo>
                <a:pt x="64424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68F06-7B3B-49E5-B361-FD5581108715}">
      <dsp:nvSpPr>
        <dsp:cNvPr id="0" name=""/>
        <dsp:cNvSpPr/>
      </dsp:nvSpPr>
      <dsp:spPr>
        <a:xfrm>
          <a:off x="451169" y="2951316"/>
          <a:ext cx="1081224" cy="742446"/>
        </a:xfrm>
        <a:prstGeom prst="round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uk-UA" sz="2000" kern="1200"/>
            <a:t>ІММЛШ</a:t>
          </a:r>
          <a:endParaRPr lang="ru-RU" sz="2000" kern="1200"/>
        </a:p>
      </dsp:txBody>
      <dsp:txXfrm>
        <a:off x="487412" y="2987559"/>
        <a:ext cx="1008738" cy="669960"/>
      </dsp:txXfrm>
    </dsp:sp>
    <dsp:sp modelId="{9D0CE31B-023C-4E7E-A310-D15B2759B7E0}">
      <dsp:nvSpPr>
        <dsp:cNvPr id="0" name=""/>
        <dsp:cNvSpPr/>
      </dsp:nvSpPr>
      <dsp:spPr>
        <a:xfrm rot="11628684">
          <a:off x="1019399" y="1700773"/>
          <a:ext cx="872677" cy="0"/>
        </a:xfrm>
        <a:custGeom>
          <a:avLst/>
          <a:gdLst/>
          <a:ahLst/>
          <a:cxnLst/>
          <a:rect l="0" t="0" r="0" b="0"/>
          <a:pathLst>
            <a:path>
              <a:moveTo>
                <a:pt x="0" y="0"/>
              </a:moveTo>
              <a:lnTo>
                <a:pt x="872677"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6DC20-29D6-4C94-A0E3-9B1995FE95F0}">
      <dsp:nvSpPr>
        <dsp:cNvPr id="0" name=""/>
        <dsp:cNvSpPr/>
      </dsp:nvSpPr>
      <dsp:spPr>
        <a:xfrm>
          <a:off x="289569" y="1134125"/>
          <a:ext cx="742446" cy="742446"/>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uk-UA" sz="2300" kern="1200"/>
            <a:t>КДО</a:t>
          </a:r>
          <a:endParaRPr lang="ru-RU" sz="2300" kern="1200"/>
        </a:p>
      </dsp:txBody>
      <dsp:txXfrm>
        <a:off x="325812" y="1170368"/>
        <a:ext cx="669960" cy="66996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D3A93-93C2-49CD-B667-EAF802369267}">
      <dsp:nvSpPr>
        <dsp:cNvPr id="0" name=""/>
        <dsp:cNvSpPr/>
      </dsp:nvSpPr>
      <dsp:spPr>
        <a:xfrm>
          <a:off x="1908212" y="1440933"/>
          <a:ext cx="1546227" cy="110812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uk-UA" sz="2000" kern="1200"/>
            <a:t>Вітронектин</a:t>
          </a:r>
          <a:endParaRPr lang="ru-RU" sz="2000" kern="1200"/>
        </a:p>
      </dsp:txBody>
      <dsp:txXfrm>
        <a:off x="1962306" y="1495027"/>
        <a:ext cx="1438039" cy="999940"/>
      </dsp:txXfrm>
    </dsp:sp>
    <dsp:sp modelId="{100D1A14-22D2-4CB4-BBE5-4BFCE1EE63D6}">
      <dsp:nvSpPr>
        <dsp:cNvPr id="0" name=""/>
        <dsp:cNvSpPr/>
      </dsp:nvSpPr>
      <dsp:spPr>
        <a:xfrm rot="16200000">
          <a:off x="2368424" y="1128031"/>
          <a:ext cx="625804" cy="0"/>
        </a:xfrm>
        <a:custGeom>
          <a:avLst/>
          <a:gdLst/>
          <a:ahLst/>
          <a:cxnLst/>
          <a:rect l="0" t="0" r="0" b="0"/>
          <a:pathLst>
            <a:path>
              <a:moveTo>
                <a:pt x="0" y="0"/>
              </a:moveTo>
              <a:lnTo>
                <a:pt x="62580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42569F-EB63-4DB1-B826-C03621A82FB5}">
      <dsp:nvSpPr>
        <dsp:cNvPr id="0" name=""/>
        <dsp:cNvSpPr/>
      </dsp:nvSpPr>
      <dsp:spPr>
        <a:xfrm>
          <a:off x="2226763" y="72682"/>
          <a:ext cx="909125" cy="742446"/>
        </a:xfrm>
        <a:prstGeom prst="round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1377950">
            <a:lnSpc>
              <a:spcPct val="90000"/>
            </a:lnSpc>
            <a:spcBef>
              <a:spcPct val="0"/>
            </a:spcBef>
            <a:spcAft>
              <a:spcPct val="35000"/>
            </a:spcAft>
          </a:pPr>
          <a:r>
            <a:rPr lang="uk-UA" sz="3100" kern="1200"/>
            <a:t>КСО</a:t>
          </a:r>
          <a:endParaRPr lang="ru-RU" sz="3100" kern="1200"/>
        </a:p>
      </dsp:txBody>
      <dsp:txXfrm>
        <a:off x="2263006" y="108925"/>
        <a:ext cx="836639" cy="669960"/>
      </dsp:txXfrm>
    </dsp:sp>
    <dsp:sp modelId="{5CB18CF7-6F7B-44A4-B027-69A1E971F06F}">
      <dsp:nvSpPr>
        <dsp:cNvPr id="0" name=""/>
        <dsp:cNvSpPr/>
      </dsp:nvSpPr>
      <dsp:spPr>
        <a:xfrm rot="20811319">
          <a:off x="3442280" y="1708910"/>
          <a:ext cx="928205" cy="0"/>
        </a:xfrm>
        <a:custGeom>
          <a:avLst/>
          <a:gdLst/>
          <a:ahLst/>
          <a:cxnLst/>
          <a:rect l="0" t="0" r="0" b="0"/>
          <a:pathLst>
            <a:path>
              <a:moveTo>
                <a:pt x="0" y="0"/>
              </a:moveTo>
              <a:lnTo>
                <a:pt x="928205"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B8D23-2C1A-4E69-B586-0899341B5F22}">
      <dsp:nvSpPr>
        <dsp:cNvPr id="0" name=""/>
        <dsp:cNvSpPr/>
      </dsp:nvSpPr>
      <dsp:spPr>
        <a:xfrm>
          <a:off x="4358325" y="1103126"/>
          <a:ext cx="1104945" cy="742446"/>
        </a:xfrm>
        <a:prstGeom prst="round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1377950">
            <a:lnSpc>
              <a:spcPct val="90000"/>
            </a:lnSpc>
            <a:spcBef>
              <a:spcPct val="0"/>
            </a:spcBef>
            <a:spcAft>
              <a:spcPct val="35000"/>
            </a:spcAft>
          </a:pPr>
          <a:r>
            <a:rPr lang="en-US" sz="3100" kern="1200"/>
            <a:t>Ea/Es</a:t>
          </a:r>
          <a:endParaRPr lang="ru-RU" sz="3100" kern="1200"/>
        </a:p>
      </dsp:txBody>
      <dsp:txXfrm>
        <a:off x="4394568" y="1139369"/>
        <a:ext cx="1032459" cy="669960"/>
      </dsp:txXfrm>
    </dsp:sp>
    <dsp:sp modelId="{B79A6F4F-66F4-4CEA-8388-1F51E5D5C0EE}">
      <dsp:nvSpPr>
        <dsp:cNvPr id="0" name=""/>
        <dsp:cNvSpPr/>
      </dsp:nvSpPr>
      <dsp:spPr>
        <a:xfrm rot="2277112">
          <a:off x="3322566" y="2750189"/>
          <a:ext cx="654073" cy="0"/>
        </a:xfrm>
        <a:custGeom>
          <a:avLst/>
          <a:gdLst/>
          <a:ahLst/>
          <a:cxnLst/>
          <a:rect l="0" t="0" r="0" b="0"/>
          <a:pathLst>
            <a:path>
              <a:moveTo>
                <a:pt x="0" y="0"/>
              </a:moveTo>
              <a:lnTo>
                <a:pt x="654073" y="0"/>
              </a:lnTo>
            </a:path>
          </a:pathLst>
        </a:custGeom>
        <a:noFill/>
        <a:ln w="28575" cap="flat" cmpd="sng" algn="ctr">
          <a:solidFill>
            <a:srgbClr val="7030A0"/>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123B814E-79FA-4E0C-9C8D-C68AD2C1B08D}">
      <dsp:nvSpPr>
        <dsp:cNvPr id="0" name=""/>
        <dsp:cNvSpPr/>
      </dsp:nvSpPr>
      <dsp:spPr>
        <a:xfrm>
          <a:off x="3836870" y="2951316"/>
          <a:ext cx="1093155" cy="742446"/>
        </a:xfrm>
        <a:prstGeom prst="round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uk-UA" sz="3500" kern="1200"/>
            <a:t>ФВ</a:t>
          </a:r>
          <a:endParaRPr lang="ru-RU" sz="3500" kern="1200"/>
        </a:p>
      </dsp:txBody>
      <dsp:txXfrm>
        <a:off x="3873113" y="2987559"/>
        <a:ext cx="1020669" cy="669960"/>
      </dsp:txXfrm>
    </dsp:sp>
    <dsp:sp modelId="{3720C615-D8E5-4022-8BAB-32E4F9FD305F}">
      <dsp:nvSpPr>
        <dsp:cNvPr id="0" name=""/>
        <dsp:cNvSpPr/>
      </dsp:nvSpPr>
      <dsp:spPr>
        <a:xfrm rot="8481790">
          <a:off x="1414437" y="2750189"/>
          <a:ext cx="644244" cy="0"/>
        </a:xfrm>
        <a:custGeom>
          <a:avLst/>
          <a:gdLst/>
          <a:ahLst/>
          <a:cxnLst/>
          <a:rect l="0" t="0" r="0" b="0"/>
          <a:pathLst>
            <a:path>
              <a:moveTo>
                <a:pt x="0" y="0"/>
              </a:moveTo>
              <a:lnTo>
                <a:pt x="64424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68F06-7B3B-49E5-B361-FD5581108715}">
      <dsp:nvSpPr>
        <dsp:cNvPr id="0" name=""/>
        <dsp:cNvSpPr/>
      </dsp:nvSpPr>
      <dsp:spPr>
        <a:xfrm>
          <a:off x="479921" y="2951316"/>
          <a:ext cx="1081224" cy="742446"/>
        </a:xfrm>
        <a:prstGeom prst="round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uk-UA" sz="3500" kern="1200"/>
            <a:t>КДР</a:t>
          </a:r>
          <a:endParaRPr lang="ru-RU" sz="3500" kern="1200"/>
        </a:p>
      </dsp:txBody>
      <dsp:txXfrm>
        <a:off x="516164" y="2987559"/>
        <a:ext cx="1008738" cy="669960"/>
      </dsp:txXfrm>
    </dsp:sp>
    <dsp:sp modelId="{9D0CE31B-023C-4E7E-A310-D15B2759B7E0}">
      <dsp:nvSpPr>
        <dsp:cNvPr id="0" name=""/>
        <dsp:cNvSpPr/>
      </dsp:nvSpPr>
      <dsp:spPr>
        <a:xfrm rot="11599826">
          <a:off x="876844" y="1691284"/>
          <a:ext cx="1045452" cy="0"/>
        </a:xfrm>
        <a:custGeom>
          <a:avLst/>
          <a:gdLst/>
          <a:ahLst/>
          <a:cxnLst/>
          <a:rect l="0" t="0" r="0" b="0"/>
          <a:pathLst>
            <a:path>
              <a:moveTo>
                <a:pt x="0" y="0"/>
              </a:moveTo>
              <a:lnTo>
                <a:pt x="1045452"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6DC20-29D6-4C94-A0E3-9B1995FE95F0}">
      <dsp:nvSpPr>
        <dsp:cNvPr id="0" name=""/>
        <dsp:cNvSpPr/>
      </dsp:nvSpPr>
      <dsp:spPr>
        <a:xfrm>
          <a:off x="33476" y="1097950"/>
          <a:ext cx="857451" cy="742446"/>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1200150">
            <a:lnSpc>
              <a:spcPct val="90000"/>
            </a:lnSpc>
            <a:spcBef>
              <a:spcPct val="0"/>
            </a:spcBef>
            <a:spcAft>
              <a:spcPct val="35000"/>
            </a:spcAft>
          </a:pPr>
          <a:r>
            <a:rPr lang="uk-UA" sz="2700" kern="1200"/>
            <a:t>КДО</a:t>
          </a:r>
          <a:endParaRPr lang="ru-RU" sz="2700" kern="1200"/>
        </a:p>
      </dsp:txBody>
      <dsp:txXfrm>
        <a:off x="69719" y="1134193"/>
        <a:ext cx="784965" cy="66996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DE704-4C0E-4F5A-9A69-B76AFE8C6832}">
      <dsp:nvSpPr>
        <dsp:cNvPr id="0" name=""/>
        <dsp:cNvSpPr/>
      </dsp:nvSpPr>
      <dsp:spPr>
        <a:xfrm>
          <a:off x="2334932" y="840561"/>
          <a:ext cx="1376070" cy="746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uk-UA" sz="1700" kern="1200"/>
            <a:t>Тропонін </a:t>
          </a:r>
          <a:r>
            <a:rPr lang="en-US" sz="1700" kern="1200"/>
            <a:t>I</a:t>
          </a:r>
        </a:p>
      </dsp:txBody>
      <dsp:txXfrm>
        <a:off x="2536453" y="949869"/>
        <a:ext cx="973028" cy="527784"/>
      </dsp:txXfrm>
    </dsp:sp>
    <dsp:sp modelId="{31F5176C-5D29-47A3-8889-489E69D38A08}">
      <dsp:nvSpPr>
        <dsp:cNvPr id="0" name=""/>
        <dsp:cNvSpPr/>
      </dsp:nvSpPr>
      <dsp:spPr>
        <a:xfrm rot="21576271">
          <a:off x="3710943" y="1196767"/>
          <a:ext cx="383868" cy="21840"/>
        </a:xfrm>
        <a:custGeom>
          <a:avLst/>
          <a:gdLst/>
          <a:ahLst/>
          <a:cxnLst/>
          <a:rect l="0" t="0" r="0" b="0"/>
          <a:pathLst>
            <a:path>
              <a:moveTo>
                <a:pt x="0" y="10920"/>
              </a:moveTo>
              <a:lnTo>
                <a:pt x="383868" y="1092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3280" y="1198090"/>
        <a:ext cx="19193" cy="19193"/>
      </dsp:txXfrm>
    </dsp:sp>
    <dsp:sp modelId="{351D6C3B-C941-455F-85C0-E24D611A1B90}">
      <dsp:nvSpPr>
        <dsp:cNvPr id="0" name=""/>
        <dsp:cNvSpPr/>
      </dsp:nvSpPr>
      <dsp:spPr>
        <a:xfrm>
          <a:off x="4094747" y="828302"/>
          <a:ext cx="1408344" cy="746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Галектин-3</a:t>
          </a:r>
          <a:endParaRPr lang="en-US" sz="1200" kern="1200"/>
        </a:p>
      </dsp:txBody>
      <dsp:txXfrm>
        <a:off x="4300994" y="937610"/>
        <a:ext cx="995850" cy="527784"/>
      </dsp:txXfrm>
    </dsp:sp>
    <dsp:sp modelId="{9396C4B3-9963-4B66-B19F-6D8323676714}">
      <dsp:nvSpPr>
        <dsp:cNvPr id="0" name=""/>
        <dsp:cNvSpPr/>
      </dsp:nvSpPr>
      <dsp:spPr>
        <a:xfrm rot="10777812">
          <a:off x="1829488" y="1208912"/>
          <a:ext cx="505498" cy="21840"/>
        </a:xfrm>
        <a:custGeom>
          <a:avLst/>
          <a:gdLst/>
          <a:ahLst/>
          <a:cxnLst/>
          <a:rect l="0" t="0" r="0" b="0"/>
          <a:pathLst>
            <a:path>
              <a:moveTo>
                <a:pt x="0" y="10920"/>
              </a:moveTo>
              <a:lnTo>
                <a:pt x="505498" y="10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69600" y="1207195"/>
        <a:ext cx="25274" cy="25274"/>
      </dsp:txXfrm>
    </dsp:sp>
    <dsp:sp modelId="{626A8EF2-597E-4717-A75A-8475124422D6}">
      <dsp:nvSpPr>
        <dsp:cNvPr id="0" name=""/>
        <dsp:cNvSpPr/>
      </dsp:nvSpPr>
      <dsp:spPr>
        <a:xfrm>
          <a:off x="425283" y="852795"/>
          <a:ext cx="1404262" cy="746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Вітронектин</a:t>
          </a:r>
          <a:endParaRPr lang="en-US" sz="1100" kern="1200"/>
        </a:p>
      </dsp:txBody>
      <dsp:txXfrm>
        <a:off x="630932" y="962103"/>
        <a:ext cx="992964" cy="52778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87186E-808C-4AAC-B029-9BE298EAC299}">
      <dsp:nvSpPr>
        <dsp:cNvPr id="0" name=""/>
        <dsp:cNvSpPr/>
      </dsp:nvSpPr>
      <dsp:spPr>
        <a:xfrm>
          <a:off x="2206999" y="371092"/>
          <a:ext cx="1126631" cy="5441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kern="1200"/>
            <a:t>Вік</a:t>
          </a:r>
        </a:p>
      </dsp:txBody>
      <dsp:txXfrm>
        <a:off x="2371990" y="450784"/>
        <a:ext cx="796649" cy="384790"/>
      </dsp:txXfrm>
    </dsp:sp>
    <dsp:sp modelId="{301B699D-809B-42FF-9DAB-CADF171A73E0}">
      <dsp:nvSpPr>
        <dsp:cNvPr id="0" name=""/>
        <dsp:cNvSpPr/>
      </dsp:nvSpPr>
      <dsp:spPr>
        <a:xfrm rot="10796182">
          <a:off x="1363032" y="635075"/>
          <a:ext cx="843969" cy="18396"/>
        </a:xfrm>
        <a:custGeom>
          <a:avLst/>
          <a:gdLst/>
          <a:ahLst/>
          <a:cxnLst/>
          <a:rect l="0" t="0" r="0" b="0"/>
          <a:pathLst>
            <a:path>
              <a:moveTo>
                <a:pt x="0" y="9198"/>
              </a:moveTo>
              <a:lnTo>
                <a:pt x="843969" y="919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63917" y="623174"/>
        <a:ext cx="42198" cy="42198"/>
      </dsp:txXfrm>
    </dsp:sp>
    <dsp:sp modelId="{6E54ECB0-002B-4A9F-8142-12C25C77B99E}">
      <dsp:nvSpPr>
        <dsp:cNvPr id="0" name=""/>
        <dsp:cNvSpPr/>
      </dsp:nvSpPr>
      <dsp:spPr>
        <a:xfrm>
          <a:off x="221735" y="132660"/>
          <a:ext cx="1141297" cy="10254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Галектин-3</a:t>
          </a:r>
        </a:p>
      </dsp:txBody>
      <dsp:txXfrm>
        <a:off x="388874" y="282831"/>
        <a:ext cx="807019" cy="725088"/>
      </dsp:txXfrm>
    </dsp:sp>
    <dsp:sp modelId="{D658A18B-CA66-4F7D-8486-6B295B6D1208}">
      <dsp:nvSpPr>
        <dsp:cNvPr id="0" name=""/>
        <dsp:cNvSpPr/>
      </dsp:nvSpPr>
      <dsp:spPr>
        <a:xfrm rot="3478">
          <a:off x="3333629" y="634935"/>
          <a:ext cx="760077" cy="18396"/>
        </a:xfrm>
        <a:custGeom>
          <a:avLst/>
          <a:gdLst/>
          <a:ahLst/>
          <a:cxnLst/>
          <a:rect l="0" t="0" r="0" b="0"/>
          <a:pathLst>
            <a:path>
              <a:moveTo>
                <a:pt x="0" y="9198"/>
              </a:moveTo>
              <a:lnTo>
                <a:pt x="760077" y="9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94666" y="625131"/>
        <a:ext cx="38003" cy="38003"/>
      </dsp:txXfrm>
    </dsp:sp>
    <dsp:sp modelId="{990594D8-855D-4B2C-A3AB-D9CC16CA2AC4}">
      <dsp:nvSpPr>
        <dsp:cNvPr id="0" name=""/>
        <dsp:cNvSpPr/>
      </dsp:nvSpPr>
      <dsp:spPr>
        <a:xfrm>
          <a:off x="4093706" y="126464"/>
          <a:ext cx="1210141" cy="10373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Вітронектин</a:t>
          </a:r>
        </a:p>
      </dsp:txBody>
      <dsp:txXfrm>
        <a:off x="4270927" y="278377"/>
        <a:ext cx="855699" cy="733504"/>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167A4-46EC-4E4F-9B6D-BF92AF3D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58581</Words>
  <Characters>333917</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aborovyk</dc:creator>
  <cp:lastModifiedBy>Юляша</cp:lastModifiedBy>
  <cp:revision>2</cp:revision>
  <cp:lastPrinted>2019-02-12T09:47:00Z</cp:lastPrinted>
  <dcterms:created xsi:type="dcterms:W3CDTF">2019-02-12T14:17:00Z</dcterms:created>
  <dcterms:modified xsi:type="dcterms:W3CDTF">2019-02-12T14:17:00Z</dcterms:modified>
</cp:coreProperties>
</file>