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ПОКАЗНИКИ ФУНКЦІОНАЛЬНОГО </w:t>
      </w:r>
      <w:r w:rsidRPr="00252422">
        <w:rPr>
          <w:rFonts w:ascii="Times New Roman" w:hAnsi="Times New Roman"/>
          <w:b/>
          <w:sz w:val="28"/>
          <w:szCs w:val="28"/>
        </w:rPr>
        <w:t xml:space="preserve">СТАНУ </w:t>
      </w:r>
      <w:r w:rsidRPr="00252422">
        <w:rPr>
          <w:rFonts w:ascii="Times New Roman" w:hAnsi="Times New Roman"/>
          <w:b/>
          <w:sz w:val="28"/>
          <w:szCs w:val="28"/>
          <w:lang w:val="uk-UA"/>
        </w:rPr>
        <w:t>ЕНДОТЕЛІЮ ТА МІОКАРДУ</w:t>
      </w:r>
      <w:r w:rsidRPr="00252422">
        <w:rPr>
          <w:rFonts w:ascii="Times New Roman" w:hAnsi="Times New Roman"/>
          <w:b/>
          <w:sz w:val="28"/>
          <w:szCs w:val="28"/>
        </w:rPr>
        <w:t xml:space="preserve"> ЩУРІВ, У ХАРЧОВОМУ РАЦІОНІ ЯКИХ</w:t>
      </w:r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ВИКОРИСТОВУВАЛИ</w:t>
      </w:r>
      <w:r w:rsidRPr="00252422">
        <w:rPr>
          <w:rFonts w:ascii="Times New Roman" w:hAnsi="Times New Roman"/>
          <w:b/>
          <w:sz w:val="28"/>
          <w:szCs w:val="28"/>
        </w:rPr>
        <w:t xml:space="preserve"> ПАЛЬМОВУ </w:t>
      </w:r>
      <w:r w:rsidRPr="00252422">
        <w:rPr>
          <w:rFonts w:ascii="Times New Roman" w:hAnsi="Times New Roman"/>
          <w:b/>
          <w:sz w:val="28"/>
          <w:szCs w:val="28"/>
          <w:lang w:val="uk-UA"/>
        </w:rPr>
        <w:t>ОЛІЮ</w:t>
      </w:r>
      <w:r w:rsidRPr="00252422">
        <w:rPr>
          <w:rFonts w:ascii="Times New Roman" w:hAnsi="Times New Roman"/>
          <w:b/>
          <w:sz w:val="28"/>
          <w:szCs w:val="28"/>
        </w:rPr>
        <w:t>.</w:t>
      </w:r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2422">
        <w:rPr>
          <w:rFonts w:ascii="Times New Roman" w:hAnsi="Times New Roman"/>
          <w:b/>
          <w:sz w:val="28"/>
          <w:szCs w:val="28"/>
        </w:rPr>
        <w:t>Радзивіл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І., </w:t>
      </w:r>
      <w:proofErr w:type="spellStart"/>
      <w:r w:rsidRPr="00252422">
        <w:rPr>
          <w:rFonts w:ascii="Times New Roman" w:hAnsi="Times New Roman"/>
          <w:b/>
          <w:sz w:val="28"/>
          <w:szCs w:val="28"/>
        </w:rPr>
        <w:t>Осіташвілі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К., </w:t>
      </w:r>
      <w:proofErr w:type="spellStart"/>
      <w:r w:rsidRPr="00252422">
        <w:rPr>
          <w:rFonts w:ascii="Times New Roman" w:hAnsi="Times New Roman"/>
          <w:b/>
          <w:sz w:val="28"/>
          <w:szCs w:val="28"/>
        </w:rPr>
        <w:t>Кобилинська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Л.</w:t>
      </w:r>
    </w:p>
    <w:p w:rsidR="004A6983" w:rsidRDefault="004A6983" w:rsidP="004A6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52422">
        <w:rPr>
          <w:rFonts w:ascii="Times New Roman" w:hAnsi="Times New Roman"/>
          <w:i/>
          <w:sz w:val="28"/>
          <w:szCs w:val="28"/>
        </w:rPr>
        <w:t>Харківський</w:t>
      </w:r>
      <w:proofErr w:type="spellEnd"/>
      <w:r w:rsidRPr="002524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Pr="002524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i/>
          <w:sz w:val="28"/>
          <w:szCs w:val="28"/>
        </w:rPr>
        <w:t>медичний</w:t>
      </w:r>
      <w:proofErr w:type="spellEnd"/>
      <w:r w:rsidRPr="002524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A6983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>У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теперішній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час </w:t>
      </w:r>
      <w:r w:rsidRPr="00252422">
        <w:rPr>
          <w:rFonts w:ascii="Times New Roman" w:hAnsi="Times New Roman"/>
          <w:sz w:val="28"/>
          <w:szCs w:val="28"/>
          <w:lang w:val="uk-UA"/>
        </w:rPr>
        <w:t>пальмова олія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52422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2422">
        <w:rPr>
          <w:rFonts w:ascii="Times New Roman" w:hAnsi="Times New Roman"/>
          <w:sz w:val="28"/>
          <w:szCs w:val="28"/>
        </w:rPr>
        <w:t xml:space="preserve">маргарину, </w:t>
      </w:r>
      <w:proofErr w:type="spellStart"/>
      <w:r w:rsidRPr="00252422">
        <w:rPr>
          <w:rFonts w:ascii="Times New Roman" w:hAnsi="Times New Roman"/>
          <w:sz w:val="28"/>
          <w:szCs w:val="28"/>
        </w:rPr>
        <w:t>замінників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молочного жиру, вершкового масла, </w:t>
      </w:r>
      <w:proofErr w:type="spellStart"/>
      <w:r w:rsidRPr="00252422">
        <w:rPr>
          <w:rFonts w:ascii="Times New Roman" w:hAnsi="Times New Roman"/>
          <w:sz w:val="28"/>
          <w:szCs w:val="28"/>
        </w:rPr>
        <w:t>сиру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</w:rPr>
        <w:t>йогуртів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</w:rPr>
        <w:t>кондитерс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ь</w:t>
      </w:r>
      <w:r w:rsidRPr="00252422">
        <w:rPr>
          <w:rFonts w:ascii="Times New Roman" w:hAnsi="Times New Roman"/>
          <w:sz w:val="28"/>
          <w:szCs w:val="28"/>
        </w:rPr>
        <w:t xml:space="preserve">ких </w:t>
      </w:r>
      <w:proofErr w:type="spellStart"/>
      <w:r w:rsidRPr="00252422">
        <w:rPr>
          <w:rFonts w:ascii="Times New Roman" w:hAnsi="Times New Roman"/>
          <w:sz w:val="28"/>
          <w:szCs w:val="28"/>
        </w:rPr>
        <w:t>виробів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та, </w:t>
      </w:r>
      <w:proofErr w:type="spellStart"/>
      <w:r w:rsidRPr="00252422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цього</w:t>
      </w:r>
      <w:proofErr w:type="spellEnd"/>
      <w:r w:rsidRPr="00252422">
        <w:rPr>
          <w:rFonts w:ascii="Times New Roman" w:hAnsi="Times New Roman"/>
          <w:sz w:val="28"/>
          <w:szCs w:val="28"/>
        </w:rPr>
        <w:t>, широко представлен</w:t>
      </w:r>
      <w:r w:rsidRPr="00252422">
        <w:rPr>
          <w:rFonts w:ascii="Times New Roman" w:hAnsi="Times New Roman"/>
          <w:sz w:val="28"/>
          <w:szCs w:val="28"/>
          <w:lang w:val="uk-UA"/>
        </w:rPr>
        <w:t>а</w:t>
      </w:r>
      <w:r w:rsidRPr="002524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52422">
        <w:rPr>
          <w:rFonts w:ascii="Times New Roman" w:hAnsi="Times New Roman"/>
          <w:sz w:val="28"/>
          <w:szCs w:val="28"/>
        </w:rPr>
        <w:t>нашом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у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252422">
        <w:rPr>
          <w:rFonts w:ascii="Times New Roman" w:hAnsi="Times New Roman"/>
          <w:sz w:val="28"/>
          <w:szCs w:val="28"/>
        </w:rPr>
        <w:t>. У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252422">
        <w:rPr>
          <w:rFonts w:ascii="Times New Roman" w:hAnsi="Times New Roman"/>
          <w:sz w:val="28"/>
          <w:szCs w:val="28"/>
        </w:rPr>
        <w:t>’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з цим зросла </w:t>
      </w:r>
      <w:proofErr w:type="spellStart"/>
      <w:r w:rsidRPr="00252422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2422">
        <w:rPr>
          <w:rFonts w:ascii="Times New Roman" w:hAnsi="Times New Roman"/>
          <w:sz w:val="28"/>
          <w:szCs w:val="28"/>
        </w:rPr>
        <w:t>досл</w:t>
      </w:r>
      <w:proofErr w:type="gramEnd"/>
      <w:r w:rsidRPr="00252422">
        <w:rPr>
          <w:rFonts w:ascii="Times New Roman" w:hAnsi="Times New Roman"/>
          <w:sz w:val="28"/>
          <w:szCs w:val="28"/>
        </w:rPr>
        <w:t>іджень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</w:rPr>
        <w:t>націлених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5242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впливу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пальмової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олії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52422">
        <w:rPr>
          <w:rFonts w:ascii="Times New Roman" w:hAnsi="Times New Roman"/>
          <w:sz w:val="28"/>
          <w:szCs w:val="28"/>
        </w:rPr>
        <w:t>функціональний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252422">
        <w:rPr>
          <w:rFonts w:ascii="Times New Roman" w:hAnsi="Times New Roman"/>
          <w:sz w:val="28"/>
          <w:szCs w:val="28"/>
        </w:rPr>
        <w:t>різних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органів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. 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22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r w:rsidRPr="00252422">
        <w:rPr>
          <w:rFonts w:ascii="Times New Roman" w:hAnsi="Times New Roman"/>
          <w:sz w:val="28"/>
          <w:szCs w:val="28"/>
        </w:rPr>
        <w:t>нашого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2422">
        <w:rPr>
          <w:rFonts w:ascii="Times New Roman" w:hAnsi="Times New Roman"/>
          <w:sz w:val="28"/>
          <w:szCs w:val="28"/>
        </w:rPr>
        <w:t>досл</w:t>
      </w:r>
      <w:proofErr w:type="gramEnd"/>
      <w:r w:rsidRPr="0025242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52422">
        <w:rPr>
          <w:rFonts w:ascii="Times New Roman" w:hAnsi="Times New Roman"/>
          <w:sz w:val="28"/>
          <w:szCs w:val="28"/>
        </w:rPr>
        <w:t>оцінка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функціонального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стану </w:t>
      </w:r>
      <w:r w:rsidRPr="00252422">
        <w:rPr>
          <w:rFonts w:ascii="Times New Roman" w:hAnsi="Times New Roman"/>
          <w:sz w:val="28"/>
          <w:szCs w:val="28"/>
          <w:lang w:val="uk-UA"/>
        </w:rPr>
        <w:t>міокарду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щурів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252422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яких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пальмову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олію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. 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52422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252422">
        <w:rPr>
          <w:rFonts w:ascii="Times New Roman" w:hAnsi="Times New Roman"/>
          <w:b/>
          <w:sz w:val="28"/>
          <w:szCs w:val="28"/>
        </w:rPr>
        <w:t>іали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52422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>.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252422">
        <w:rPr>
          <w:rFonts w:ascii="Times New Roman" w:hAnsi="Times New Roman"/>
          <w:sz w:val="28"/>
          <w:szCs w:val="28"/>
        </w:rPr>
        <w:t xml:space="preserve"> проведено на 30 щурах-самках </w:t>
      </w:r>
      <w:proofErr w:type="spellStart"/>
      <w:r w:rsidRPr="00252422">
        <w:rPr>
          <w:rFonts w:ascii="Times New Roman" w:hAnsi="Times New Roman"/>
          <w:sz w:val="28"/>
          <w:szCs w:val="28"/>
        </w:rPr>
        <w:t>популяції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WAG </w:t>
      </w:r>
      <w:proofErr w:type="spellStart"/>
      <w:r w:rsidRPr="00252422">
        <w:rPr>
          <w:rFonts w:ascii="Times New Roman" w:hAnsi="Times New Roman"/>
          <w:sz w:val="28"/>
          <w:szCs w:val="28"/>
        </w:rPr>
        <w:t>масою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120-</w:t>
      </w:r>
      <w:smartTag w:uri="urn:schemas-microsoft-com:office:smarttags" w:element="metricconverter">
        <w:smartTagPr>
          <w:attr w:name="ProductID" w:val="140 г"/>
        </w:smartTagPr>
        <w:r w:rsidRPr="00252422">
          <w:rPr>
            <w:rFonts w:ascii="Times New Roman" w:hAnsi="Times New Roman"/>
            <w:sz w:val="28"/>
            <w:szCs w:val="28"/>
          </w:rPr>
          <w:t>140 г</w:t>
        </w:r>
      </w:smartTag>
      <w:r w:rsidRPr="0025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перебуваючих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52422">
        <w:rPr>
          <w:rFonts w:ascii="Times New Roman" w:hAnsi="Times New Roman"/>
          <w:sz w:val="28"/>
          <w:szCs w:val="28"/>
        </w:rPr>
        <w:t>стандартн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и</w:t>
      </w:r>
      <w:r w:rsidRPr="00252422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252422">
        <w:rPr>
          <w:rFonts w:ascii="Times New Roman" w:hAnsi="Times New Roman"/>
          <w:sz w:val="28"/>
          <w:szCs w:val="28"/>
        </w:rPr>
        <w:t>умовах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віварию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52422">
        <w:rPr>
          <w:rFonts w:ascii="Times New Roman" w:hAnsi="Times New Roman"/>
          <w:sz w:val="28"/>
          <w:szCs w:val="28"/>
        </w:rPr>
        <w:t>Щури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були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розділені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на 3 </w:t>
      </w:r>
      <w:proofErr w:type="spellStart"/>
      <w:r w:rsidRPr="00252422">
        <w:rPr>
          <w:rFonts w:ascii="Times New Roman" w:hAnsi="Times New Roman"/>
          <w:sz w:val="28"/>
          <w:szCs w:val="28"/>
        </w:rPr>
        <w:t>групы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(по 10 особ у </w:t>
      </w:r>
      <w:proofErr w:type="spellStart"/>
      <w:r w:rsidRPr="00252422">
        <w:rPr>
          <w:rFonts w:ascii="Times New Roman" w:hAnsi="Times New Roman"/>
          <w:sz w:val="28"/>
          <w:szCs w:val="28"/>
        </w:rPr>
        <w:t>кожній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): 1) </w:t>
      </w:r>
      <w:proofErr w:type="spellStart"/>
      <w:r w:rsidRPr="00252422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група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</w:t>
      </w:r>
      <w:r w:rsidRPr="00252422">
        <w:rPr>
          <w:rFonts w:ascii="Times New Roman" w:hAnsi="Times New Roman"/>
          <w:sz w:val="28"/>
          <w:szCs w:val="28"/>
          <w:lang w:val="uk-UA"/>
        </w:rPr>
        <w:t>з</w:t>
      </w:r>
      <w:r w:rsidRPr="00252422">
        <w:rPr>
          <w:rFonts w:ascii="Times New Roman" w:hAnsi="Times New Roman"/>
          <w:sz w:val="28"/>
          <w:szCs w:val="28"/>
        </w:rPr>
        <w:t>находились на стандартном</w:t>
      </w:r>
      <w:r w:rsidRPr="00252422">
        <w:rPr>
          <w:rFonts w:ascii="Times New Roman" w:hAnsi="Times New Roman"/>
          <w:sz w:val="28"/>
          <w:szCs w:val="28"/>
          <w:lang w:val="uk-UA"/>
        </w:rPr>
        <w:t>у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раціоні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харчування</w:t>
      </w:r>
      <w:r w:rsidRPr="00252422">
        <w:rPr>
          <w:rFonts w:ascii="Times New Roman" w:hAnsi="Times New Roman"/>
          <w:sz w:val="28"/>
          <w:szCs w:val="28"/>
        </w:rPr>
        <w:t xml:space="preserve">; 2) </w:t>
      </w:r>
      <w:proofErr w:type="spellStart"/>
      <w:r w:rsidRPr="00252422">
        <w:rPr>
          <w:rFonts w:ascii="Times New Roman" w:hAnsi="Times New Roman"/>
          <w:sz w:val="28"/>
          <w:szCs w:val="28"/>
        </w:rPr>
        <w:t>щури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в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харчуванні яких 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щоден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но </w:t>
      </w:r>
      <w:r w:rsidRPr="00252422">
        <w:rPr>
          <w:rFonts w:ascii="Times New Roman" w:hAnsi="Times New Roman"/>
          <w:sz w:val="28"/>
          <w:szCs w:val="28"/>
          <w:lang w:val="uk-UA"/>
        </w:rPr>
        <w:t>використовували соняшникову олію</w:t>
      </w:r>
      <w:r w:rsidRPr="00252422">
        <w:rPr>
          <w:rFonts w:ascii="Times New Roman" w:hAnsi="Times New Roman"/>
          <w:sz w:val="28"/>
          <w:szCs w:val="28"/>
        </w:rPr>
        <w:t xml:space="preserve"> у к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ількості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г"/>
        </w:smartTagPr>
        <w:r w:rsidRPr="00252422">
          <w:rPr>
            <w:rFonts w:ascii="Times New Roman" w:hAnsi="Times New Roman"/>
            <w:sz w:val="28"/>
            <w:szCs w:val="28"/>
          </w:rPr>
          <w:t>30 г</w:t>
        </w:r>
      </w:smartTag>
      <w:r w:rsidRPr="00252422">
        <w:rPr>
          <w:rFonts w:ascii="Times New Roman" w:hAnsi="Times New Roman"/>
          <w:sz w:val="28"/>
          <w:szCs w:val="28"/>
        </w:rPr>
        <w:t xml:space="preserve"> на кг </w:t>
      </w:r>
      <w:proofErr w:type="spellStart"/>
      <w:r w:rsidRPr="00252422">
        <w:rPr>
          <w:rFonts w:ascii="Times New Roman" w:hAnsi="Times New Roman"/>
          <w:sz w:val="28"/>
          <w:szCs w:val="28"/>
        </w:rPr>
        <w:t>маси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(группа </w:t>
      </w:r>
      <w:proofErr w:type="spellStart"/>
      <w:r w:rsidRPr="00252422">
        <w:rPr>
          <w:rFonts w:ascii="Times New Roman" w:hAnsi="Times New Roman"/>
          <w:sz w:val="28"/>
          <w:szCs w:val="28"/>
        </w:rPr>
        <w:t>порівнянняя</w:t>
      </w:r>
      <w:proofErr w:type="spellEnd"/>
      <w:r w:rsidRPr="00252422">
        <w:rPr>
          <w:rFonts w:ascii="Times New Roman" w:hAnsi="Times New Roman"/>
          <w:sz w:val="28"/>
          <w:szCs w:val="28"/>
        </w:rPr>
        <w:t>);</w:t>
      </w:r>
      <w:proofErr w:type="gramEnd"/>
      <w:r w:rsidRPr="00252422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52422">
        <w:rPr>
          <w:rFonts w:ascii="Times New Roman" w:hAnsi="Times New Roman"/>
          <w:sz w:val="28"/>
          <w:szCs w:val="28"/>
        </w:rPr>
        <w:t>щури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, в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харчуванні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яки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щоден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но </w:t>
      </w:r>
      <w:r w:rsidRPr="00252422">
        <w:rPr>
          <w:rFonts w:ascii="Times New Roman" w:hAnsi="Times New Roman"/>
          <w:sz w:val="28"/>
          <w:szCs w:val="28"/>
          <w:lang w:val="uk-UA"/>
        </w:rPr>
        <w:t>застосовували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пальмову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олію</w:t>
      </w:r>
      <w:r w:rsidRPr="00252422">
        <w:rPr>
          <w:rFonts w:ascii="Times New Roman" w:hAnsi="Times New Roman"/>
          <w:sz w:val="28"/>
          <w:szCs w:val="28"/>
        </w:rPr>
        <w:t xml:space="preserve"> у к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ількості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30 г/кг (</w:t>
      </w:r>
      <w:proofErr w:type="spellStart"/>
      <w:proofErr w:type="gramStart"/>
      <w:r w:rsidRPr="00252422">
        <w:rPr>
          <w:rFonts w:ascii="Times New Roman" w:hAnsi="Times New Roman"/>
          <w:sz w:val="28"/>
          <w:szCs w:val="28"/>
        </w:rPr>
        <w:t>досл</w:t>
      </w:r>
      <w:proofErr w:type="gramEnd"/>
      <w:r w:rsidRPr="00252422">
        <w:rPr>
          <w:rFonts w:ascii="Times New Roman" w:hAnsi="Times New Roman"/>
          <w:sz w:val="28"/>
          <w:szCs w:val="28"/>
        </w:rPr>
        <w:t>ідна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група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). </w:t>
      </w:r>
      <w:r w:rsidRPr="00252422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252422">
        <w:rPr>
          <w:rFonts w:ascii="Times New Roman" w:hAnsi="Times New Roman"/>
          <w:sz w:val="28"/>
          <w:szCs w:val="28"/>
        </w:rPr>
        <w:t>ксперимент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продовжувався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252422">
        <w:rPr>
          <w:rFonts w:ascii="Times New Roman" w:hAnsi="Times New Roman"/>
          <w:sz w:val="28"/>
          <w:szCs w:val="28"/>
        </w:rPr>
        <w:t>тижнів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. Крис </w:t>
      </w:r>
      <w:proofErr w:type="spellStart"/>
      <w:r w:rsidRPr="00252422">
        <w:rPr>
          <w:rFonts w:ascii="Times New Roman" w:hAnsi="Times New Roman"/>
          <w:sz w:val="28"/>
          <w:szCs w:val="28"/>
        </w:rPr>
        <w:t>виводили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52422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Pr="00252422">
        <w:rPr>
          <w:rFonts w:ascii="Times New Roman" w:hAnsi="Times New Roman"/>
          <w:sz w:val="28"/>
          <w:szCs w:val="28"/>
        </w:rPr>
        <w:t>декапітації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. Для </w:t>
      </w:r>
      <w:proofErr w:type="gramStart"/>
      <w:r w:rsidRPr="00252422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Pr="00252422">
        <w:rPr>
          <w:rFonts w:ascii="Times New Roman" w:hAnsi="Times New Roman"/>
          <w:sz w:val="28"/>
          <w:szCs w:val="28"/>
          <w:lang w:val="uk-UA"/>
        </w:rPr>
        <w:t>іджень використовували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краніальну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кров та 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гомогенат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міокарду</w:t>
      </w:r>
      <w:r w:rsidRPr="0025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</w:rPr>
        <w:t>приготов</w:t>
      </w:r>
      <w:r w:rsidRPr="00252422">
        <w:rPr>
          <w:rFonts w:ascii="Times New Roman" w:hAnsi="Times New Roman"/>
          <w:sz w:val="28"/>
          <w:szCs w:val="28"/>
          <w:lang w:val="uk-UA"/>
        </w:rPr>
        <w:t>аний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на 0,25м </w:t>
      </w:r>
      <w:proofErr w:type="spellStart"/>
      <w:r w:rsidRPr="00252422">
        <w:rPr>
          <w:rFonts w:ascii="Times New Roman" w:hAnsi="Times New Roman"/>
          <w:sz w:val="28"/>
          <w:szCs w:val="28"/>
        </w:rPr>
        <w:t>трис</w:t>
      </w:r>
      <w:proofErr w:type="spellEnd"/>
      <w:r w:rsidRPr="00252422">
        <w:rPr>
          <w:rFonts w:ascii="Times New Roman" w:hAnsi="Times New Roman"/>
          <w:sz w:val="28"/>
          <w:szCs w:val="28"/>
        </w:rPr>
        <w:t>-НС</w:t>
      </w:r>
      <w:r w:rsidRPr="00252422">
        <w:rPr>
          <w:rFonts w:ascii="Times New Roman" w:hAnsi="Times New Roman"/>
          <w:sz w:val="28"/>
          <w:szCs w:val="28"/>
          <w:lang w:val="en-US"/>
        </w:rPr>
        <w:t>l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буфері</w:t>
      </w:r>
      <w:proofErr w:type="spellEnd"/>
      <w:r w:rsidRPr="00252422">
        <w:rPr>
          <w:rFonts w:ascii="Times New Roman" w:hAnsi="Times New Roman"/>
          <w:sz w:val="28"/>
          <w:szCs w:val="28"/>
        </w:rPr>
        <w:t>, рН 7,4,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252422">
        <w:rPr>
          <w:rFonts w:ascii="Times New Roman" w:hAnsi="Times New Roman"/>
          <w:sz w:val="28"/>
          <w:szCs w:val="28"/>
        </w:rPr>
        <w:t xml:space="preserve"> як</w:t>
      </w:r>
      <w:r w:rsidRPr="00252422">
        <w:rPr>
          <w:rFonts w:ascii="Times New Roman" w:hAnsi="Times New Roman"/>
          <w:sz w:val="28"/>
          <w:szCs w:val="28"/>
          <w:lang w:val="uk-UA"/>
        </w:rPr>
        <w:t>і</w:t>
      </w:r>
      <w:r w:rsidRPr="00252422">
        <w:rPr>
          <w:rFonts w:ascii="Times New Roman" w:hAnsi="Times New Roman"/>
          <w:sz w:val="28"/>
          <w:szCs w:val="28"/>
        </w:rPr>
        <w:t xml:space="preserve">й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додавали </w:t>
      </w:r>
      <w:smartTag w:uri="urn:schemas-microsoft-com:office:smarttags" w:element="metricconverter">
        <w:smartTagPr>
          <w:attr w:name="ProductID" w:val="0,32 М"/>
        </w:smartTagPr>
        <w:r w:rsidRPr="00252422">
          <w:rPr>
            <w:rFonts w:ascii="Times New Roman" w:hAnsi="Times New Roman"/>
            <w:sz w:val="28"/>
            <w:szCs w:val="28"/>
            <w:lang w:val="uk-UA"/>
          </w:rPr>
          <w:t>0,32 М</w:t>
        </w:r>
      </w:smartTag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сахарлху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.</w:t>
      </w:r>
      <w:r w:rsidRPr="002524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52422">
        <w:rPr>
          <w:rFonts w:ascii="Times New Roman" w:hAnsi="Times New Roman"/>
          <w:sz w:val="28"/>
          <w:szCs w:val="28"/>
        </w:rPr>
        <w:t>сироватці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крові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визначали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>вмі</w:t>
      </w:r>
      <w:proofErr w:type="gramStart"/>
      <w:r w:rsidRPr="00252422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252422">
        <w:rPr>
          <w:rFonts w:ascii="Times New Roman" w:hAnsi="Times New Roman"/>
          <w:sz w:val="28"/>
          <w:szCs w:val="28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КФК-МБ, ЛДГ</w:t>
      </w:r>
      <w:r w:rsidRPr="0025242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тропонину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, міоглобіну за допомогою експрес-тестів фірми "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Фармаско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", активність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спектрофотометричним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метод</w:t>
      </w:r>
      <w:r w:rsidRPr="00252422">
        <w:rPr>
          <w:rFonts w:ascii="Times New Roman" w:hAnsi="Times New Roman"/>
          <w:sz w:val="28"/>
          <w:szCs w:val="28"/>
          <w:lang w:val="uk-UA"/>
        </w:rPr>
        <w:t>ом</w:t>
      </w:r>
      <w:r w:rsidRPr="00252422">
        <w:rPr>
          <w:rFonts w:ascii="Times New Roman" w:hAnsi="Times New Roman"/>
          <w:sz w:val="28"/>
          <w:szCs w:val="28"/>
        </w:rPr>
        <w:t xml:space="preserve"> за </w:t>
      </w:r>
      <w:r w:rsidRPr="00252422">
        <w:rPr>
          <w:rFonts w:ascii="Times New Roman" w:hAnsi="Times New Roman"/>
          <w:sz w:val="28"/>
          <w:szCs w:val="28"/>
          <w:lang w:val="uk-UA"/>
        </w:rPr>
        <w:t>допомогою</w:t>
      </w:r>
      <w:r w:rsidRPr="00252422">
        <w:rPr>
          <w:rFonts w:ascii="Times New Roman" w:hAnsi="Times New Roman"/>
          <w:sz w:val="28"/>
          <w:szCs w:val="28"/>
        </w:rPr>
        <w:t xml:space="preserve"> набор</w:t>
      </w:r>
      <w:r w:rsidRPr="00252422">
        <w:rPr>
          <w:rFonts w:ascii="Times New Roman" w:hAnsi="Times New Roman"/>
          <w:sz w:val="28"/>
          <w:szCs w:val="28"/>
          <w:lang w:val="uk-UA"/>
        </w:rPr>
        <w:t>у</w:t>
      </w:r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реактивів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</w:rPr>
        <w:t>фірми</w:t>
      </w:r>
      <w:proofErr w:type="spellEnd"/>
      <w:r w:rsidRPr="0025242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252422">
        <w:rPr>
          <w:rFonts w:ascii="Times New Roman" w:hAnsi="Times New Roman"/>
          <w:sz w:val="28"/>
          <w:szCs w:val="28"/>
        </w:rPr>
        <w:t>Філісіт-Діагностика</w:t>
      </w:r>
      <w:proofErr w:type="spellEnd"/>
      <w:r w:rsidRPr="00252422">
        <w:rPr>
          <w:rFonts w:ascii="Times New Roman" w:hAnsi="Times New Roman"/>
          <w:sz w:val="28"/>
          <w:szCs w:val="28"/>
        </w:rPr>
        <w:t>" (</w:t>
      </w:r>
      <w:proofErr w:type="spellStart"/>
      <w:r w:rsidRPr="00252422">
        <w:rPr>
          <w:rFonts w:ascii="Times New Roman" w:hAnsi="Times New Roman"/>
          <w:sz w:val="28"/>
          <w:szCs w:val="28"/>
        </w:rPr>
        <w:t>Дніпропетровс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>ь</w:t>
      </w:r>
      <w:r w:rsidRPr="00252422">
        <w:rPr>
          <w:rFonts w:ascii="Times New Roman" w:hAnsi="Times New Roman"/>
          <w:sz w:val="28"/>
          <w:szCs w:val="28"/>
        </w:rPr>
        <w:t>к).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Для оцінки функціонального стану ендотелію визначали вміст фактору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Віллібрандта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ФВб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) фотометричним методом  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гомогенатах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міокарду визначали  вміст  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пірувату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лактату активність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креатинфосфокінази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АлАТ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за допомогою на</w:t>
      </w:r>
      <w:r>
        <w:rPr>
          <w:rFonts w:ascii="Times New Roman" w:hAnsi="Times New Roman"/>
          <w:sz w:val="28"/>
          <w:szCs w:val="28"/>
          <w:lang w:val="uk-UA"/>
        </w:rPr>
        <w:t>борів реактивів фірми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Ольвекс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".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. Встановлено, що у сироватці крові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шурів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гр. 3 підвищено рівень КФК-МБ,  ЛДГ</w:t>
      </w:r>
      <w:r w:rsidRPr="0025242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та активність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25242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при відсутності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тропонину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та міоглобіну 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шо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свідчіть о наявності лише дестабілізації мембран клітин міокарду .У щурів гр. 2 не визначено відхилень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вивчаємих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показників порівняно із групою контролю.   У щурів гр. 3 також значно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підвищен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рівень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ФВб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порівняно із гр.1 и 2 ( 158 ±9,5%в гр. 3,  87,5 ±3,2 % в гр.2,  90,0 %в гр.1 ), що свідчить про розвиток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у щурів що отримували у складі їжі пальмову олію. 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гомогенатах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міокарду щурів гр.3 виявлено значне підвищення співвідношення лактат /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піруват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активности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креатинфосфокінази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АлАТ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порівняно із щурами гр.1 та 2. Ці данні свідчать про зниження утилізації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пірувату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(можливо за рахунок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зниженної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активності ПДГ 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звꞌязку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з наявністю гіпоксії ) та активації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віикористанія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креатинфосфату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у якості енергетичного субстрату. Підвищення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активностей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АсАт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АлАТ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гомогенатах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тканин щурів гр.3 можна розглядати як ознаку підвищеного катаболізму білків у клітинах міокарду. Слід відзначити, що </w:t>
      </w:r>
      <w:r w:rsidRPr="00252422">
        <w:rPr>
          <w:rFonts w:ascii="Times New Roman" w:hAnsi="Times New Roman"/>
          <w:sz w:val="28"/>
          <w:szCs w:val="28"/>
          <w:lang w:val="uk-UA"/>
        </w:rPr>
        <w:lastRenderedPageBreak/>
        <w:t xml:space="preserve">вживання з продуктами харчування соняшникової олії не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приводит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до достовірних змін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вивчаємих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показників.  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>Висновок.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Застосування у харчуванні щурів пальмової олії призводить до дестабілізації мембран клітин міокарду, розвитку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порушень енергетичного обміну, що може стати причиною розвитку патології міокарду. </w:t>
      </w:r>
    </w:p>
    <w:p w:rsidR="004A6983" w:rsidRPr="00252422" w:rsidRDefault="004A6983" w:rsidP="004A6983">
      <w:pPr>
        <w:spacing w:after="0" w:line="240" w:lineRule="auto"/>
        <w:jc w:val="both"/>
        <w:rPr>
          <w:lang w:val="uk-UA"/>
        </w:rPr>
      </w:pPr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>СУЧАСНІ КЛІНІКО-ЛАБОРАТОРНІ МЕТОДИ ДІАГНОСТИКИ АТЕРОСКЛЕРОЗУ</w:t>
      </w:r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52422">
        <w:rPr>
          <w:rFonts w:ascii="Times New Roman" w:hAnsi="Times New Roman"/>
          <w:b/>
          <w:sz w:val="28"/>
          <w:szCs w:val="28"/>
          <w:lang w:val="uk-UA"/>
        </w:rPr>
        <w:t>Рапота</w:t>
      </w:r>
      <w:proofErr w:type="spellEnd"/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А.І. , </w:t>
      </w:r>
      <w:proofErr w:type="spellStart"/>
      <w:r w:rsidRPr="00252422">
        <w:rPr>
          <w:rFonts w:ascii="Times New Roman" w:hAnsi="Times New Roman"/>
          <w:b/>
          <w:sz w:val="28"/>
          <w:szCs w:val="28"/>
          <w:lang w:val="uk-UA"/>
        </w:rPr>
        <w:t>Кошиль</w:t>
      </w:r>
      <w:proofErr w:type="spellEnd"/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М.С., Горбач Т.В.</w:t>
      </w:r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2422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A6983" w:rsidRPr="00252422" w:rsidRDefault="004A6983" w:rsidP="004A69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6983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Діагностика атеросклерозу судин за допомогою лабораторних методів, що засновані на біохімічному дослідженні ліпідних фракцій крові не втратила своєї актуальності, але є недостатньою для постановки точного діагнозу. Патологічні рівні загального ХС, Х-ЛПНЩ та ХС-ЛПВЩ дійсно є маркерами наявності атеросклерозу. Але нормальні концентрації загального ХС, ХС-ЛПНЩ та ЛПВЩ не обов'язково свідчать о відсутності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атерогенезу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[1].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Одним з найпростіших методів діагностики атеросклерозу є визначення відношення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аполіпопротеїну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В, що є складовою ЛПНЩ до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аполіпопротеїну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А, який знаходиться у ЛПВЩ. Таким чином можна виявити ризик появи атеросклерозу або його наявність навіть при нормальному значенні загального холестерину [1]. 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У ряді досліджень показана висока кореляція між вмістом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гомоцистеїну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 крові і ризиком розвитку атеросклерозу та ішемії мозку, особливо у молодих людей [2].</w:t>
      </w:r>
      <w:r w:rsidRPr="00252422">
        <w:rPr>
          <w:lang w:val="uk-UA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Механізм активізації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атерогенезу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внаслідок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гіпергомоцистеїнемії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імовірно обумовлений як прямим ушкодженням ендотелію судин, так і активізацією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перекисного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окислення ліпідів; при цьому утворюються модифіковані ЛПНЩ, які пошкоджують ендотелій судинної стінки, а також пригнічують продукцію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ендотеліального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вазодилатуючого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фактора (</w:t>
      </w:r>
      <w:r w:rsidRPr="00252422">
        <w:rPr>
          <w:rFonts w:ascii="Times New Roman" w:hAnsi="Times New Roman"/>
          <w:sz w:val="28"/>
          <w:szCs w:val="28"/>
        </w:rPr>
        <w:t>NO</w:t>
      </w:r>
      <w:r w:rsidRPr="00252422">
        <w:rPr>
          <w:rFonts w:ascii="Times New Roman" w:hAnsi="Times New Roman"/>
          <w:sz w:val="28"/>
          <w:szCs w:val="28"/>
          <w:lang w:val="uk-UA"/>
        </w:rPr>
        <w:t>).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 Ще одним важливим критерієм діагностики атеросклерозу є визначення С – реактивного білка (СРБ). Його висока концентрація має тісну кореляцію з наявністю тонкостінних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фіброатером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[3]. Рівень СРБ &gt; 2мг</w:t>
      </w:r>
      <w:r w:rsidRPr="00252422">
        <w:rPr>
          <w:rFonts w:ascii="Times New Roman" w:hAnsi="Times New Roman"/>
          <w:sz w:val="28"/>
          <w:szCs w:val="28"/>
        </w:rPr>
        <w:t>/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л вважається незалежним маркером серцево-судинних ускладнень, обумовлених атеросклерозом [3]. </w:t>
      </w:r>
    </w:p>
    <w:p w:rsidR="004A6983" w:rsidRPr="00252422" w:rsidRDefault="004A6983" w:rsidP="004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В останні роки у якості маркера нестабільності атеросклерозу активно досліджується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ліпопротеїн-асоційована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фосфоліпаза А</w:t>
      </w:r>
      <w:r w:rsidRPr="0025242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[4]. Вона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гідролізує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фосфоліпіди в ЛПНЩ з утворенням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лізофосфатидилхоліну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який виступає у ролі медіатора запалення 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проатерогенного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фактора. Перспективним напрямом у дослідженні атеросклерозу є моніторинг рівня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матриксної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металопротеінази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. Вона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експресується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у зонах атеросклеротичних бляшок, особливо у плечовій зоні капсули, що може приводити до ослаблення фіброзної капсули і подальшої дестабілізації атеросклеротичного дефекту [4].</w:t>
      </w:r>
    </w:p>
    <w:p w:rsidR="00A91A5B" w:rsidRPr="004A6983" w:rsidRDefault="00A91A5B">
      <w:pPr>
        <w:rPr>
          <w:lang w:val="uk-UA"/>
        </w:rPr>
      </w:pPr>
      <w:bookmarkStart w:id="0" w:name="_GoBack"/>
      <w:bookmarkEnd w:id="0"/>
    </w:p>
    <w:sectPr w:rsidR="00A91A5B" w:rsidRPr="004A6983" w:rsidSect="004A6983">
      <w:footerReference w:type="default" r:id="rId7"/>
      <w:pgSz w:w="11906" w:h="16838"/>
      <w:pgMar w:top="720" w:right="851" w:bottom="1134" w:left="1622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73" w:rsidRDefault="00167073" w:rsidP="004A6983">
      <w:pPr>
        <w:spacing w:after="0" w:line="240" w:lineRule="auto"/>
      </w:pPr>
      <w:r>
        <w:separator/>
      </w:r>
    </w:p>
  </w:endnote>
  <w:endnote w:type="continuationSeparator" w:id="0">
    <w:p w:rsidR="00167073" w:rsidRDefault="00167073" w:rsidP="004A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295139"/>
      <w:docPartObj>
        <w:docPartGallery w:val="Page Numbers (Bottom of Page)"/>
        <w:docPartUnique/>
      </w:docPartObj>
    </w:sdtPr>
    <w:sdtContent>
      <w:p w:rsidR="004A6983" w:rsidRDefault="004A69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:rsidR="004A6983" w:rsidRDefault="004A6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73" w:rsidRDefault="00167073" w:rsidP="004A6983">
      <w:pPr>
        <w:spacing w:after="0" w:line="240" w:lineRule="auto"/>
      </w:pPr>
      <w:r>
        <w:separator/>
      </w:r>
    </w:p>
  </w:footnote>
  <w:footnote w:type="continuationSeparator" w:id="0">
    <w:p w:rsidR="00167073" w:rsidRDefault="00167073" w:rsidP="004A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6"/>
    <w:rsid w:val="000F62AB"/>
    <w:rsid w:val="00167073"/>
    <w:rsid w:val="003E051A"/>
    <w:rsid w:val="004A6983"/>
    <w:rsid w:val="00520601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F5D2B"/>
    <w:rsid w:val="00E92676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98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98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98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9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2018-12-11T11:48:00Z</dcterms:created>
  <dcterms:modified xsi:type="dcterms:W3CDTF">2018-12-11T11:48:00Z</dcterms:modified>
</cp:coreProperties>
</file>