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D8" w:rsidRPr="00407041" w:rsidRDefault="00B314D8" w:rsidP="00B31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07041">
        <w:rPr>
          <w:rStyle w:val="shorttext"/>
          <w:rFonts w:ascii="Times New Roman" w:hAnsi="Times New Roman"/>
          <w:sz w:val="28"/>
          <w:szCs w:val="28"/>
          <w:lang w:val="uk-UA"/>
        </w:rPr>
        <w:t>алергію у анамнезі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. Тест </w:t>
      </w:r>
      <w:r w:rsidRPr="00407041">
        <w:rPr>
          <w:rFonts w:ascii="Times New Roman" w:hAnsi="Times New Roman"/>
          <w:sz w:val="28"/>
          <w:szCs w:val="28"/>
        </w:rPr>
        <w:t>ALEX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 дозволяє одночасно визначити рівень специфічних </w:t>
      </w:r>
      <w:r w:rsidRPr="00407041">
        <w:rPr>
          <w:rFonts w:ascii="Times New Roman" w:hAnsi="Times New Roman"/>
          <w:sz w:val="28"/>
          <w:szCs w:val="28"/>
          <w:lang w:val="en-US"/>
        </w:rPr>
        <w:t>IgE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-антитіл до алергенних молекул і екстрактів алергенів в крові. </w:t>
      </w:r>
    </w:p>
    <w:p w:rsidR="00B314D8" w:rsidRPr="00407041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41">
        <w:rPr>
          <w:rFonts w:ascii="Times New Roman" w:hAnsi="Times New Roman"/>
          <w:sz w:val="28"/>
          <w:szCs w:val="28"/>
          <w:lang w:val="uk-UA"/>
        </w:rPr>
        <w:t xml:space="preserve">У поєднанні з анамнестичними даними і фізичним обстеженням пацієнта, використання тесту </w:t>
      </w:r>
      <w:r w:rsidRPr="00407041">
        <w:rPr>
          <w:rFonts w:ascii="Times New Roman" w:hAnsi="Times New Roman"/>
          <w:sz w:val="28"/>
          <w:szCs w:val="28"/>
        </w:rPr>
        <w:t>ALEX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 дозволяє отримати діагностичну інформацію, яка допомогає підібрати компоненти алергенспецифічної імунотерапії і прогнозувати її ефективність, оцінити ризик розвитку важких системних алергічних реакцій (анафілаксії) на харчові продукти, спрогнозувати можливість існування перекрестно-реактивних реакції на визначені алергени. </w:t>
      </w:r>
    </w:p>
    <w:p w:rsidR="00B314D8" w:rsidRPr="00407041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41">
        <w:rPr>
          <w:rFonts w:ascii="Times New Roman" w:hAnsi="Times New Roman"/>
          <w:sz w:val="28"/>
          <w:szCs w:val="28"/>
          <w:lang w:val="uk-UA"/>
        </w:rPr>
        <w:t xml:space="preserve">Для здійснення алергодіагностики при виконанні тесту </w:t>
      </w:r>
      <w:r w:rsidRPr="00407041">
        <w:rPr>
          <w:rFonts w:ascii="Times New Roman" w:hAnsi="Times New Roman"/>
          <w:sz w:val="28"/>
          <w:szCs w:val="28"/>
        </w:rPr>
        <w:t>ALEX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 використовуються 160 екстрактів алергенів і 122 алергенних молекул. Вони включають в себе білкові молекули з групи білків переносників ліпідів (LTP) і PR-10, які представлені у 20 алергологічних панелях, розроблених з урахуванням клінічних проявів алергії (наприклад, пилкові, харчові, інсектні і інші).</w:t>
      </w:r>
    </w:p>
    <w:p w:rsidR="00B314D8" w:rsidRPr="00407041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41">
        <w:rPr>
          <w:rFonts w:ascii="Times New Roman" w:hAnsi="Times New Roman"/>
          <w:sz w:val="28"/>
          <w:szCs w:val="28"/>
          <w:lang w:val="uk-UA"/>
        </w:rPr>
        <w:t xml:space="preserve">Наприклад, білки зберігання, такі як Ara h 1,2,3 або 6, можуть викликати важкі алергічні реакції, в тому числі і анафілактичний шок. Навпаки, сенсибілізація до Ara h 8, білку сімейства PR-10 зазвичай не викликає важких реакцій, і часто проявляється у вигляді орального алергічного синдрому. У той же час результат тесту на екстракт до арахісу буде позитивним, і дає потенційну невизначеність як для лікаря, так і для пацієнта в плані дієтичних рекомендацій. Тест </w:t>
      </w:r>
      <w:r w:rsidRPr="00407041">
        <w:rPr>
          <w:rFonts w:ascii="Times New Roman" w:hAnsi="Times New Roman"/>
          <w:sz w:val="28"/>
          <w:szCs w:val="28"/>
          <w:lang w:val="en-US"/>
        </w:rPr>
        <w:t>ALEX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 дозволяє визначити наявність специфічних </w:t>
      </w:r>
      <w:r w:rsidRPr="00407041">
        <w:rPr>
          <w:rFonts w:ascii="Times New Roman" w:hAnsi="Times New Roman"/>
          <w:sz w:val="28"/>
          <w:szCs w:val="28"/>
          <w:lang w:val="en-US"/>
        </w:rPr>
        <w:t>IgE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-антитіл до різних харчових алергенів, таких як соя, пшениця, молоко, до пилкових алергенів, таких як береза, ліщина, волоський горіх і встановити можливість розвитку перехресної алергії на різні групи білків з сімейств Profilin і Polcalcin, наприклад, Phl p 7/12, Ole e 1 / Fra e 1, Bet v 1. </w:t>
      </w: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41">
        <w:rPr>
          <w:rFonts w:ascii="Times New Roman" w:hAnsi="Times New Roman"/>
          <w:sz w:val="28"/>
          <w:szCs w:val="28"/>
          <w:lang w:val="uk-UA"/>
        </w:rPr>
        <w:t xml:space="preserve">Таким чином, використання тесту </w:t>
      </w:r>
      <w:r w:rsidRPr="00407041">
        <w:rPr>
          <w:rFonts w:ascii="Times New Roman" w:hAnsi="Times New Roman"/>
          <w:sz w:val="28"/>
          <w:szCs w:val="28"/>
        </w:rPr>
        <w:t>ALEX</w:t>
      </w:r>
      <w:r w:rsidRPr="00407041">
        <w:rPr>
          <w:rFonts w:ascii="Times New Roman" w:hAnsi="Times New Roman"/>
          <w:sz w:val="28"/>
          <w:szCs w:val="28"/>
          <w:lang w:val="uk-UA"/>
        </w:rPr>
        <w:t xml:space="preserve"> дозволяє значно розширити діагностичні можливості сенсибілізації хворих до різних груп і видів алергенів та алерген-компонентів, що значно підвищує точність діагностики алергії, прогнозування виникнення анафілактичних реакцій. </w:t>
      </w:r>
    </w:p>
    <w:p w:rsidR="00B314D8" w:rsidRDefault="00B314D8" w:rsidP="00B314D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lang w:val="uk-UA"/>
        </w:rPr>
      </w:pPr>
    </w:p>
    <w:p w:rsidR="00B314D8" w:rsidRPr="00FD7F47" w:rsidRDefault="00B314D8" w:rsidP="00B314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FD7F47">
        <w:rPr>
          <w:rFonts w:ascii="Times New Roman" w:hAnsi="Times New Roman"/>
          <w:b/>
          <w:sz w:val="28"/>
          <w:lang w:val="uk-UA"/>
        </w:rPr>
        <w:t>ОСОБЛИВОСТІ ЗМІН ГЕМАТОЛОГІЧНИХ ПОКАЗНИКІВ ПРИ ТОКСИЧНІЙ ДІЇ НІТРОБЕНЗОЛУ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D7F47">
        <w:rPr>
          <w:rFonts w:ascii="Times New Roman" w:hAnsi="Times New Roman"/>
          <w:b/>
          <w:sz w:val="28"/>
          <w:lang w:val="uk-UA"/>
        </w:rPr>
        <w:t>В УМОВАХ ХОЛОДОВОГО СТРЕСУ</w:t>
      </w:r>
    </w:p>
    <w:p w:rsidR="00B314D8" w:rsidRPr="00FD7F47" w:rsidRDefault="00B314D8" w:rsidP="00B314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FD7F47">
        <w:rPr>
          <w:rFonts w:ascii="Times New Roman" w:hAnsi="Times New Roman"/>
          <w:b/>
          <w:sz w:val="28"/>
          <w:lang w:val="uk-UA"/>
        </w:rPr>
        <w:t>Бачинський Р.О., Компанієць П.Е.</w:t>
      </w:r>
    </w:p>
    <w:p w:rsidR="00B314D8" w:rsidRDefault="00B314D8" w:rsidP="00B314D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  <w:r w:rsidRPr="00FD7F47">
        <w:rPr>
          <w:rFonts w:ascii="Times New Roman" w:hAnsi="Times New Roman"/>
          <w:i/>
          <w:sz w:val="28"/>
          <w:lang w:val="uk-UA"/>
        </w:rPr>
        <w:t>Харківський національний медичний університет</w:t>
      </w:r>
    </w:p>
    <w:p w:rsidR="00B314D8" w:rsidRPr="00FD7F47" w:rsidRDefault="00B314D8" w:rsidP="00B314D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</w:p>
    <w:p w:rsidR="00B314D8" w:rsidRPr="00FD7F47" w:rsidRDefault="00B314D8" w:rsidP="00B314D8">
      <w:pPr>
        <w:widowControl w:val="0"/>
        <w:spacing w:after="0" w:line="240" w:lineRule="auto"/>
        <w:ind w:firstLine="1077"/>
        <w:jc w:val="both"/>
        <w:rPr>
          <w:rFonts w:ascii="Times New Roman" w:hAnsi="Times New Roman"/>
          <w:sz w:val="28"/>
          <w:lang w:val="uk-UA"/>
        </w:rPr>
      </w:pPr>
      <w:r w:rsidRPr="00FD7F47">
        <w:rPr>
          <w:rFonts w:ascii="Times New Roman" w:hAnsi="Times New Roman"/>
          <w:sz w:val="28"/>
          <w:lang w:val="uk-UA"/>
        </w:rPr>
        <w:t xml:space="preserve">У сучасній літературі не зустрічається даних щодо сполученої дії нітробензолу </w:t>
      </w:r>
      <w:r w:rsidRPr="00FD7F47">
        <w:rPr>
          <w:rFonts w:ascii="Times New Roman" w:hAnsi="Times New Roman"/>
          <w:sz w:val="28"/>
        </w:rPr>
        <w:t>[</w:t>
      </w:r>
      <w:r w:rsidRPr="00FD7F47">
        <w:rPr>
          <w:rFonts w:ascii="Times New Roman" w:hAnsi="Times New Roman"/>
          <w:sz w:val="28"/>
          <w:lang w:val="uk-UA"/>
        </w:rPr>
        <w:t>НБ</w:t>
      </w:r>
      <w:r w:rsidRPr="00FD7F47">
        <w:rPr>
          <w:rFonts w:ascii="Times New Roman" w:hAnsi="Times New Roman"/>
          <w:sz w:val="28"/>
        </w:rPr>
        <w:t>]</w:t>
      </w:r>
      <w:r w:rsidRPr="00FD7F47">
        <w:rPr>
          <w:rFonts w:ascii="Times New Roman" w:hAnsi="Times New Roman"/>
          <w:sz w:val="28"/>
          <w:lang w:val="uk-UA"/>
        </w:rPr>
        <w:t xml:space="preserve"> та зниженої температури. Якщо прийняти до уваги, що НБ широко використовується у промисловості, сільському господарстві, у будівництві, побуті та лікарській практиці, а також той факт, що попит та світове виробництво НБ постійно зростає, то проблема вивчення дії даної хімічної сполуки у сполученні зі зниженою температурою на організм є досить своєчасною та актуальною. </w:t>
      </w:r>
    </w:p>
    <w:p w:rsidR="00B314D8" w:rsidRPr="00FD7F47" w:rsidRDefault="00B314D8" w:rsidP="00B314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D7F47">
        <w:rPr>
          <w:rFonts w:ascii="Times New Roman" w:hAnsi="Times New Roman"/>
          <w:sz w:val="28"/>
        </w:rPr>
        <w:t xml:space="preserve">За даними літератури </w:t>
      </w:r>
      <w:r w:rsidRPr="00FD7F47">
        <w:rPr>
          <w:rFonts w:ascii="Times New Roman" w:hAnsi="Times New Roman"/>
          <w:sz w:val="28"/>
          <w:lang w:val="uk-UA"/>
        </w:rPr>
        <w:t>нітробензол</w:t>
      </w:r>
      <w:r w:rsidRPr="00FD7F47">
        <w:rPr>
          <w:rFonts w:ascii="Times New Roman" w:hAnsi="Times New Roman"/>
          <w:sz w:val="28"/>
        </w:rPr>
        <w:t xml:space="preserve"> вивчен</w:t>
      </w:r>
      <w:r w:rsidRPr="00FD7F47">
        <w:rPr>
          <w:rFonts w:ascii="Times New Roman" w:hAnsi="Times New Roman"/>
          <w:sz w:val="28"/>
          <w:lang w:val="uk-UA"/>
        </w:rPr>
        <w:t>ий</w:t>
      </w:r>
      <w:r w:rsidRPr="00FD7F47">
        <w:rPr>
          <w:rFonts w:ascii="Times New Roman" w:hAnsi="Times New Roman"/>
          <w:sz w:val="28"/>
        </w:rPr>
        <w:t xml:space="preserve"> </w:t>
      </w:r>
      <w:r w:rsidRPr="00FD7F47">
        <w:rPr>
          <w:rFonts w:ascii="Times New Roman" w:hAnsi="Times New Roman"/>
          <w:sz w:val="28"/>
          <w:lang w:val="uk-UA"/>
        </w:rPr>
        <w:t>у</w:t>
      </w:r>
      <w:r w:rsidRPr="00FD7F47">
        <w:rPr>
          <w:rFonts w:ascii="Times New Roman" w:hAnsi="Times New Roman"/>
          <w:sz w:val="28"/>
        </w:rPr>
        <w:t xml:space="preserve"> токсикологічному відношенні достатньо повно. </w:t>
      </w:r>
      <w:r w:rsidRPr="00FD7F47">
        <w:rPr>
          <w:rFonts w:ascii="Times New Roman" w:hAnsi="Times New Roman"/>
          <w:sz w:val="28"/>
          <w:lang w:val="uk-UA" w:eastAsia="uk-UA"/>
        </w:rPr>
        <w:t xml:space="preserve">Найбільш патогномонічними ознаками класичної картини інтоксикації НБ, що свідчать про його ушкоджувальний вплив на кров, </w:t>
      </w:r>
      <w:r w:rsidRPr="00FD7F47">
        <w:rPr>
          <w:rFonts w:ascii="Times New Roman" w:hAnsi="Times New Roman"/>
          <w:sz w:val="28"/>
          <w:lang w:val="uk-UA" w:eastAsia="uk-UA"/>
        </w:rPr>
        <w:lastRenderedPageBreak/>
        <w:t>служать зниження загального та оксигенованого гемоглобіну, падіння числа еритроцитів, мет– і сульфгемоглобінемія, поява тілець Гейнця і як наслідок розвиток анемії регенераторного типу</w:t>
      </w:r>
    </w:p>
    <w:p w:rsidR="00B314D8" w:rsidRPr="00FD7F47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7F47">
        <w:rPr>
          <w:rFonts w:ascii="Times New Roman" w:hAnsi="Times New Roman"/>
          <w:sz w:val="28"/>
          <w:lang w:val="uk-UA" w:eastAsia="uk-UA"/>
        </w:rPr>
        <w:t xml:space="preserve">Таким чином, з метою вивчення особливостей токсичної дії НБ у сполученні зі зниженою температурою на лабораторних тваринах був проведений підгострий токсикологічний експеримент </w:t>
      </w:r>
      <w:r w:rsidRPr="00FD7F4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FD7F47">
        <w:rPr>
          <w:rFonts w:ascii="Times New Roman" w:hAnsi="Times New Roman"/>
          <w:sz w:val="28"/>
          <w:szCs w:val="28"/>
        </w:rPr>
        <w:t>30-ти кратн</w:t>
      </w:r>
      <w:r w:rsidRPr="00FD7F47">
        <w:rPr>
          <w:rFonts w:ascii="Times New Roman" w:hAnsi="Times New Roman"/>
          <w:sz w:val="28"/>
          <w:szCs w:val="28"/>
          <w:lang w:val="uk-UA"/>
        </w:rPr>
        <w:t>им</w:t>
      </w:r>
      <w:r w:rsidRPr="00FD7F47">
        <w:rPr>
          <w:rFonts w:ascii="Times New Roman" w:hAnsi="Times New Roman"/>
          <w:sz w:val="28"/>
          <w:szCs w:val="28"/>
        </w:rPr>
        <w:t xml:space="preserve"> введення</w:t>
      </w:r>
      <w:r w:rsidRPr="00FD7F47">
        <w:rPr>
          <w:rFonts w:ascii="Times New Roman" w:hAnsi="Times New Roman"/>
          <w:sz w:val="28"/>
          <w:szCs w:val="28"/>
          <w:lang w:val="uk-UA"/>
        </w:rPr>
        <w:t>м</w:t>
      </w:r>
      <w:r w:rsidRPr="00FD7F47">
        <w:rPr>
          <w:rFonts w:ascii="Times New Roman" w:hAnsi="Times New Roman"/>
          <w:sz w:val="28"/>
          <w:szCs w:val="28"/>
        </w:rPr>
        <w:t xml:space="preserve"> НБ </w:t>
      </w:r>
      <w:r w:rsidRPr="00FD7F47">
        <w:rPr>
          <w:rFonts w:ascii="Times New Roman" w:hAnsi="Times New Roman"/>
          <w:sz w:val="28"/>
          <w:szCs w:val="28"/>
          <w:lang w:eastAsia="uk-UA"/>
        </w:rPr>
        <w:t>в шлунок у дозі 1/10 ЛД</w:t>
      </w:r>
      <w:r w:rsidRPr="00FD7F47">
        <w:rPr>
          <w:rFonts w:ascii="Times New Roman" w:hAnsi="Times New Roman"/>
          <w:sz w:val="28"/>
          <w:szCs w:val="28"/>
          <w:vertAlign w:val="subscript"/>
          <w:lang w:eastAsia="uk-UA"/>
        </w:rPr>
        <w:t xml:space="preserve">50 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(70 мг/кг) і експозицією тварин 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двох різних термічних режимах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 xml:space="preserve">, а саме: при температурі +4±2 </w:t>
      </w:r>
      <w:r w:rsidRPr="00FD7F47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0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 xml:space="preserve">С, тобто умови холодового стресу, та +25±2 </w:t>
      </w:r>
      <w:r w:rsidRPr="00FD7F47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0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С – умови температурного оптимуму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по 4 години 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добу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5 разів на тиждень.</w:t>
      </w:r>
    </w:p>
    <w:p w:rsidR="00B314D8" w:rsidRPr="00FD7F47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D7F47">
        <w:rPr>
          <w:rFonts w:ascii="Times New Roman" w:hAnsi="Times New Roman"/>
          <w:sz w:val="28"/>
          <w:szCs w:val="28"/>
          <w:lang w:eastAsia="uk-UA"/>
        </w:rPr>
        <w:t>У токсикологічному експерименті вивчали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, у порівняльному плані,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комплекс гематологічних показників. Досліджувалися: рівень </w:t>
      </w:r>
      <w:r w:rsidRPr="00FD7F47">
        <w:rPr>
          <w:rFonts w:ascii="Times New Roman" w:hAnsi="Times New Roman"/>
          <w:sz w:val="28"/>
          <w:szCs w:val="28"/>
        </w:rPr>
        <w:t>Hb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заг. і </w:t>
      </w:r>
      <w:r w:rsidRPr="00FD7F47">
        <w:rPr>
          <w:rFonts w:ascii="Times New Roman" w:hAnsi="Times New Roman"/>
          <w:sz w:val="28"/>
          <w:szCs w:val="28"/>
        </w:rPr>
        <w:t>HbO</w:t>
      </w:r>
      <w:r w:rsidRPr="00FD7F47">
        <w:rPr>
          <w:rFonts w:ascii="Times New Roman" w:hAnsi="Times New Roman"/>
          <w:sz w:val="28"/>
          <w:szCs w:val="28"/>
          <w:vertAlign w:val="subscript"/>
        </w:rPr>
        <w:t>2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, вміст патологічних дериватів гемоглобіну – </w:t>
      </w:r>
      <w:r w:rsidRPr="00FD7F47">
        <w:rPr>
          <w:rFonts w:ascii="Times New Roman" w:hAnsi="Times New Roman"/>
          <w:sz w:val="28"/>
          <w:szCs w:val="28"/>
          <w:lang w:val="en-US" w:eastAsia="uk-UA"/>
        </w:rPr>
        <w:t>MetHb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і </w:t>
      </w:r>
      <w:r w:rsidRPr="00FD7F47">
        <w:rPr>
          <w:rFonts w:ascii="Times New Roman" w:hAnsi="Times New Roman"/>
          <w:sz w:val="28"/>
          <w:szCs w:val="28"/>
          <w:lang w:val="en-US" w:eastAsia="uk-UA"/>
        </w:rPr>
        <w:t>SfHb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за допомогою ц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анідного спектрофотометричного методу. Крім цього, оцінювалися 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кількість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еритроцитів, лейкоцитів, ретикулоцитів, наявність продуктів деструкції гемоглобіну у вигляді тілець Гейнця, лейкоцитарна формула 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за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загальноприйнят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 методи</w:t>
      </w:r>
      <w:r w:rsidRPr="00FD7F47">
        <w:rPr>
          <w:rFonts w:ascii="Times New Roman" w:hAnsi="Times New Roman"/>
          <w:sz w:val="28"/>
          <w:szCs w:val="28"/>
          <w:lang w:val="uk-UA" w:eastAsia="uk-UA"/>
        </w:rPr>
        <w:t>кою</w:t>
      </w:r>
      <w:r w:rsidRPr="00FD7F47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B314D8" w:rsidRPr="00FD7F47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Показниками посилення токсичного ефекту при сполученій дії НБ зі зниженою температурою у порівнянні з дією НБ в умовах температурного оптимуму були: більш значне зниження </w:t>
      </w:r>
      <w:r w:rsidRPr="00FD7F47">
        <w:rPr>
          <w:rFonts w:ascii="Times New Roman" w:hAnsi="Times New Roman"/>
          <w:spacing w:val="-4"/>
          <w:sz w:val="28"/>
          <w:szCs w:val="28"/>
        </w:rPr>
        <w:t>Hb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заг. та </w:t>
      </w:r>
      <w:r w:rsidRPr="00FD7F47">
        <w:rPr>
          <w:rFonts w:ascii="Times New Roman" w:hAnsi="Times New Roman"/>
          <w:spacing w:val="-4"/>
          <w:sz w:val="28"/>
          <w:szCs w:val="28"/>
        </w:rPr>
        <w:t>HbO</w:t>
      </w:r>
      <w:r w:rsidRPr="00FD7F47">
        <w:rPr>
          <w:rFonts w:ascii="Times New Roman" w:hAnsi="Times New Roman"/>
          <w:spacing w:val="-4"/>
          <w:sz w:val="28"/>
          <w:szCs w:val="28"/>
          <w:vertAlign w:val="subscript"/>
          <w:lang w:val="uk-UA"/>
        </w:rPr>
        <w:t>2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 до 96,20±3,23 г/л та 89,38±3,61 г/л відповідно, проти </w:t>
      </w:r>
      <w:r w:rsidRPr="00FD7F47">
        <w:rPr>
          <w:rFonts w:ascii="Times New Roman" w:hAnsi="Times New Roman"/>
          <w:sz w:val="28"/>
          <w:lang w:val="uk-UA"/>
        </w:rPr>
        <w:t>107,72</w:t>
      </w:r>
      <w:r w:rsidRPr="00FD7F47">
        <w:rPr>
          <w:rFonts w:ascii="Times New Roman" w:hAnsi="Times New Roman"/>
          <w:sz w:val="28"/>
        </w:rPr>
        <w:sym w:font="Symbol" w:char="F0B1"/>
      </w:r>
      <w:r w:rsidRPr="00FD7F47">
        <w:rPr>
          <w:rFonts w:ascii="Times New Roman" w:hAnsi="Times New Roman"/>
          <w:sz w:val="28"/>
          <w:lang w:val="uk-UA"/>
        </w:rPr>
        <w:t>4,00 г/л та 101,37</w:t>
      </w:r>
      <w:r w:rsidRPr="00FD7F47">
        <w:rPr>
          <w:rFonts w:ascii="Times New Roman" w:hAnsi="Times New Roman"/>
          <w:sz w:val="28"/>
        </w:rPr>
        <w:sym w:font="Symbol" w:char="F0B1"/>
      </w:r>
      <w:r w:rsidRPr="00FD7F47">
        <w:rPr>
          <w:rFonts w:ascii="Times New Roman" w:hAnsi="Times New Roman"/>
          <w:sz w:val="28"/>
          <w:lang w:val="uk-UA"/>
        </w:rPr>
        <w:t xml:space="preserve">3,77 г/л, 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Pr="00FD7F47">
        <w:rPr>
          <w:rFonts w:ascii="Times New Roman" w:hAnsi="Times New Roman"/>
          <w:spacing w:val="-4"/>
          <w:sz w:val="28"/>
          <w:szCs w:val="28"/>
          <w:lang w:val="en-US"/>
        </w:rPr>
        <w:t>p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&lt;0,05); падіння числа еритроцитів до 3,89</w:t>
      </w:r>
      <w:r w:rsidRPr="00FD7F47">
        <w:rPr>
          <w:rFonts w:ascii="Times New Roman" w:hAnsi="Times New Roman"/>
          <w:spacing w:val="-4"/>
          <w:sz w:val="28"/>
          <w:szCs w:val="28"/>
        </w:rPr>
        <w:sym w:font="Symbol" w:char="F0B1"/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0,31</w:t>
      </w:r>
      <w:r w:rsidRPr="00FD7F47">
        <w:rPr>
          <w:rFonts w:ascii="Times New Roman" w:hAnsi="Times New Roman"/>
          <w:spacing w:val="-4"/>
          <w:sz w:val="28"/>
          <w:szCs w:val="28"/>
        </w:rPr>
        <w:sym w:font="Symbol" w:char="F0D7"/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10</w:t>
      </w:r>
      <w:r w:rsidRPr="00FD7F47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12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/л, проти 4,84±0,17</w:t>
      </w:r>
      <w:r w:rsidRPr="00FD7F47">
        <w:rPr>
          <w:rFonts w:ascii="Times New Roman" w:hAnsi="Times New Roman"/>
          <w:spacing w:val="-4"/>
          <w:sz w:val="28"/>
          <w:szCs w:val="28"/>
        </w:rPr>
        <w:sym w:font="Symbol" w:char="F0D7"/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10</w:t>
      </w:r>
      <w:r w:rsidRPr="00FD7F47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12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/л, (</w:t>
      </w:r>
      <w:r w:rsidRPr="00FD7F47">
        <w:rPr>
          <w:rFonts w:ascii="Times New Roman" w:hAnsi="Times New Roman"/>
          <w:spacing w:val="-4"/>
          <w:sz w:val="28"/>
          <w:szCs w:val="28"/>
          <w:lang w:val="en-US"/>
        </w:rPr>
        <w:t>p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&lt;0,05); метгемоглобінемія, </w:t>
      </w:r>
      <w:r w:rsidRPr="00FD7F47">
        <w:rPr>
          <w:rFonts w:ascii="Times New Roman" w:hAnsi="Times New Roman"/>
          <w:spacing w:val="-8"/>
          <w:sz w:val="28"/>
          <w:lang w:val="uk-UA"/>
        </w:rPr>
        <w:t>при дії НБ у сполученні зі зниженою температурою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до</w:t>
      </w:r>
      <w:r w:rsidRPr="00FD7F47">
        <w:rPr>
          <w:rFonts w:ascii="Times New Roman" w:hAnsi="Times New Roman"/>
          <w:spacing w:val="-8"/>
          <w:sz w:val="28"/>
          <w:lang w:val="uk-UA"/>
        </w:rPr>
        <w:t xml:space="preserve"> 4,40</w:t>
      </w:r>
      <w:r w:rsidRPr="00FD7F47">
        <w:rPr>
          <w:rFonts w:ascii="Times New Roman" w:hAnsi="Times New Roman"/>
          <w:spacing w:val="-8"/>
          <w:sz w:val="28"/>
        </w:rPr>
        <w:sym w:font="Symbol" w:char="F0B1"/>
      </w:r>
      <w:r w:rsidRPr="00FD7F47">
        <w:rPr>
          <w:rFonts w:ascii="Times New Roman" w:hAnsi="Times New Roman"/>
          <w:spacing w:val="-8"/>
          <w:sz w:val="28"/>
          <w:lang w:val="uk-UA"/>
        </w:rPr>
        <w:t>0,20%, проти 3,59</w:t>
      </w:r>
      <w:r w:rsidRPr="00FD7F47">
        <w:rPr>
          <w:rFonts w:ascii="Times New Roman" w:hAnsi="Times New Roman"/>
          <w:spacing w:val="-8"/>
          <w:sz w:val="28"/>
        </w:rPr>
        <w:sym w:font="Symbol" w:char="F0B1"/>
      </w:r>
      <w:r w:rsidRPr="00FD7F47">
        <w:rPr>
          <w:rFonts w:ascii="Times New Roman" w:hAnsi="Times New Roman"/>
          <w:spacing w:val="-8"/>
          <w:sz w:val="28"/>
          <w:lang w:val="uk-UA"/>
        </w:rPr>
        <w:t>0,25% при дії НБ в умовах температурного оптимуму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, 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Pr="00FD7F47">
        <w:rPr>
          <w:rFonts w:ascii="Times New Roman" w:hAnsi="Times New Roman"/>
          <w:spacing w:val="-4"/>
          <w:sz w:val="28"/>
          <w:szCs w:val="28"/>
          <w:lang w:val="en-US"/>
        </w:rPr>
        <w:t>p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&lt;0,05); сульфгемоглобінемія – </w:t>
      </w:r>
      <w:r w:rsidRPr="00FD7F47">
        <w:rPr>
          <w:rFonts w:ascii="Times New Roman" w:hAnsi="Times New Roman"/>
          <w:spacing w:val="-8"/>
          <w:sz w:val="28"/>
          <w:lang w:val="uk-UA"/>
        </w:rPr>
        <w:t>2,59</w:t>
      </w:r>
      <w:r w:rsidRPr="00FD7F47">
        <w:rPr>
          <w:rFonts w:ascii="Times New Roman" w:hAnsi="Times New Roman"/>
          <w:spacing w:val="-8"/>
          <w:sz w:val="28"/>
        </w:rPr>
        <w:sym w:font="Symbol" w:char="F0B1"/>
      </w:r>
      <w:r w:rsidRPr="00FD7F47">
        <w:rPr>
          <w:rFonts w:ascii="Times New Roman" w:hAnsi="Times New Roman"/>
          <w:spacing w:val="-8"/>
          <w:sz w:val="28"/>
          <w:lang w:val="uk-UA"/>
        </w:rPr>
        <w:t>0,48% при дії НБ в умовах холодового стресу, проти 1,12</w:t>
      </w:r>
      <w:r w:rsidRPr="00FD7F47">
        <w:rPr>
          <w:rFonts w:ascii="Times New Roman" w:hAnsi="Times New Roman"/>
          <w:spacing w:val="-8"/>
          <w:sz w:val="28"/>
        </w:rPr>
        <w:sym w:font="Symbol" w:char="F0B1"/>
      </w:r>
      <w:r w:rsidRPr="00FD7F47">
        <w:rPr>
          <w:rFonts w:ascii="Times New Roman" w:hAnsi="Times New Roman"/>
          <w:spacing w:val="-8"/>
          <w:sz w:val="28"/>
          <w:lang w:val="uk-UA"/>
        </w:rPr>
        <w:t xml:space="preserve">0,07% при дії НБ в умовах температурного оптимуму, 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(р&lt;0,05);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підвищення кількості тілець Гейнця до </w:t>
      </w:r>
      <w:r w:rsidRPr="00FD7F47">
        <w:rPr>
          <w:rFonts w:ascii="Times New Roman" w:hAnsi="Times New Roman"/>
          <w:sz w:val="28"/>
          <w:lang w:val="uk-UA"/>
        </w:rPr>
        <w:t>78,00</w:t>
      </w:r>
      <w:r w:rsidRPr="00FD7F47">
        <w:rPr>
          <w:rFonts w:ascii="Times New Roman" w:hAnsi="Times New Roman"/>
          <w:sz w:val="28"/>
        </w:rPr>
        <w:sym w:font="Symbol" w:char="F0B1"/>
      </w:r>
      <w:r w:rsidRPr="00FD7F47">
        <w:rPr>
          <w:rFonts w:ascii="Times New Roman" w:hAnsi="Times New Roman"/>
          <w:sz w:val="28"/>
          <w:lang w:val="uk-UA"/>
        </w:rPr>
        <w:t xml:space="preserve">7,09% 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>(сполучена дія НБ)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, проти 66,00</w:t>
      </w:r>
      <w:r w:rsidRPr="00FD7F47">
        <w:rPr>
          <w:rFonts w:ascii="Times New Roman" w:hAnsi="Times New Roman"/>
          <w:spacing w:val="-4"/>
          <w:sz w:val="28"/>
          <w:szCs w:val="28"/>
          <w:lang w:eastAsia="uk-UA"/>
        </w:rPr>
        <w:sym w:font="Symbol" w:char="F0B1"/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4,62% (дія НБ в умовах температурного оптимуму), 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>(</w:t>
      </w:r>
      <w:r w:rsidRPr="00FD7F47">
        <w:rPr>
          <w:rFonts w:ascii="Times New Roman" w:hAnsi="Times New Roman"/>
          <w:spacing w:val="-4"/>
          <w:sz w:val="28"/>
          <w:szCs w:val="28"/>
          <w:lang w:val="en-US"/>
        </w:rPr>
        <w:t>p</w:t>
      </w:r>
      <w:r w:rsidRPr="00FD7F47">
        <w:rPr>
          <w:rFonts w:ascii="Times New Roman" w:hAnsi="Times New Roman"/>
          <w:spacing w:val="-4"/>
          <w:sz w:val="28"/>
          <w:szCs w:val="28"/>
          <w:lang w:val="uk-UA"/>
        </w:rPr>
        <w:t xml:space="preserve">&lt;0,05); в умовах холодового стресу дія НБ призводить до ретикулоцитозу – 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>79,20</w:t>
      </w:r>
      <w:r w:rsidRPr="00FD7F47">
        <w:rPr>
          <w:rFonts w:ascii="Times New Roman" w:hAnsi="Times New Roman"/>
          <w:spacing w:val="-4"/>
          <w:sz w:val="28"/>
          <w:szCs w:val="28"/>
          <w:lang w:eastAsia="uk-UA"/>
        </w:rPr>
        <w:sym w:font="Symbol" w:char="F0B1"/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4,07 </w:t>
      </w:r>
      <w:r w:rsidRPr="00FD7F47">
        <w:rPr>
          <w:rFonts w:ascii="Times New Roman" w:hAnsi="Times New Roman"/>
          <w:spacing w:val="-4"/>
          <w:sz w:val="28"/>
          <w:szCs w:val="28"/>
          <w:vertAlign w:val="superscript"/>
          <w:lang w:val="uk-UA" w:eastAsia="uk-UA"/>
        </w:rPr>
        <w:t>0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>/</w:t>
      </w:r>
      <w:r w:rsidRPr="00FD7F47">
        <w:rPr>
          <w:rFonts w:ascii="Times New Roman" w:hAnsi="Times New Roman"/>
          <w:spacing w:val="-4"/>
          <w:sz w:val="28"/>
          <w:szCs w:val="28"/>
          <w:vertAlign w:val="subscript"/>
          <w:lang w:val="uk-UA" w:eastAsia="uk-UA"/>
        </w:rPr>
        <w:t>00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, проти </w:t>
      </w:r>
      <w:r w:rsidRPr="00FD7F47">
        <w:rPr>
          <w:rFonts w:ascii="Times New Roman" w:hAnsi="Times New Roman"/>
          <w:sz w:val="28"/>
          <w:lang w:val="uk-UA"/>
        </w:rPr>
        <w:t>51,17</w:t>
      </w:r>
      <w:r w:rsidRPr="00FD7F47">
        <w:rPr>
          <w:rFonts w:ascii="Times New Roman" w:hAnsi="Times New Roman"/>
          <w:sz w:val="28"/>
        </w:rPr>
        <w:sym w:font="Symbol" w:char="F0B1"/>
      </w:r>
      <w:r w:rsidRPr="00FD7F47">
        <w:rPr>
          <w:rFonts w:ascii="Times New Roman" w:hAnsi="Times New Roman"/>
          <w:sz w:val="28"/>
          <w:lang w:val="uk-UA"/>
        </w:rPr>
        <w:t>6,20</w:t>
      </w:r>
      <w:r w:rsidRPr="00FD7F47">
        <w:rPr>
          <w:rFonts w:ascii="Times New Roman" w:hAnsi="Times New Roman"/>
          <w:sz w:val="28"/>
          <w:vertAlign w:val="superscript"/>
          <w:lang w:val="uk-UA"/>
        </w:rPr>
        <w:t>0</w:t>
      </w:r>
      <w:r w:rsidRPr="00FD7F47">
        <w:rPr>
          <w:rFonts w:ascii="Times New Roman" w:hAnsi="Times New Roman"/>
          <w:sz w:val="28"/>
          <w:lang w:val="uk-UA"/>
        </w:rPr>
        <w:t>/</w:t>
      </w:r>
      <w:r w:rsidRPr="00FD7F47">
        <w:rPr>
          <w:rFonts w:ascii="Times New Roman" w:hAnsi="Times New Roman"/>
          <w:sz w:val="28"/>
          <w:vertAlign w:val="subscript"/>
          <w:lang w:val="uk-UA"/>
        </w:rPr>
        <w:t>00</w:t>
      </w:r>
      <w:r w:rsidRPr="00FD7F47">
        <w:rPr>
          <w:rFonts w:ascii="Times New Roman" w:hAnsi="Times New Roman"/>
          <w:sz w:val="28"/>
          <w:lang w:val="uk-UA"/>
        </w:rPr>
        <w:t xml:space="preserve">, при дії НБ в умовах температурного оптимуму, 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>(</w:t>
      </w:r>
      <w:r w:rsidRPr="00FD7F47">
        <w:rPr>
          <w:rFonts w:ascii="Times New Roman" w:hAnsi="Times New Roman"/>
          <w:spacing w:val="-4"/>
          <w:sz w:val="28"/>
          <w:szCs w:val="28"/>
          <w:lang w:val="en-US" w:eastAsia="uk-UA"/>
        </w:rPr>
        <w:t>p</w:t>
      </w:r>
      <w:r w:rsidRPr="00FD7F47">
        <w:rPr>
          <w:rFonts w:ascii="Times New Roman" w:hAnsi="Times New Roman"/>
          <w:spacing w:val="-4"/>
          <w:sz w:val="28"/>
          <w:szCs w:val="28"/>
          <w:lang w:val="uk-UA" w:eastAsia="uk-UA"/>
        </w:rPr>
        <w:t>&lt;0,05).</w:t>
      </w: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F47">
        <w:rPr>
          <w:rFonts w:ascii="Times New Roman" w:hAnsi="Times New Roman"/>
          <w:sz w:val="28"/>
          <w:szCs w:val="28"/>
          <w:lang w:val="uk-UA"/>
        </w:rPr>
        <w:t>Результати вивчення особливостей токсичної дії НБ в умовах холодового стресу в підгострому токсикологічному експерименті свідчать про розвиток в організмі експериментальних тварин патогномонічних для дії НБ зрушень за умови, що при сполученій дії зазначеного хімічного чинника та зниженої температури має місце посилення токсичного ефекту.</w:t>
      </w: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D8" w:rsidRDefault="00B314D8" w:rsidP="00B3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312" w:rsidRPr="00B314D8" w:rsidRDefault="007D6312">
      <w:pPr>
        <w:rPr>
          <w:lang w:val="uk-UA"/>
        </w:rPr>
      </w:pPr>
    </w:p>
    <w:sectPr w:rsidR="007D6312" w:rsidRPr="00B314D8" w:rsidSect="00B314D8">
      <w:footerReference w:type="default" r:id="rId6"/>
      <w:pgSz w:w="11906" w:h="16838"/>
      <w:pgMar w:top="709" w:right="851" w:bottom="1134" w:left="1616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5A" w:rsidRDefault="00D74B5A" w:rsidP="00B314D8">
      <w:pPr>
        <w:spacing w:after="0" w:line="240" w:lineRule="auto"/>
      </w:pPr>
      <w:r>
        <w:separator/>
      </w:r>
    </w:p>
  </w:endnote>
  <w:endnote w:type="continuationSeparator" w:id="0">
    <w:p w:rsidR="00D74B5A" w:rsidRDefault="00D74B5A" w:rsidP="00B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3009"/>
      <w:docPartObj>
        <w:docPartGallery w:val="Page Numbers (Bottom of Page)"/>
        <w:docPartUnique/>
      </w:docPartObj>
    </w:sdtPr>
    <w:sdtContent>
      <w:p w:rsidR="00B314D8" w:rsidRDefault="00B314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5A">
          <w:rPr>
            <w:noProof/>
          </w:rPr>
          <w:t>6</w:t>
        </w:r>
        <w:r>
          <w:fldChar w:fldCharType="end"/>
        </w:r>
      </w:p>
    </w:sdtContent>
  </w:sdt>
  <w:p w:rsidR="00B314D8" w:rsidRDefault="00B31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5A" w:rsidRDefault="00D74B5A" w:rsidP="00B314D8">
      <w:pPr>
        <w:spacing w:after="0" w:line="240" w:lineRule="auto"/>
      </w:pPr>
      <w:r>
        <w:separator/>
      </w:r>
    </w:p>
  </w:footnote>
  <w:footnote w:type="continuationSeparator" w:id="0">
    <w:p w:rsidR="00D74B5A" w:rsidRDefault="00D74B5A" w:rsidP="00B3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B"/>
    <w:rsid w:val="00056C5E"/>
    <w:rsid w:val="00143FA1"/>
    <w:rsid w:val="00197018"/>
    <w:rsid w:val="001B7462"/>
    <w:rsid w:val="0020461A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F4E1F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851ABB"/>
    <w:rsid w:val="009118FD"/>
    <w:rsid w:val="00987F65"/>
    <w:rsid w:val="00A4752D"/>
    <w:rsid w:val="00A51831"/>
    <w:rsid w:val="00A6431E"/>
    <w:rsid w:val="00A65C1F"/>
    <w:rsid w:val="00AD18DA"/>
    <w:rsid w:val="00AD76AD"/>
    <w:rsid w:val="00AE447B"/>
    <w:rsid w:val="00AF2C49"/>
    <w:rsid w:val="00B314D8"/>
    <w:rsid w:val="00C20983"/>
    <w:rsid w:val="00C25A07"/>
    <w:rsid w:val="00C32B27"/>
    <w:rsid w:val="00C757A9"/>
    <w:rsid w:val="00C76681"/>
    <w:rsid w:val="00C928E7"/>
    <w:rsid w:val="00CE3E41"/>
    <w:rsid w:val="00D21489"/>
    <w:rsid w:val="00D64228"/>
    <w:rsid w:val="00D74B5A"/>
    <w:rsid w:val="00D81EBD"/>
    <w:rsid w:val="00D93CDA"/>
    <w:rsid w:val="00DC0AEB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C279-8468-4841-8290-3608ABD9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8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314D8"/>
  </w:style>
  <w:style w:type="paragraph" w:styleId="a3">
    <w:name w:val="header"/>
    <w:basedOn w:val="a"/>
    <w:link w:val="a4"/>
    <w:uiPriority w:val="99"/>
    <w:unhideWhenUsed/>
    <w:rsid w:val="00B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4D8"/>
    <w:rPr>
      <w:rFonts w:ascii="Calibri" w:eastAsia="Times New Roman" w:hAnsi="Calibri"/>
      <w:sz w:val="22"/>
    </w:rPr>
  </w:style>
  <w:style w:type="paragraph" w:styleId="a5">
    <w:name w:val="footer"/>
    <w:basedOn w:val="a"/>
    <w:link w:val="a6"/>
    <w:uiPriority w:val="99"/>
    <w:unhideWhenUsed/>
    <w:rsid w:val="00B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4D8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2018-12-09T20:26:00Z</dcterms:created>
  <dcterms:modified xsi:type="dcterms:W3CDTF">2018-12-09T20:26:00Z</dcterms:modified>
</cp:coreProperties>
</file>