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50" w:rsidRPr="0020032C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СТАН ЗАХВОРЮВАНОСТІ НА </w:t>
      </w:r>
      <w:r w:rsidRPr="0020032C">
        <w:rPr>
          <w:rFonts w:ascii="Times New Roman" w:hAnsi="Times New Roman"/>
          <w:b/>
          <w:sz w:val="28"/>
          <w:szCs w:val="28"/>
          <w:lang w:val="uk-UA"/>
        </w:rPr>
        <w:t>РАК ПРЯМОЇ КИШКИ</w:t>
      </w:r>
    </w:p>
    <w:p w:rsidR="00195F50" w:rsidRPr="00B87362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362">
        <w:rPr>
          <w:rFonts w:ascii="Times New Roman" w:hAnsi="Times New Roman"/>
          <w:b/>
          <w:sz w:val="28"/>
          <w:szCs w:val="28"/>
          <w:lang w:val="uk-UA"/>
        </w:rPr>
        <w:t>Іщенко В.В., Должикова О.В.</w:t>
      </w:r>
    </w:p>
    <w:p w:rsidR="00195F50" w:rsidRPr="00B87362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7362">
        <w:rPr>
          <w:rFonts w:ascii="Times New Roman" w:hAnsi="Times New Roman"/>
          <w:i/>
          <w:sz w:val="28"/>
          <w:szCs w:val="28"/>
          <w:lang w:val="uk-UA"/>
        </w:rPr>
        <w:t xml:space="preserve">Національний фармацевтичний університет, </w:t>
      </w:r>
    </w:p>
    <w:p w:rsidR="00195F50" w:rsidRPr="00B87362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95F50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Рак прямої кишки є поширеною формою злоякісних пухлин товстого кишечнику. Серед злоякісних пухлин органів шлунково-кишкового тракту йому належить 3 місце. За даними Всесвітньої організації охорони здоров</w:t>
      </w:r>
      <w:r w:rsidRPr="008458B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розповсюдженість даної патології складає 2-10 % від усіх злоякісних захворювань. За прогнозами експертів кожен рік число хворих на рак прямої кишки зростатиме на 1%. Найбільша захворюваність спостерігається в економічно розвинутих країнах, таких як Канада, США, Росія та країни Західної Європи. Менша поширеність спостерігається в країнах Африки та Азії. </w:t>
      </w:r>
    </w:p>
    <w:p w:rsidR="00195F50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причин, які можуть викликати рак прямої кишки, відносять такі фактори ризику: неправильне харчування, хронічні захворювання прямої кишки, куріння, генетичну схильність. В групі ризику знаходяться пацієнти, у яких в сімейному анамнезі вже були випадки раку прямої кишки та люди з великою кількістю жирів і білків в раціоні. На ранніх стадіях рак прямої кишки важко розпізнати. Тому рекомендовано проходити медогляд раз на рік. До основних симптомів раку прямої кишки відносять: схуднення, слабкість, метеоризм, біль, запор, пронос, патологічні виділення, спастичний біль в животі, анемію.</w:t>
      </w:r>
    </w:p>
    <w:p w:rsidR="00195F50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методів лабораторної діагностики раку прямої кишки відносять клінічний аналіз крові, який дозволяє відстежити низький рівень еритроцитів, що свідчить про анемію у пацієнта, а також рівень лейкоцитів; кал на наявність прихованої крові, що дозволяє виявити приховану кровотечу; але більш специфіч</w:t>
      </w:r>
      <w:r>
        <w:rPr>
          <w:rFonts w:ascii="Times New Roman" w:hAnsi="Times New Roman"/>
          <w:sz w:val="28"/>
          <w:szCs w:val="28"/>
          <w:lang w:val="uk-UA"/>
        </w:rPr>
        <w:softHyphen/>
        <w:t>ними є визначення онкомаркерів раку прямої кишки – АФП, СА 72-4, СА 242, СА 19-9,</w:t>
      </w:r>
      <w:r w:rsidRPr="003F61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LASA</w:t>
      </w:r>
      <w:r w:rsidRPr="003F617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3F617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CYFRA</w:t>
      </w:r>
      <w:r w:rsidRPr="003F6178">
        <w:rPr>
          <w:rFonts w:ascii="Times New Roman" w:hAnsi="Times New Roman"/>
          <w:sz w:val="28"/>
          <w:szCs w:val="28"/>
          <w:lang w:val="uk-UA"/>
        </w:rPr>
        <w:t xml:space="preserve"> 21-1</w:t>
      </w:r>
      <w:r w:rsidRPr="005B49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аналіз крові на СЕА для оцінки карцино</w:t>
      </w:r>
      <w:r>
        <w:rPr>
          <w:rFonts w:ascii="Times New Roman" w:hAnsi="Times New Roman"/>
          <w:sz w:val="28"/>
          <w:szCs w:val="28"/>
          <w:lang w:val="uk-UA"/>
        </w:rPr>
        <w:softHyphen/>
        <w:t>ембріонального антигену, рівень якого визначає стадію злоякісного процесу</w:t>
      </w:r>
      <w:r w:rsidRPr="003F6178">
        <w:rPr>
          <w:rFonts w:ascii="Times New Roman" w:hAnsi="Times New Roman"/>
          <w:sz w:val="28"/>
          <w:szCs w:val="28"/>
          <w:lang w:val="uk-UA"/>
        </w:rPr>
        <w:t>.</w:t>
      </w:r>
    </w:p>
    <w:p w:rsidR="00195F50" w:rsidRPr="003F6178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незважаючи на наявність достатньої кількості методів діагностики, стан захворюваності на рак прямої кишки залишається актуальною проблемою сучасної медицини і потребує ретельного подальшого вивчення.</w:t>
      </w:r>
    </w:p>
    <w:p w:rsidR="00195F50" w:rsidRDefault="00195F50" w:rsidP="00195F5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95F50" w:rsidRPr="005B4D61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4D61">
        <w:rPr>
          <w:rFonts w:ascii="Times New Roman" w:hAnsi="Times New Roman"/>
          <w:b/>
          <w:sz w:val="28"/>
          <w:szCs w:val="28"/>
          <w:shd w:val="clear" w:color="auto" w:fill="FFFFFF"/>
        </w:rPr>
        <w:t>ВПЛИВ ХАРЧОВИХ СТАБІЛІЗАТОРІВ НА ОРГАНІЗМ ЛЮДИНИ</w:t>
      </w:r>
    </w:p>
    <w:p w:rsidR="00195F50" w:rsidRPr="005B4D61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B4D61">
        <w:rPr>
          <w:rFonts w:ascii="Times New Roman" w:hAnsi="Times New Roman"/>
          <w:b/>
          <w:sz w:val="28"/>
          <w:szCs w:val="28"/>
          <w:shd w:val="clear" w:color="auto" w:fill="FFFFFF"/>
        </w:rPr>
        <w:t>Каднай О</w:t>
      </w:r>
      <w:r w:rsidRPr="005B4D6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  <w:r w:rsidRPr="005B4D61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Pr="005B4D6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.,</w:t>
      </w:r>
      <w:r w:rsidRPr="005B4D6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Горбач Т</w:t>
      </w:r>
      <w:r w:rsidRPr="005B4D6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  <w:r w:rsidRPr="005B4D61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5B4D6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., Мартинова С.М.</w:t>
      </w:r>
    </w:p>
    <w:p w:rsidR="00195F50" w:rsidRPr="005B4D61" w:rsidRDefault="00195F50" w:rsidP="00195F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5B4D61">
        <w:rPr>
          <w:rFonts w:ascii="Times New Roman" w:hAnsi="Times New Roman"/>
          <w:i/>
          <w:sz w:val="28"/>
          <w:szCs w:val="28"/>
          <w:shd w:val="clear" w:color="auto" w:fill="FFFFFF"/>
        </w:rPr>
        <w:t>Харківський національний медичний університет</w:t>
      </w:r>
    </w:p>
    <w:p w:rsidR="00195F50" w:rsidRPr="005B4D61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95F50" w:rsidRPr="005B4D61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4D61">
        <w:rPr>
          <w:rFonts w:ascii="Times New Roman" w:hAnsi="Times New Roman"/>
          <w:iCs/>
          <w:sz w:val="28"/>
          <w:szCs w:val="28"/>
          <w:shd w:val="clear" w:color="auto" w:fill="FFFFFF"/>
        </w:rPr>
        <w:t>Одним із видів харчових добавок є стабілізатори.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 xml:space="preserve"> Вони направлені на збереження консистенції та текстури продукту, запобігання псуванню. До класів</w:t>
      </w:r>
      <w:r w:rsidRPr="005B4D61">
        <w:rPr>
          <w:rFonts w:ascii="Times New Roman" w:hAnsi="Times New Roman"/>
          <w:sz w:val="28"/>
          <w:szCs w:val="28"/>
        </w:rPr>
        <w:t xml:space="preserve"> стабілізаторів харчування включають емульгатори, загусники та гелеутворювачі, стабілізатори піни, зволожувачі, агенти покриття. За прийнятою 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>Міжнародною Комісією</w:t>
      </w:r>
      <w:bookmarkStart w:id="0" w:name="_GoBack"/>
      <w:bookmarkEnd w:id="0"/>
      <w:r w:rsidRPr="005B4D61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Codex Alimentarius" w:history="1">
        <w:r w:rsidRPr="00195F5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Codex Alimentarius</w:t>
        </w:r>
      </w:hyperlink>
      <w:r w:rsidRPr="005B4D61">
        <w:rPr>
          <w:rFonts w:ascii="Times New Roman" w:hAnsi="Times New Roman"/>
          <w:sz w:val="28"/>
          <w:szCs w:val="28"/>
        </w:rPr>
        <w:t xml:space="preserve"> 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 xml:space="preserve">схемою нумерації стабілізатори, загусники та емульгатори мають номери Е400 – Е499. </w:t>
      </w:r>
    </w:p>
    <w:p w:rsidR="00195F50" w:rsidRPr="005B4D61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sz w:val="28"/>
          <w:szCs w:val="28"/>
        </w:rPr>
        <w:lastRenderedPageBreak/>
        <w:t>До Е400 – Е409 відносяться альгінати (солі альгінової кислоти). Вони виготовляються з бурих водоростей. Альгінова кислота це полімерний ланцюг, що складається з двох мономерів – залишків поліуронових кислот. Альгинати в організмі людини не перетравлюються і виводяться через кишечник. Але дослідження показали, що альгінова кислота виводить з організму важкі метали (свинець, ртуть та ін.) і радіонукліди, тому вона використовується в медицині та фармакології [2, 5, 6].</w:t>
      </w:r>
    </w:p>
    <w:p w:rsidR="00195F50" w:rsidRPr="005B4D61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sz w:val="28"/>
          <w:szCs w:val="28"/>
        </w:rPr>
        <w:t>Особливу увагу приділяють карагенанам (Е407). Це група нерозгалужених сульфатованих полісахаридів [5]. Хоча цей додаток навіть дозволений для дитячого харчування, в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>становлено, що при постійному вживанні продуктів з його вмістом, можливий розвиток хронічного каррагінан індукованого запалення шлунково-кишкового тракту, що характеризується розвитком окисного стресу, ендотеліальної дисфункцією в судинах кишечника, активацією апоптозу і проліферації епітелію кишечника. Гістологічні зміни, пов'язані з впливом перорального споживання каррагінана, виявлені при проведенні експерименту на тваринах, включають пошкодження слизової оболонки кишечника, характерні для гострого, підгострого і хронічного запального процесу, наявність абсцесів, деформацію слизових залоз. [3, 5].</w:t>
      </w:r>
    </w:p>
    <w:p w:rsidR="00195F50" w:rsidRPr="005B4D61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sz w:val="28"/>
          <w:szCs w:val="28"/>
        </w:rPr>
        <w:t>Також слід звернути увагу на Е450 (пірофосфат), при постійному вживанні може викликати остеопороз. Ця речовина погіршує засвоєння кальцію і може підвищувати холестерин. Але в малих кількостях навпаки є необхідним компонентам кісток і несе позитивний вплив [1, 4].</w:t>
      </w:r>
    </w:p>
    <w:p w:rsidR="00195F50" w:rsidRPr="005B4D61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sz w:val="28"/>
          <w:szCs w:val="28"/>
        </w:rPr>
        <w:t xml:space="preserve"> Продукти з Е466 – карбоксиметилцелюлози натрієва сіль можуть викликати серйозні хвороби шлунку, шляхом зменшення перистальтики або викликання місцевих запалень [4].</w:t>
      </w:r>
    </w:p>
    <w:p w:rsidR="00195F50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sz w:val="28"/>
          <w:szCs w:val="28"/>
        </w:rPr>
        <w:t>Більшість стабілізаторів не перетравлюються ШКТ й проходять транзитно, виділяючись з фекаліями, але при постійному вживанні можуть давати канцерогенний ефект, викликати запальні процеси в кишківнику та порушувати загальну роботу травної системи.</w:t>
      </w:r>
    </w:p>
    <w:p w:rsidR="00195F50" w:rsidRPr="005B4D61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sz w:val="28"/>
          <w:szCs w:val="28"/>
        </w:rPr>
        <w:t xml:space="preserve"> </w:t>
      </w:r>
    </w:p>
    <w:p w:rsidR="00195F50" w:rsidRPr="005B4D61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sz w:val="28"/>
          <w:szCs w:val="28"/>
        </w:rPr>
        <w:t>Література:</w:t>
      </w:r>
    </w:p>
    <w:p w:rsidR="00195F50" w:rsidRPr="00195F50" w:rsidRDefault="00195F50" w:rsidP="00195F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Pr="00195F5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Cell type-specific effects of Adenosine 5'-triphosphate and pyrophosphate on the antitumor activity of doxorubicin.</w:t>
        </w:r>
      </w:hyperlink>
    </w:p>
    <w:p w:rsidR="00195F50" w:rsidRPr="00195F50" w:rsidRDefault="00195F50" w:rsidP="00195F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5F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Hong SH, Li Y, Eom JB, Choi Y. </w:t>
      </w:r>
      <w:hyperlink r:id="rId9" w:history="1">
        <w:r w:rsidRPr="00195F5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Responsive alginate-cisplatin nanogels for selective imaging and combined chemo/radio therapy of proliferating macrophages.</w:t>
        </w:r>
      </w:hyperlink>
      <w:r w:rsidRPr="00195F5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95F50">
        <w:rPr>
          <w:rStyle w:val="jrnl"/>
          <w:rFonts w:ascii="Times New Roman" w:hAnsi="Times New Roman"/>
          <w:sz w:val="28"/>
          <w:szCs w:val="28"/>
          <w:shd w:val="clear" w:color="auto" w:fill="FFFFFF"/>
        </w:rPr>
        <w:t>Quant Imaging Med Surg</w:t>
      </w:r>
      <w:r w:rsidRPr="00195F50">
        <w:rPr>
          <w:rFonts w:ascii="Times New Roman" w:hAnsi="Times New Roman"/>
          <w:sz w:val="28"/>
          <w:szCs w:val="28"/>
          <w:shd w:val="clear" w:color="auto" w:fill="FFFFFF"/>
        </w:rPr>
        <w:t>. 2018 Sep;8(8):733-742.</w:t>
      </w:r>
    </w:p>
    <w:p w:rsidR="00195F50" w:rsidRPr="005B4D61" w:rsidRDefault="00195F50" w:rsidP="00195F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B4D61">
        <w:rPr>
          <w:rFonts w:ascii="Times New Roman" w:hAnsi="Times New Roman"/>
          <w:sz w:val="28"/>
          <w:szCs w:val="28"/>
          <w:lang w:val="en-US"/>
        </w:rPr>
        <w:t>Martino, J. V. The role of carrageenan and carboxymethylcellulose in the development of intestinal inflammation / J. V. Martino, J. Van Limbergen, L. E. Cahill // Front Pediatr. – 2017 May. – Vol. 5. – P. 96.</w:t>
      </w:r>
    </w:p>
    <w:p w:rsidR="00195F50" w:rsidRPr="005B4D61" w:rsidRDefault="00195F50" w:rsidP="00195F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5B4D6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The National Institute for Occupational Safety and Health (NIOSH) [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</w:rPr>
        <w:t>Електронний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</w:rPr>
        <w:t>ресурс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] – 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</w:rPr>
        <w:t>Режим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</w:rPr>
        <w:t>доступу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</w:rPr>
        <w:t>до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</w:rPr>
        <w:t>ресурсу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: </w:t>
      </w:r>
      <w:hyperlink r:id="rId10" w:history="1">
        <w:r w:rsidRPr="00195F50">
          <w:rPr>
            <w:rFonts w:ascii="Times New Roman" w:hAnsi="Times New Roman"/>
            <w:sz w:val="28"/>
            <w:szCs w:val="28"/>
            <w:lang w:val="en-US"/>
          </w:rPr>
          <w:t>https://www.cdc.gov/niosh-rtecs/FJ5ACA30.html</w:t>
        </w:r>
      </w:hyperlink>
      <w:r w:rsidRPr="005B4D61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 </w:t>
      </w:r>
    </w:p>
    <w:p w:rsidR="00195F50" w:rsidRPr="005B4D61" w:rsidRDefault="00195F50" w:rsidP="00195F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4D61">
        <w:rPr>
          <w:rFonts w:ascii="Times New Roman" w:hAnsi="Times New Roman"/>
          <w:sz w:val="28"/>
          <w:szCs w:val="28"/>
          <w:shd w:val="clear" w:color="auto" w:fill="FFFFFF"/>
        </w:rPr>
        <w:t>Кнунянц И. Л., Зефиров Н. С.</w:t>
      </w:r>
      <w:r w:rsidRPr="005B4D61"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5B4D61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Химическая энциклопедия </w:t>
      </w:r>
      <w:r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–</w:t>
      </w:r>
      <w:r w:rsidRPr="005B4D6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>Советская</w:t>
      </w:r>
      <w:r w:rsidRPr="008303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D61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энциклопедия</w:t>
      </w:r>
      <w:r w:rsidRPr="005B4D61"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>М., 1988.</w:t>
      </w:r>
    </w:p>
    <w:p w:rsidR="00195F50" w:rsidRPr="00AC3A0F" w:rsidRDefault="00195F50" w:rsidP="00195F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4D61">
        <w:rPr>
          <w:rFonts w:ascii="Times New Roman" w:hAnsi="Times New Roman"/>
          <w:iCs/>
          <w:sz w:val="28"/>
          <w:szCs w:val="28"/>
          <w:shd w:val="clear" w:color="auto" w:fill="FFFFFF"/>
        </w:rPr>
        <w:t>Криштанова Н.А.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 xml:space="preserve"> [и др.]</w:t>
      </w:r>
      <w:r w:rsidRPr="005B4D61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8303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>Перспективы использование полисахаридов в качестве лечебных и лечебно-профилактических средств</w:t>
      </w:r>
      <w:r w:rsidRPr="008303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>// ВЕСТНИК ВГУ. Серия: Химия. Биология. Фармация. Санкт-Петербургская государственная хи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мико-фармацевтическая академия.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>— 2005.</w:t>
      </w:r>
      <w:r w:rsidRPr="008303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Pr="008303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D61">
        <w:rPr>
          <w:rStyle w:val="nowrap"/>
          <w:rFonts w:ascii="Times New Roman" w:hAnsi="Times New Roman"/>
          <w:sz w:val="28"/>
          <w:szCs w:val="28"/>
          <w:shd w:val="clear" w:color="auto" w:fill="FFFFFF"/>
        </w:rPr>
        <w:t>№ 1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303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Pr="008303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4D61">
        <w:rPr>
          <w:rStyle w:val="nowrap"/>
          <w:rFonts w:ascii="Times New Roman" w:hAnsi="Times New Roman"/>
          <w:sz w:val="28"/>
          <w:szCs w:val="28"/>
          <w:shd w:val="clear" w:color="auto" w:fill="FFFFFF"/>
        </w:rPr>
        <w:t>С. 212 - 221</w:t>
      </w:r>
      <w:r w:rsidRPr="005B4D6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95F50" w:rsidRPr="005B4D61" w:rsidRDefault="00195F50" w:rsidP="00195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F50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3C5F">
        <w:rPr>
          <w:rFonts w:ascii="Times New Roman" w:hAnsi="Times New Roman"/>
          <w:b/>
          <w:sz w:val="28"/>
          <w:szCs w:val="28"/>
        </w:rPr>
        <w:t xml:space="preserve">ВЛИЯНИЕ </w:t>
      </w:r>
      <w:r>
        <w:rPr>
          <w:rFonts w:ascii="Times New Roman" w:hAnsi="Times New Roman"/>
          <w:b/>
          <w:sz w:val="28"/>
          <w:szCs w:val="28"/>
        </w:rPr>
        <w:t xml:space="preserve">НОВОГО </w:t>
      </w:r>
      <w:r w:rsidRPr="00503C5F">
        <w:rPr>
          <w:rFonts w:ascii="Times New Roman" w:hAnsi="Times New Roman"/>
          <w:b/>
          <w:sz w:val="28"/>
          <w:szCs w:val="28"/>
        </w:rPr>
        <w:t xml:space="preserve">СТОМАТОЛОГИЧЕСКОГО ГЕЛЯ НА ПОКАЗАТЕЛИ СИСТЕМЫ ПЕРЕКИСНОГО ОКИСЛЕНИЯ ЛИПИДОВ И АНТИОКСИДАНТНОЙ ЗАЩИТЫ </w:t>
      </w:r>
    </w:p>
    <w:p w:rsidR="00195F50" w:rsidRPr="00503C5F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3C5F">
        <w:rPr>
          <w:rFonts w:ascii="Times New Roman" w:hAnsi="Times New Roman"/>
          <w:b/>
          <w:sz w:val="28"/>
          <w:szCs w:val="28"/>
        </w:rPr>
        <w:t>ПРИ ЭКСПЕРИМЕНТАЛЬНОМ СТОМАТИТЕ</w:t>
      </w:r>
    </w:p>
    <w:p w:rsidR="00195F50" w:rsidRPr="006B24FD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24FD">
        <w:rPr>
          <w:rFonts w:ascii="Times New Roman" w:hAnsi="Times New Roman"/>
          <w:b/>
          <w:sz w:val="28"/>
          <w:szCs w:val="28"/>
        </w:rPr>
        <w:t>Кавушевская Н.С.</w:t>
      </w:r>
    </w:p>
    <w:p w:rsidR="00195F50" w:rsidRPr="00CB6F2B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B6F2B">
        <w:rPr>
          <w:rFonts w:ascii="Times New Roman" w:hAnsi="Times New Roman"/>
          <w:i/>
          <w:sz w:val="28"/>
          <w:szCs w:val="28"/>
        </w:rPr>
        <w:t>Бюджетное учреждение высшего образования Ханты-Мансийского автономного округа-Югры, РФ</w:t>
      </w:r>
      <w:r w:rsidRPr="00E229F7">
        <w:rPr>
          <w:rFonts w:ascii="Times New Roman" w:hAnsi="Times New Roman"/>
          <w:i/>
          <w:sz w:val="28"/>
          <w:szCs w:val="28"/>
        </w:rPr>
        <w:t xml:space="preserve"> </w:t>
      </w:r>
      <w:r w:rsidRPr="00CB6F2B">
        <w:rPr>
          <w:rFonts w:ascii="Times New Roman" w:hAnsi="Times New Roman"/>
          <w:i/>
          <w:sz w:val="28"/>
          <w:szCs w:val="28"/>
        </w:rPr>
        <w:t>«Сургутский государственный университет»</w:t>
      </w:r>
    </w:p>
    <w:p w:rsidR="00195F50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B6F2B">
        <w:rPr>
          <w:rFonts w:ascii="Times New Roman" w:hAnsi="Times New Roman"/>
          <w:i/>
          <w:sz w:val="28"/>
          <w:szCs w:val="28"/>
        </w:rPr>
        <w:t>Медицинский институт</w:t>
      </w:r>
      <w:r w:rsidRPr="00040D5C">
        <w:rPr>
          <w:rFonts w:ascii="Times New Roman" w:hAnsi="Times New Roman"/>
          <w:i/>
          <w:sz w:val="28"/>
          <w:szCs w:val="28"/>
        </w:rPr>
        <w:t xml:space="preserve"> </w:t>
      </w:r>
    </w:p>
    <w:p w:rsidR="00195F50" w:rsidRPr="00D97E25" w:rsidRDefault="00195F50" w:rsidP="00195F5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95F50" w:rsidRPr="00503C5F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C5F">
        <w:rPr>
          <w:rFonts w:ascii="Times New Roman" w:hAnsi="Times New Roman"/>
          <w:sz w:val="28"/>
          <w:szCs w:val="28"/>
        </w:rPr>
        <w:t>Изменения активности процессов перекисного окисления липидов (ПОЛ) имеют место практически при всех вариантах реакции организма на различные экстремальные действия: гипоксию, гипер- и гипотермию, воспаление и пр. Изучение процессов ПОЛ и ферментного звена антиоксидантной системы (АОС) позволяет судить о степени тяжести патологического процесса, а также эффективности проводимого лечения.</w:t>
      </w:r>
    </w:p>
    <w:p w:rsidR="00195F50" w:rsidRPr="00503C5F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C5F">
        <w:rPr>
          <w:rFonts w:ascii="Times New Roman" w:hAnsi="Times New Roman"/>
          <w:sz w:val="28"/>
          <w:szCs w:val="28"/>
        </w:rPr>
        <w:t xml:space="preserve">Исследование проведено на 48 нелинейных крысах, массой 180-200г,. разделенных на 4 группы: </w:t>
      </w:r>
      <w:r w:rsidRPr="00503C5F">
        <w:rPr>
          <w:rFonts w:ascii="Times New Roman" w:hAnsi="Times New Roman"/>
          <w:sz w:val="28"/>
          <w:szCs w:val="28"/>
          <w:lang w:val="en-US"/>
        </w:rPr>
        <w:t>I</w:t>
      </w:r>
      <w:r w:rsidRPr="00503C5F">
        <w:rPr>
          <w:rFonts w:ascii="Times New Roman" w:hAnsi="Times New Roman"/>
          <w:sz w:val="28"/>
          <w:szCs w:val="28"/>
        </w:rPr>
        <w:t xml:space="preserve"> – интактный контроль, </w:t>
      </w:r>
      <w:r w:rsidRPr="00503C5F">
        <w:rPr>
          <w:rFonts w:ascii="Times New Roman" w:hAnsi="Times New Roman"/>
          <w:sz w:val="28"/>
          <w:szCs w:val="28"/>
          <w:lang w:val="en-US"/>
        </w:rPr>
        <w:t>II</w:t>
      </w:r>
      <w:r w:rsidRPr="00503C5F">
        <w:rPr>
          <w:rFonts w:ascii="Times New Roman" w:hAnsi="Times New Roman"/>
          <w:sz w:val="28"/>
          <w:szCs w:val="28"/>
        </w:rPr>
        <w:t xml:space="preserve"> – крысы с экспериментальным стоматитом (контрольная патология), </w:t>
      </w:r>
      <w:r w:rsidRPr="00503C5F">
        <w:rPr>
          <w:rFonts w:ascii="Times New Roman" w:hAnsi="Times New Roman"/>
          <w:sz w:val="28"/>
          <w:szCs w:val="28"/>
          <w:lang w:val="en-US"/>
        </w:rPr>
        <w:t>III</w:t>
      </w:r>
      <w:r w:rsidRPr="00503C5F">
        <w:rPr>
          <w:rFonts w:ascii="Times New Roman" w:hAnsi="Times New Roman"/>
          <w:sz w:val="28"/>
          <w:szCs w:val="28"/>
        </w:rPr>
        <w:t xml:space="preserve"> – крысы с экспериментальным стоматитом, получавшие лечение новым стоматологическим гелем «Лизостом», </w:t>
      </w:r>
      <w:r w:rsidRPr="00503C5F">
        <w:rPr>
          <w:rFonts w:ascii="Times New Roman" w:hAnsi="Times New Roman"/>
          <w:sz w:val="28"/>
          <w:szCs w:val="28"/>
          <w:lang w:val="en-US"/>
        </w:rPr>
        <w:t>IV</w:t>
      </w:r>
      <w:r w:rsidRPr="00503C5F">
        <w:rPr>
          <w:rFonts w:ascii="Times New Roman" w:hAnsi="Times New Roman"/>
          <w:sz w:val="28"/>
          <w:szCs w:val="28"/>
        </w:rPr>
        <w:t xml:space="preserve"> – крысы, с экспериментальным стоматитом, получавшие лечение препаратом сравнения «Метрогил-Дента».</w:t>
      </w:r>
    </w:p>
    <w:p w:rsidR="00195F50" w:rsidRPr="00503C5F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C5F">
        <w:rPr>
          <w:rFonts w:ascii="Times New Roman" w:hAnsi="Times New Roman"/>
          <w:sz w:val="28"/>
          <w:szCs w:val="28"/>
        </w:rPr>
        <w:t>Для оценки системы ПОЛ и АОС использовали методы спектрофотометрии в двухлучевой спектрофотометре «Specord UV VIS». Концентрацию МДА определяли ТБК-методом; уровень церулоплазмина определяли методом Равина; активность каталазы – по методу Гирина С.В.</w:t>
      </w:r>
    </w:p>
    <w:p w:rsidR="00195F50" w:rsidRPr="00503C5F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C5F">
        <w:rPr>
          <w:rFonts w:ascii="Times New Roman" w:hAnsi="Times New Roman"/>
          <w:sz w:val="28"/>
          <w:szCs w:val="28"/>
        </w:rPr>
        <w:t xml:space="preserve">При исследовании сыворотки крови крыс с экспериментальным стоматитом наблюдали активацию ПОЛ и снижение антиоксидантной защиты. Об этом свидетельствует увеличение уровня церулоплазмина в 1,9 раза и МДА в 1,6 раза по сравнению с интактным контролем; отмечено снижение активности каталазы в 1,5 раза и показателя АПИ в 3,4 раза, </w:t>
      </w:r>
    </w:p>
    <w:p w:rsidR="00195F50" w:rsidRPr="00503C5F" w:rsidRDefault="00195F50" w:rsidP="0019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C5F">
        <w:rPr>
          <w:rFonts w:ascii="Times New Roman" w:hAnsi="Times New Roman"/>
          <w:sz w:val="28"/>
          <w:szCs w:val="28"/>
        </w:rPr>
        <w:t xml:space="preserve">В отличие от группы </w:t>
      </w:r>
      <w:r w:rsidRPr="00503C5F">
        <w:rPr>
          <w:rFonts w:ascii="Times New Roman" w:hAnsi="Times New Roman"/>
          <w:sz w:val="28"/>
          <w:szCs w:val="28"/>
          <w:lang w:val="en-US"/>
        </w:rPr>
        <w:t>II</w:t>
      </w:r>
      <w:r w:rsidRPr="00503C5F">
        <w:rPr>
          <w:rFonts w:ascii="Times New Roman" w:hAnsi="Times New Roman"/>
          <w:sz w:val="28"/>
          <w:szCs w:val="28"/>
        </w:rPr>
        <w:t xml:space="preserve"> у животных </w:t>
      </w:r>
      <w:r w:rsidRPr="00503C5F">
        <w:rPr>
          <w:rFonts w:ascii="Times New Roman" w:hAnsi="Times New Roman"/>
          <w:sz w:val="28"/>
          <w:szCs w:val="28"/>
          <w:lang w:val="en-US"/>
        </w:rPr>
        <w:t>III</w:t>
      </w:r>
      <w:r w:rsidRPr="00503C5F">
        <w:rPr>
          <w:rFonts w:ascii="Times New Roman" w:hAnsi="Times New Roman"/>
          <w:sz w:val="28"/>
          <w:szCs w:val="28"/>
        </w:rPr>
        <w:t xml:space="preserve"> группы на 7 сутки наблюдений активность каталазы, которая утилизирует пероксид водорода в организме, увеличилась в 1,5 раза и показатель АПИ в 3,3; наблюдали снижение уровня МДА в 1,6 раза и церулоплазмина в 1,7 раза. То есть, под воздействием геля «Лизостом» происходит активация антиоксидантной системы и уменьшение активности процессов ПОЛ.</w:t>
      </w:r>
    </w:p>
    <w:p w:rsidR="00195F50" w:rsidRPr="00503C5F" w:rsidRDefault="00195F50" w:rsidP="00195F5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C5F">
        <w:rPr>
          <w:rFonts w:ascii="Times New Roman" w:hAnsi="Times New Roman"/>
          <w:sz w:val="28"/>
          <w:szCs w:val="28"/>
        </w:rPr>
        <w:t xml:space="preserve">Полученные результаты исследования совпадают с данными литературы о антиоксидантных свойствах лизоцима гидрохлорида, который представляет собой нейтрализатор перекиси водорода и гидроксильных ионов. </w:t>
      </w:r>
    </w:p>
    <w:p w:rsidR="007D6312" w:rsidRDefault="007D6312"/>
    <w:sectPr w:rsidR="007D6312" w:rsidSect="00195F50">
      <w:footerReference w:type="default" r:id="rId11"/>
      <w:pgSz w:w="11906" w:h="16838"/>
      <w:pgMar w:top="720" w:right="851" w:bottom="1134" w:left="1622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58" w:rsidRDefault="00110F58" w:rsidP="00195F50">
      <w:pPr>
        <w:spacing w:after="0" w:line="240" w:lineRule="auto"/>
      </w:pPr>
      <w:r>
        <w:separator/>
      </w:r>
    </w:p>
  </w:endnote>
  <w:endnote w:type="continuationSeparator" w:id="0">
    <w:p w:rsidR="00110F58" w:rsidRDefault="00110F58" w:rsidP="0019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752603"/>
      <w:docPartObj>
        <w:docPartGallery w:val="Page Numbers (Bottom of Page)"/>
        <w:docPartUnique/>
      </w:docPartObj>
    </w:sdtPr>
    <w:sdtContent>
      <w:p w:rsidR="00195F50" w:rsidRDefault="00195F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58">
          <w:rPr>
            <w:noProof/>
          </w:rPr>
          <w:t>34</w:t>
        </w:r>
        <w:r>
          <w:fldChar w:fldCharType="end"/>
        </w:r>
      </w:p>
    </w:sdtContent>
  </w:sdt>
  <w:p w:rsidR="00195F50" w:rsidRDefault="00195F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58" w:rsidRDefault="00110F58" w:rsidP="00195F50">
      <w:pPr>
        <w:spacing w:after="0" w:line="240" w:lineRule="auto"/>
      </w:pPr>
      <w:r>
        <w:separator/>
      </w:r>
    </w:p>
  </w:footnote>
  <w:footnote w:type="continuationSeparator" w:id="0">
    <w:p w:rsidR="00110F58" w:rsidRDefault="00110F58" w:rsidP="0019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4152C88"/>
    <w:multiLevelType w:val="hybridMultilevel"/>
    <w:tmpl w:val="2876C5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5F"/>
    <w:rsid w:val="00056C5E"/>
    <w:rsid w:val="00110F58"/>
    <w:rsid w:val="00143FA1"/>
    <w:rsid w:val="00195F50"/>
    <w:rsid w:val="00197018"/>
    <w:rsid w:val="001B7462"/>
    <w:rsid w:val="0020461A"/>
    <w:rsid w:val="00225B9C"/>
    <w:rsid w:val="00226846"/>
    <w:rsid w:val="002332C2"/>
    <w:rsid w:val="00246B04"/>
    <w:rsid w:val="002544BA"/>
    <w:rsid w:val="002E3F2F"/>
    <w:rsid w:val="003003C4"/>
    <w:rsid w:val="00333B1C"/>
    <w:rsid w:val="00341050"/>
    <w:rsid w:val="003546F1"/>
    <w:rsid w:val="003764B0"/>
    <w:rsid w:val="003F4E1F"/>
    <w:rsid w:val="0043493F"/>
    <w:rsid w:val="0045554B"/>
    <w:rsid w:val="004C0E6A"/>
    <w:rsid w:val="00543E1F"/>
    <w:rsid w:val="00594E7E"/>
    <w:rsid w:val="005E3FE5"/>
    <w:rsid w:val="00615C9F"/>
    <w:rsid w:val="006263AE"/>
    <w:rsid w:val="00661B82"/>
    <w:rsid w:val="00674181"/>
    <w:rsid w:val="006A0611"/>
    <w:rsid w:val="006C35F5"/>
    <w:rsid w:val="007176C3"/>
    <w:rsid w:val="007250F7"/>
    <w:rsid w:val="0073125E"/>
    <w:rsid w:val="00754DA8"/>
    <w:rsid w:val="007A0563"/>
    <w:rsid w:val="007D6312"/>
    <w:rsid w:val="00850803"/>
    <w:rsid w:val="0089225F"/>
    <w:rsid w:val="009118FD"/>
    <w:rsid w:val="00987F65"/>
    <w:rsid w:val="00A4752D"/>
    <w:rsid w:val="00A51831"/>
    <w:rsid w:val="00A6431E"/>
    <w:rsid w:val="00A65C1F"/>
    <w:rsid w:val="00AD18DA"/>
    <w:rsid w:val="00AD76AD"/>
    <w:rsid w:val="00AE447B"/>
    <w:rsid w:val="00AF2C49"/>
    <w:rsid w:val="00C20983"/>
    <w:rsid w:val="00C25A07"/>
    <w:rsid w:val="00C32B27"/>
    <w:rsid w:val="00C757A9"/>
    <w:rsid w:val="00C76681"/>
    <w:rsid w:val="00C928E7"/>
    <w:rsid w:val="00CE3E41"/>
    <w:rsid w:val="00D21489"/>
    <w:rsid w:val="00D64228"/>
    <w:rsid w:val="00D81EBD"/>
    <w:rsid w:val="00D93CDA"/>
    <w:rsid w:val="00DC0AEB"/>
    <w:rsid w:val="00EB1A9C"/>
    <w:rsid w:val="00EE3ADB"/>
    <w:rsid w:val="00FC5F26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71B0"/>
  <w15:chartTrackingRefBased/>
  <w15:docId w15:val="{9D80CBB6-176F-48BF-8E50-02EA65A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31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50"/>
    <w:pPr>
      <w:spacing w:after="20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5F5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5F50"/>
    <w:pPr>
      <w:ind w:left="720"/>
      <w:contextualSpacing/>
    </w:pPr>
    <w:rPr>
      <w:rFonts w:eastAsia="Calibri"/>
    </w:rPr>
  </w:style>
  <w:style w:type="character" w:styleId="a5">
    <w:name w:val="Emphasis"/>
    <w:uiPriority w:val="20"/>
    <w:qFormat/>
    <w:rsid w:val="00195F50"/>
    <w:rPr>
      <w:i/>
      <w:iCs/>
    </w:rPr>
  </w:style>
  <w:style w:type="character" w:customStyle="1" w:styleId="jrnl">
    <w:name w:val="jrnl"/>
    <w:basedOn w:val="a0"/>
    <w:rsid w:val="00195F50"/>
  </w:style>
  <w:style w:type="character" w:customStyle="1" w:styleId="nowrap">
    <w:name w:val="nowrap"/>
    <w:basedOn w:val="a0"/>
    <w:rsid w:val="00195F50"/>
  </w:style>
  <w:style w:type="paragraph" w:styleId="a6">
    <w:name w:val="header"/>
    <w:basedOn w:val="a"/>
    <w:link w:val="a7"/>
    <w:uiPriority w:val="99"/>
    <w:unhideWhenUsed/>
    <w:rsid w:val="0019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F50"/>
    <w:rPr>
      <w:rFonts w:ascii="Calibri" w:eastAsia="Times New Roman" w:hAnsi="Calibri"/>
      <w:sz w:val="22"/>
    </w:rPr>
  </w:style>
  <w:style w:type="paragraph" w:styleId="a8">
    <w:name w:val="footer"/>
    <w:basedOn w:val="a"/>
    <w:link w:val="a9"/>
    <w:uiPriority w:val="99"/>
    <w:unhideWhenUsed/>
    <w:rsid w:val="0019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F50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27475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Codex_Alimentari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niosh-rtecs/FJ5ACA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306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2018-12-09T20:58:00Z</dcterms:created>
  <dcterms:modified xsi:type="dcterms:W3CDTF">2018-12-09T20:58:00Z</dcterms:modified>
</cp:coreProperties>
</file>