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58" w:rsidRPr="00573D4F" w:rsidRDefault="00E55B58" w:rsidP="00E55B58">
      <w:pPr>
        <w:pStyle w:val="ListParagraph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 xml:space="preserve">ОСОБЛИВОСТІ  КЛІНІЧНИХ ПРОЯВІВ ХРОНІЧНИХ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 xml:space="preserve">СПЕЦИФІЧНИХ УРОГЕНІТАЛЬНИХ ІНФЕКЦІЙ У ЖІНОК З МЕТАБОЛІЧНИМ СИНДРОМОМ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>Кузьміна І.Ю., Шутова Н.А.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  <w:lang w:val="uk-UA"/>
        </w:rPr>
        <w:t>Харківський національний медичний університет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55B58" w:rsidRDefault="00E55B58" w:rsidP="00E55B5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573D4F">
        <w:rPr>
          <w:rFonts w:ascii="Times New Roman" w:hAnsi="Times New Roman"/>
          <w:b/>
          <w:bCs/>
          <w:sz w:val="28"/>
          <w:szCs w:val="28"/>
        </w:rPr>
        <w:t xml:space="preserve">Вступ.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Останнім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часом в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збільшується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поширеність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метаболічного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синдрому (МС),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який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з медико-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соціальної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значимості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представляє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одну з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найбільш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актуальних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проблем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охорони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здоров'я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[1].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Встановлено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майже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20-25%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дорослого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МС [2].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73D4F">
        <w:rPr>
          <w:rFonts w:ascii="Times New Roman" w:hAnsi="Times New Roman"/>
          <w:bCs/>
          <w:sz w:val="28"/>
          <w:szCs w:val="28"/>
        </w:rPr>
        <w:t>Запальні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процеси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жіночих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статевих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органів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займають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велике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місце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гінекологічних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захворювань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у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пацієнток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573D4F">
        <w:rPr>
          <w:rFonts w:ascii="Times New Roman" w:hAnsi="Times New Roman"/>
          <w:bCs/>
          <w:sz w:val="28"/>
          <w:szCs w:val="28"/>
        </w:rPr>
        <w:t>репродуктивного</w:t>
      </w:r>
      <w:proofErr w:type="gram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віку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негативно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впливаючи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на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сексуальну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менструальну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репродуктивну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та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інші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функції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і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потребують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значних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економічних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втрат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пов'язаних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діагностикою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лікуванням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[3].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573D4F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структурі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інфекцій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передаються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переважно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статевим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шляхом (ІПСШ),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відзначається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тенденція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до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захворювань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етіологічні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асоційовані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з  такими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збудниками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як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Chlamydia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en-US"/>
        </w:rPr>
        <w:t>spp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.,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Mycoplasma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en-US"/>
        </w:rPr>
        <w:t>spp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.,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Herpes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simplex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virus</w:t>
      </w:r>
      <w:r w:rsidRPr="00573D4F">
        <w:rPr>
          <w:rFonts w:ascii="Times New Roman" w:hAnsi="Times New Roman"/>
          <w:bCs/>
          <w:sz w:val="28"/>
          <w:szCs w:val="28"/>
        </w:rPr>
        <w:t xml:space="preserve"> [4].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Збудники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цих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інфекцій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в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більшості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випадків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не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викликають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гострого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запального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процесу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урогенітальному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тракті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у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зв’язку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з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чим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важче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ідентифікувати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та  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викликані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ними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захворювання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складні</w:t>
      </w:r>
      <w:proofErr w:type="gramStart"/>
      <w:r w:rsidRPr="00573D4F">
        <w:rPr>
          <w:rFonts w:ascii="Times New Roman" w:hAnsi="Times New Roman"/>
          <w:bCs/>
          <w:sz w:val="28"/>
          <w:szCs w:val="28"/>
        </w:rPr>
        <w:t>ше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573D4F">
        <w:rPr>
          <w:rFonts w:ascii="Times New Roman" w:hAnsi="Times New Roman"/>
          <w:bCs/>
          <w:sz w:val="28"/>
          <w:szCs w:val="28"/>
        </w:rPr>
        <w:t>ікувати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 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73D4F">
        <w:rPr>
          <w:rFonts w:ascii="Times New Roman" w:hAnsi="Times New Roman"/>
          <w:bCs/>
          <w:sz w:val="28"/>
          <w:szCs w:val="28"/>
        </w:rPr>
        <w:t>Тривала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персистенція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збудників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викликає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важкі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ускладнення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призводять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хронічних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репродуктивної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системи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жінки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[5].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73D4F">
        <w:rPr>
          <w:rFonts w:ascii="Times New Roman" w:hAnsi="Times New Roman"/>
          <w:bCs/>
          <w:sz w:val="28"/>
          <w:szCs w:val="28"/>
        </w:rPr>
        <w:t>Особливої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гостроти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проблема  ІПСШ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набуває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на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тлі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значного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збільшення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жінок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з МС.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Наявність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МС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асоціюється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з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багаторазовим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збільшенням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ризику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серцево-судинних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захворювань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r w:rsidRPr="00573D4F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інсулінорезистентність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 яка  є  основною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патогенетичною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ланкою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МС,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може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бути  одним  з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можливих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механізмів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артеріальної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гіпертензії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[6].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573D4F">
        <w:rPr>
          <w:rFonts w:ascii="Times New Roman" w:hAnsi="Times New Roman"/>
          <w:bCs/>
          <w:sz w:val="28"/>
          <w:szCs w:val="28"/>
        </w:rPr>
        <w:t xml:space="preserve">У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патогенезі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МС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виділяють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дві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факторів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: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генетичні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і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середовищні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  </w:t>
      </w:r>
      <w:proofErr w:type="spellStart"/>
      <w:proofErr w:type="gramStart"/>
      <w:r w:rsidRPr="00573D4F">
        <w:rPr>
          <w:rFonts w:ascii="Times New Roman" w:hAnsi="Times New Roman"/>
          <w:bCs/>
          <w:sz w:val="28"/>
          <w:szCs w:val="28"/>
        </w:rPr>
        <w:t>Еп</w:t>
      </w:r>
      <w:proofErr w:type="gramEnd"/>
      <w:r w:rsidRPr="00573D4F">
        <w:rPr>
          <w:rFonts w:ascii="Times New Roman" w:hAnsi="Times New Roman"/>
          <w:bCs/>
          <w:sz w:val="28"/>
          <w:szCs w:val="28"/>
        </w:rPr>
        <w:t>ідеміологічні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дослідження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дозволили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сформулювати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гіпотезу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економічного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генотипу" як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основи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 Так, особи,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проживають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в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несприятливих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умовах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повинні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максимальну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здатність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накопичення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енергії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вигляді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жирової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тканини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573D4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зм</w:t>
      </w:r>
      <w:proofErr w:type="gramEnd"/>
      <w:r w:rsidRPr="00573D4F">
        <w:rPr>
          <w:rFonts w:ascii="Times New Roman" w:hAnsi="Times New Roman"/>
          <w:bCs/>
          <w:sz w:val="28"/>
          <w:szCs w:val="28"/>
        </w:rPr>
        <w:t>іні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умов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середовища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у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жінки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генотип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реалізується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в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порушенні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толерантності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глюкози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ожирінні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. Альтернативна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гіпотеза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носить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назву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фетального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програмування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і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вказує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на  великий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вплив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внутрішньоутробного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харчування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МС [7].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проведенні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анамнестичних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573D4F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573D4F">
        <w:rPr>
          <w:rFonts w:ascii="Times New Roman" w:hAnsi="Times New Roman"/>
          <w:bCs/>
          <w:sz w:val="28"/>
          <w:szCs w:val="28"/>
        </w:rPr>
        <w:t>іджень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виявлено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зниження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фізичної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активності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та  характер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харчування</w:t>
      </w:r>
      <w:proofErr w:type="spellEnd"/>
      <w:r w:rsidRPr="00573D4F">
        <w:rPr>
          <w:rFonts w:ascii="Times New Roman" w:hAnsi="Times New Roman"/>
          <w:bCs/>
          <w:sz w:val="28"/>
          <w:szCs w:val="28"/>
        </w:rPr>
        <w:t xml:space="preserve">  з  </w:t>
      </w:r>
      <w:proofErr w:type="spellStart"/>
      <w:r w:rsidRPr="00573D4F">
        <w:rPr>
          <w:rFonts w:ascii="Times New Roman" w:hAnsi="Times New Roman"/>
          <w:bCs/>
          <w:sz w:val="28"/>
          <w:szCs w:val="28"/>
        </w:rPr>
        <w:t>переважанням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вуглеводів,  є  головними  чинниками  того,  що  захворюваність  МС набуває поширеного характеру.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На  розвиток  МС  мають  безпосередній  вплив  деякі  біологічні  та поведінкові  фактори,  до  числа  яких  відносяться  вік,  малорухливий спосіб  життя,  переважання  вуглеводної  дієти,  соціально-економічний статус  і 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постменопаузальний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 період  у  жінок.  Число  таких  хворих неухильно  зростає  і,  за  прогнозами,  у  найближчі 25  років  очікується зростання цього захворювання на 50% [8]. 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У молодих жінок МС - одна з найбільш частих причин порушення репродуктивної  функції  на  тлі  прогресуючого  ожиріння  і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дієнцефальної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 симптоматики.  Висока  частота  розвитку МС  в  деяких етнічних групах доводить існування генетичної схильності не тільки до частоти  його  виникнення,  але  і  до  тяжкості  клінічних  проявів [9].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Вважається,  що  МС -  хвороба  людей  середнього  віку  і  переважно  жінок.  Однак  деякі  дослідження  свідчить  про  те,  що  даний  синдром також має тенденцію до зростання серед підлітків і молоді. Саме в цій групі відзначається традиційно висока частота виникнення венеричних захворювань [10].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и завдання дослідження. </w:t>
      </w: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Вивчити  особливості  клінічних  проявів  і  перебігу  хронічних специфічних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урогенітальних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інфекцій у жінок з МС.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 xml:space="preserve">Матеріал та методи дослідження. </w:t>
      </w: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Обстежено 80  пацієнток  з  хронічним  перебігом  специфічних запальних  процесів  та  МС.  Появи  МС  діагностували  на  підставі загальноприйнятих  критеріїв (наявність  артеріальної  гіпертензії,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дисліпідемії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>,  надлишкової  маси  тіла (абдомінальне  ожиріння), порушення  толерантності  до  глюкози  або  цукровий діабет)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.Діагностику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 хронічних 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урогенітальних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 інфекцій  проводили  на підставі  лабораторних  досліджень,  які  включали  комплекс  методів, спрямованих  на  виявлення  самого мікроорганізму (прямі методи)  або визначення  специфічної  реакції  пацієнта,  що  служить  маркером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позасимптомного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носійства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інфекції (непрямі методи). </w:t>
      </w:r>
    </w:p>
    <w:p w:rsidR="00E55B58" w:rsidRPr="00573D4F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Матеріалом  для  виявлення  збудників  інфекцій 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урогенітального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тракту служили мазки епітелію слизової уретри, піхви  і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цервікального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каналу. Кожен з методів має певні переваги  і недоліки, тому алгоритм лабораторної  діагностики  залежав  від  виду  інфекції.  Найбільш  часто застосовувалися  такі  методи:  мікроскопічні (цитологічне фарбування, методи  прямої  і  непрямої 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імунофлуоресценції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), 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культуральний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 (ізоляція  збудника  в  культурі  клітин).  Обов'язково  проводилася діагностика ІПСШ із застосуванням </w:t>
      </w:r>
      <w:proofErr w:type="spellStart"/>
      <w:r w:rsidRPr="00573D4F">
        <w:rPr>
          <w:rFonts w:ascii="Times New Roman" w:hAnsi="Times New Roman"/>
          <w:bCs/>
          <w:sz w:val="28"/>
          <w:szCs w:val="28"/>
          <w:lang w:val="uk-UA"/>
        </w:rPr>
        <w:t>ПЛР-аналізу</w:t>
      </w:r>
      <w:proofErr w:type="spellEnd"/>
      <w:r w:rsidRPr="00573D4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4F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дослідження та їх обговорення. </w:t>
      </w:r>
      <w:r w:rsidRPr="00573D4F">
        <w:rPr>
          <w:rFonts w:ascii="Times New Roman" w:hAnsi="Times New Roman"/>
          <w:bCs/>
          <w:sz w:val="28"/>
          <w:szCs w:val="28"/>
          <w:lang w:val="uk-UA"/>
        </w:rPr>
        <w:t>Віковий  склад обстежених  пацієнтів представлений  в  таблиці 1. У всіх  хворих  з  інфекціями,  що  передаються  переважно  статевим шляхом,  діагностовано ознаки МС.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Таблиця 1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>Розподіл хворих з метаболічним синдромом і специфічними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>запальними захворюваннями жіночих статевих органів за віком.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firstLine="720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37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Дані,   що  наведені  в  таблиці,  свідчать  про  те,  що  переважна кількість хворих, становлять особи віком від 31 до 40  років 51 (55,0%). Звертає  на  себе  увагу  високі  показники  наявності МС  і  специфічних хронічних  захворювань  у  пацієнток  молодого  віку.  Із 80  жінок,  що були  обстежені  на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хламідіоз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 він  був   виявлений  у 46 пацієнток (57,5%),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мікоплазмена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інфекція -  у 18  хворих (22,5%),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герпес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- у 16 (20,0%) жінок (табл. 2)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Таблиця 2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Кількість пацієнток зі специфічними запальними 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>захворюваннями жіночих статевих органів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3910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58" w:rsidRDefault="00E55B58" w:rsidP="00E55B58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bCs/>
          <w:sz w:val="28"/>
          <w:szCs w:val="28"/>
          <w:lang w:val="uk-UA"/>
        </w:rPr>
      </w:pP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Отримані  дані  свідчать  про  високу  частоту  мікст  інфекції специфічних  запальних  захворювань  жіночих  статевих  органів  при МС.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Крім основних специфічних процесів у обстежених жінок, виявлено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трихомоніаз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у 4  пацієнток (5,5%)  і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кандидоз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- у 6 хворих (6,4%). У  тих  випадках,  коли  у  пацієнток  </w:t>
      </w:r>
      <w:r>
        <w:rPr>
          <w:rFonts w:ascii="Times New Roman" w:hAnsi="Times New Roman"/>
          <w:bCs/>
          <w:sz w:val="28"/>
          <w:szCs w:val="28"/>
          <w:lang w:val="uk-UA"/>
        </w:rPr>
        <w:t>ви</w:t>
      </w: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являлися  асоціації  з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трихомоніазом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і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урогенітальним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герпесом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клінічна картина була більш виразною. Однак все клінічні прояви не мали специфічного характеру.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>Отже,  з 80  жінок  з  МС 43 (53,75%)  були  уражені  ще  якоюсь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урогенітальною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інфекцією   і  тільки  у 46,25%  випадків (37  пацієнток)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виявлена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моноінфекція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У  всіх  обстежених  хворих  з  ІПСШ  не  спостерігалося  змін  в  сечі  і крові (лейкоцитоз, ШОЕ, показник гемоглобіну, кількість еритроцитів і ін.).  У 24 (30%)  обстежених  хворих   спостерігався  тривалий інкубаційний  період.  У  всіх  випадках  інфекції  протікали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мало-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або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асимптомно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 Тільки  у 23%  випадків  пацієнтки  відзначали  невеликі суб'єктивні розлади: відчуття дискомфорту, свербіж і невелике печіння в  уретральному  каналі,  а  також  незначні  слизові  виділення,  які спонтанно  зникали  і  знову  з'являлися.  Однак  ці  симптоми  </w:t>
      </w:r>
      <w:r w:rsidRPr="000D137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були швидкоминучі і занепокоєння у пацієнток не викликали. За  медичною  допомогою  ніхто  з  них  не  звертався.  Ці  ж  симптоми,  а  також хворобливі  відчуття  в  ділянці  зовнішніх  статевих  органів  були  при розвитку бартолініту (2 випадки).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Кольпоскопічна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картина  відзначалася  набряком  і  гіперемією слизової оболонки у 53 хворих (66,25%) у 13 з них (16,25%) виявлялися наявністю дрібних папул, розташованих на передній губі шийки матки. У підслизовій тканині визначалися різко розширені судини. Таким чином, проведене дослідження дозволяє припустити значний вплив  МС  на  перебіг  специфічних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інфекцій,  що передаються  переважно  статевим  шляхом.  Встановлено,  що  хронічні специфічні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урогенітальні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інфекції  у  жінок  з  МС  протікають,  як правило, у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мало-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або поза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симптомній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формі. Найбільш характерними клінічними проявами захворювань були легке запалення шийки матки з  переважним  ураженням  зовнішнього  зіву.  У  частині  хворих,  при асоціації  з  іншими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урогенітальними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інфекціями,  відзначалися  слизові виділення  з  піхви,  печія,  біль  та  дискомфорт  при  сечовипусканні. Бактеріологічні дослідження сечі, при цьому, патогенну мікрофлору не виявляли.  Такий  перебіг  захворювань  має  особливе  значення,  так  як може служити резервуаром і джерелом венеричних інфекцій.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/>
          <w:bCs/>
          <w:sz w:val="28"/>
          <w:szCs w:val="28"/>
          <w:lang w:val="uk-UA"/>
        </w:rPr>
        <w:t xml:space="preserve">Висновки.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Вивчення  особливості  перебігу  та  клінічних  проявів  ІПСШ  у хворих  з  МС  виявило  переважно  такі  інфекції,  як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хламідіоз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мікоплазмоз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генітальний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герпес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  Клінічні  прояви  специфічних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інфекцій у жінок з МС мають ряд особливостей: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мало-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або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позасимптомний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перебіг,  поширення  патологічного  процесу  на зовнішні і внутрішні органи сечостатевої системи, часта асоціація двох і більше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урогенітальних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інфекцій.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/>
          <w:bCs/>
          <w:sz w:val="28"/>
          <w:szCs w:val="28"/>
          <w:lang w:val="uk-UA"/>
        </w:rPr>
        <w:t xml:space="preserve">Література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Дедов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И. И., Мельниченко Г. А.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Ожирение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— М.: МИА, 2014. — С. 43-55. 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2.  Козлова  В.  И.,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Пухнер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А.  Ф.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Вирусные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хламидийные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и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микоплазменные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заболевания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гениталий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—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СПб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>:, Ольга, 2015. - 312 с.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3.  Сидорова  И.С.,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Шешукова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Н.А.,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Боровкова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Е.И.,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Принципы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лечения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хронического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воспалительного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процесса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придатков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матки// Акушерство и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гинекология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– 2003. – №5 – с.61–65.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4.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Гинекология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—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национальное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руководство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/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ред.  В.  И. Кулакова, Г. М.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Савельевой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И. Б.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Манухина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— М.: ГЭОТАР-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Медиа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2016. — 1088 с.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5.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Рыбалкин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С.Б..,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Мирзабаева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А.К. 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Альтернативные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подходы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к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терапии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урогенитальных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заболеваний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СПб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2011.- 453 с. 6.   Луценко  С.В.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Молекулярные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механизмы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ангиогенеза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в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физиологических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и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патологических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процессах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Введение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а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молекулярную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медицину /С.В. </w:t>
      </w:r>
      <w:r w:rsidRPr="000D137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Луценко. С.М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Киселев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Н.Б Фельдман и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др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//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ред. М. А 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Пальцева.-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М.: Медицина. 2014.- С 446-495.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Martinez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M.A.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Microbiological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diagnosis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sexually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transmitted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(STI). 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Part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1: Non-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viral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STI //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Rev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Chilena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Infectol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- 2009. 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Vol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26. - № 6. - Р. 529-539.  </w:t>
      </w:r>
    </w:p>
    <w:p w:rsidR="00E55B58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8.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Martinez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M.A.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Microbiological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diagnosis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sexually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transmitted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(STI). 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Part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1: Non-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viral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STI //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Rev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Chilena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Infectol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- 2009. 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Vol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26. - № 6. - Р. 529-539. 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9.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Reaven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G. M.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Metabolic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syndrome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Pathophysiology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implications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management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cardiovascular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disease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//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Circulation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— 2012. — № 106. — Р. 286-288.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10.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Lee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N.C,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Rubin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G.L.,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Boruchi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R.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intrauterine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device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pelvic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inflammatory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disease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revisited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new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results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from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women's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health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study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// J.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Obstet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Gynec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2006. -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Vol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72. - N 1. - P. 17-24.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РЕФЕРАТ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ОСОБЕННОСТИ  КЛИНИЧЕСКИХ  ПРОЯВЛЕНИЙ ХРОНИЧЕСКИХ СПЕЦИФИЧЕСКИХ ИНФЕКЦИЙ ЖЕНЩИН С МЕТАБОЛИЧЕСКИМ СИНДРОМОМ </w:t>
      </w:r>
    </w:p>
    <w:p w:rsidR="00E55B58" w:rsidRPr="000D1373" w:rsidRDefault="00E55B58" w:rsidP="00E55B58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Кузьмина И.Ю., Шутова Н.А.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Целью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исследования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было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изучить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особенности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клинических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проявлений и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течения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хронических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специфических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урогенитальных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инфекций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женщин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с МС.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Обследовано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80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пациенток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хроническим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течением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специфических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воспалительных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процессов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и МС.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Проявление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МС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диагностировали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на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основании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общепринятых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критериев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наличие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артериальной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гипертензии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дислипидемии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излишней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массы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тела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абдоминальное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ожирение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нарушение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толерантности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к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глюкозе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или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сахарный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диабет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Проведенное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исследование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позволяет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предположить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значительное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влияние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МС  на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течение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и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клинические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проявления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хронических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специфических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урогенитальных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инфекций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.  Установлено,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что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хронические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специфические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урогенитальные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инфекции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у  </w:t>
      </w:r>
      <w:proofErr w:type="spellStart"/>
      <w:r w:rsidRPr="000D1373">
        <w:rPr>
          <w:rFonts w:ascii="Times New Roman" w:hAnsi="Times New Roman"/>
          <w:bCs/>
          <w:sz w:val="28"/>
          <w:szCs w:val="28"/>
          <w:lang w:val="uk-UA"/>
        </w:rPr>
        <w:t>женщин</w:t>
      </w:r>
      <w:proofErr w:type="spellEnd"/>
      <w:r w:rsidRPr="000D1373">
        <w:rPr>
          <w:rFonts w:ascii="Times New Roman" w:hAnsi="Times New Roman"/>
          <w:bCs/>
          <w:sz w:val="28"/>
          <w:szCs w:val="28"/>
          <w:lang w:val="uk-UA"/>
        </w:rPr>
        <w:t xml:space="preserve">  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МС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протекает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как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правило,  в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слабой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или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бессимптомной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форме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Наиболее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характерными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клиническими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проявлениями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заболеваний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были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воспаление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шейки  матки  с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преимущественным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поражением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наружного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зева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слизистые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выделения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из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влагалища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жжение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боль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и дискомфорт  при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мочеиспускании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Бактериологические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исследования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мочи, при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этом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патогенную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микрофлору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не проявляли.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Такое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течение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заболевания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может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служить  резервуаром  и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источником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венерических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инфекций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Ключевые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слова: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специфические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урогенитальные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инфекции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метаболический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синдром,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клинические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проявления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PECULIARITIES OF CLINICAL MANIFESTATIONS OF CHRONIC SPECIAL INFECTIONS OF WOMEN WITH METABOLIC SYNDROME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lastRenderedPageBreak/>
        <w:t>Kuzmina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I.Yu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Shutova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N.A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aim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investigation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was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to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study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features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clinical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manifestations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course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chronic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specific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urogenital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women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with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metabolic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syndrome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(MS).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Investigated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80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patient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specific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inflammatory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processes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genital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organs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MS.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Manifestation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MS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was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diagnosed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basis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generally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accepted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criteria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presence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arterial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hypertension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dyslipidemia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excessive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body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weight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abdominal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obesity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impaired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glucose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tolerance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or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diabetes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mellitus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>)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.The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conducted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study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suggests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significant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effect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MS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course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clinical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manifestations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chronic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specific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urogenital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was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established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that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chronic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specific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urogenital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women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with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MS,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rule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weak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or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asymptomatic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form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most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characteristic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clinical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manifestations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diseases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were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inflammation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cervix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with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primary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lesion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external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pharynx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mucous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discharge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from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vagina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burning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pain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discomfort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during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urination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Bacteriological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studies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urine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while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pathogenic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microflora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not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Such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course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disease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can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serve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a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reservoir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source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sexually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transmitted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55B58" w:rsidRPr="00282D07" w:rsidRDefault="00E55B58" w:rsidP="00E55B58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Key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words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specific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urogenital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infections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metabolic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syndrome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clinical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82D07">
        <w:rPr>
          <w:rFonts w:ascii="Times New Roman" w:hAnsi="Times New Roman"/>
          <w:bCs/>
          <w:sz w:val="28"/>
          <w:szCs w:val="28"/>
          <w:lang w:val="uk-UA"/>
        </w:rPr>
        <w:t>manifestations</w:t>
      </w:r>
      <w:proofErr w:type="spellEnd"/>
      <w:r w:rsidRPr="00282D0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326F8" w:rsidRPr="00E55B58" w:rsidRDefault="00E326F8">
      <w:pPr>
        <w:rPr>
          <w:lang w:val="uk-UA"/>
        </w:rPr>
      </w:pPr>
      <w:bookmarkStart w:id="0" w:name="_GoBack"/>
      <w:bookmarkEnd w:id="0"/>
    </w:p>
    <w:sectPr w:rsidR="00E326F8" w:rsidRPr="00E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0"/>
    <w:rsid w:val="00946A50"/>
    <w:rsid w:val="00E326F8"/>
    <w:rsid w:val="00E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5B5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5B5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11507</Characters>
  <Application>Microsoft Office Word</Application>
  <DocSecurity>0</DocSecurity>
  <Lines>95</Lines>
  <Paragraphs>26</Paragraphs>
  <ScaleCrop>false</ScaleCrop>
  <Company>Krokoz™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2018-12-02T17:08:00Z</dcterms:created>
  <dcterms:modified xsi:type="dcterms:W3CDTF">2018-12-02T17:09:00Z</dcterms:modified>
</cp:coreProperties>
</file>