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2D" w:rsidRDefault="001F352D" w:rsidP="001F352D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УДК 613.86:617.7-053.6-036.8:159.942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1F352D" w:rsidRDefault="001F352D" w:rsidP="001F352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ru-RU"/>
        </w:rPr>
        <w:t>ПСИХОГІГІЄНІЧНА</w:t>
      </w:r>
      <w:r w:rsidRPr="001F352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ХАРАКТЕРИСТИКА</w:t>
      </w:r>
      <w:r w:rsidRPr="001F352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УМОВ</w:t>
      </w:r>
      <w:r w:rsidRPr="001F352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ЖИТТЄДІЯЛЬНОСТІ</w:t>
      </w:r>
      <w:r w:rsidRPr="001F352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ТА</w:t>
      </w:r>
      <w:r w:rsidRPr="001F352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ПСИХОЕМОЦІЙНОГО</w:t>
      </w:r>
      <w:r w:rsidRPr="001F352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СТАНУ</w:t>
      </w:r>
      <w:r w:rsidRPr="001F352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ІДЛІТКІВ</w:t>
      </w:r>
      <w:r w:rsidRPr="001F352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1F352D" w:rsidRPr="001F352D" w:rsidRDefault="001F352D" w:rsidP="001F352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З</w:t>
      </w:r>
      <w:proofErr w:type="gramEnd"/>
      <w:r w:rsidRPr="001F352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ПАТОЛОГІЄЮ</w:t>
      </w:r>
      <w:r w:rsidRPr="001F352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ОРГАНУ</w:t>
      </w:r>
      <w:r w:rsidRPr="001F352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ЗОРУ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Харківський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національний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медичний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університет</w:t>
      </w:r>
      <w:proofErr w:type="spellEnd"/>
    </w:p>
    <w:p w:rsidR="001F352D" w:rsidRDefault="001F352D" w:rsidP="001F352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Коробчанський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В.О.,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Сасіна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О.С. </w:t>
      </w:r>
    </w:p>
    <w:p w:rsidR="001F352D" w:rsidRPr="001F352D" w:rsidRDefault="001F352D" w:rsidP="001F352D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Актуальність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Однією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 проблем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сучасної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проф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ілактичної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медицини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є проблема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молоді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різнем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ступенем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ураження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зорового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аналізатору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Дуже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важливим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питання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зміцнення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здоров’я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цієї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групи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населення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її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соц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іальна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професійна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адаптація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оточуючого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середовища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профілактика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донозологічної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патології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З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велике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значення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тільки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розвитку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зорового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сприйняття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але і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розвитку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зорово-просторових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уявлень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орієнтація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навколишньому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середовищі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певний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рівень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яких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особливо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важливе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значення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дитини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процесі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навчання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[1, 2].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Зоровий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аналізатор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щільні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взаємозв’язки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іншими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аналізаторами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слуховим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тактильним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нюховим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руховим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утворює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 ними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складні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динамічні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системи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зв'язків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Це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обумовлює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вплив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зорової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функції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діяльність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інших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аналізаторі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рахунок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формування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ними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складних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синтетичних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образів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явищ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навколишнього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середовища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[1, 3].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Порушення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зорового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аналізатору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впливає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розвиток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психоемоційної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сфери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дитини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призводить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труднощів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ізнання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оточуючого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світу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обмежує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орієнтування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соціальні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відносини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значно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обмежує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вибір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видів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Все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це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обумовлює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зміни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життєдіяльності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такої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дитини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[4].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Мета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досл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ідження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Зважаючи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вищесказане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метою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нашого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досл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ідження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було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виявити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психоемоційної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сфери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порушенням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виявити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провідні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фактори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ризику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їх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життєдіяльності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Це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дозволить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розробити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впровадити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комплекс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психогігієнічних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заходів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щодо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корекції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життєдіяльності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таких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також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поліпшення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їх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функціонального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психоемоційного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стану.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Матер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іали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методи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Нами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були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досліджені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ідлітки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віком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15-18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років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учні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8-12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класів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Комунального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закладу "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Харківський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спеціальний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навчально-виховний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комплекс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імені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В.Г. Короленка"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Харківської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обласної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ради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кількості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51 особа. Першу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групу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порівняння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склали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слабозорі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ідлітки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учні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Комунального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закладу "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Харківська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спеціальна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загальноосвітня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школа-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інтернат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І-ІІІ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ступенів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№ 12"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Харківської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обласної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ради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кількості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49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осіб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Другу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групу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порівняння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склали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учні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Харківської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загальноосвітньої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школи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№1,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які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вад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кількості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53 особи.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Усі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групи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були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однорідні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за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віком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Досл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ідження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було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проведене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початку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учбового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року.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даному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етапі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досл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ідження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нами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були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використані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наступні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методи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: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F352D">
        <w:rPr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життєдіяльності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учнів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оцінювались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допомогою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опитувальника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1F352D">
        <w:rPr>
          <w:sz w:val="28"/>
          <w:szCs w:val="28"/>
          <w:lang w:val="ru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Спосіб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життя</w:t>
      </w:r>
      <w:proofErr w:type="spellEnd"/>
      <w:r w:rsidRPr="001F352D">
        <w:rPr>
          <w:sz w:val="28"/>
          <w:szCs w:val="28"/>
          <w:lang w:val="ru-RU"/>
        </w:rPr>
        <w:t xml:space="preserve">» [5].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Опитувальник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наступні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шкали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: </w:t>
      </w:r>
      <w:r w:rsidRPr="001F352D">
        <w:rPr>
          <w:sz w:val="28"/>
          <w:szCs w:val="28"/>
          <w:lang w:val="ru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Психологічний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мікроклімат</w:t>
      </w:r>
      <w:proofErr w:type="spellEnd"/>
      <w:r w:rsidRPr="001F352D">
        <w:rPr>
          <w:sz w:val="28"/>
          <w:szCs w:val="28"/>
          <w:lang w:val="ru-RU"/>
        </w:rPr>
        <w:t xml:space="preserve">» -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оцінка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оптимальності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психологічного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мікроклімату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сім’ї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навчальному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колективі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; </w:t>
      </w:r>
      <w:r w:rsidRPr="001F352D">
        <w:rPr>
          <w:sz w:val="28"/>
          <w:szCs w:val="28"/>
          <w:lang w:val="ru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Рухова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активність</w:t>
      </w:r>
      <w:proofErr w:type="spellEnd"/>
      <w:r w:rsidRPr="001F352D">
        <w:rPr>
          <w:sz w:val="28"/>
          <w:szCs w:val="28"/>
          <w:lang w:val="ru-RU"/>
        </w:rPr>
        <w:t xml:space="preserve">» -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оцінка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рухової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активності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включаючи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прогулянки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св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іжому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повітрі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заняття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спортом; </w:t>
      </w:r>
      <w:r w:rsidRPr="001F352D">
        <w:rPr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Режим дня</w:t>
      </w:r>
      <w:r w:rsidRPr="001F352D">
        <w:rPr>
          <w:sz w:val="28"/>
          <w:szCs w:val="28"/>
          <w:lang w:val="ru-RU"/>
        </w:rPr>
        <w:t xml:space="preserve">» -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оцінка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оптимальності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навчання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відпочинку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структури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вільного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часу,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нічного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сну; </w:t>
      </w:r>
      <w:r w:rsidRPr="001F352D">
        <w:rPr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Режим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харчування</w:t>
      </w:r>
      <w:proofErr w:type="spellEnd"/>
      <w:r w:rsidRPr="001F352D">
        <w:rPr>
          <w:sz w:val="28"/>
          <w:szCs w:val="28"/>
          <w:lang w:val="ru-RU"/>
        </w:rPr>
        <w:t xml:space="preserve">» -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оцінка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раціону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якісного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складу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оптимальності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режиму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харчування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; </w:t>
      </w:r>
      <w:r w:rsidRPr="001F352D">
        <w:rPr>
          <w:sz w:val="28"/>
          <w:szCs w:val="28"/>
          <w:lang w:val="ru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Особиста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гі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ієна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шкідливі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звички</w:t>
      </w:r>
      <w:proofErr w:type="spellEnd"/>
      <w:r w:rsidRPr="001F352D">
        <w:rPr>
          <w:sz w:val="28"/>
          <w:szCs w:val="28"/>
          <w:lang w:val="ru-RU"/>
        </w:rPr>
        <w:t xml:space="preserve">» -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оцінка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дотримання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правил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особистої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гігієни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санітарної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культури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дотримання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вимог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здорового способу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життя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схильності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шкідливих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звичок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Психоемоційний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стан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учнів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досл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іджувався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за результатами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виконання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тесту </w:t>
      </w:r>
      <w:r w:rsidRPr="001F352D">
        <w:rPr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САН</w:t>
      </w:r>
      <w:r w:rsidRPr="001F352D">
        <w:rPr>
          <w:sz w:val="28"/>
          <w:szCs w:val="28"/>
          <w:lang w:val="ru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як методу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суб’єктивної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оцінки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піддослідними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свого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самопочуття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активності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настрою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процесі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навчання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[6].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Результати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досл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ідження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їх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обговорення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ідлітки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повною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відсутністю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зорових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відчуттів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збереженням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світловідчуття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або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залишковим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максимальної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гостротою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0,04). Час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появи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зорового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 xml:space="preserve">дефекту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вагомий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вплив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психічний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фізичний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розвиток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такого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ідлітка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Чим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раніше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виник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дефект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тим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вагоміше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представлені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відхилення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психофізичній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психоемоційній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сфері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Відсутність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можливості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візуально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сприймати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предмети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явища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навколишнього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середовища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орієнтуватися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просторі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збіднює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чуттєвий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досвід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отже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порушує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взаємодію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сенсорних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інтелектуальних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функцій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дітей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стримує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розвиток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образного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мислення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обумовлює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їх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психічного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розвитку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Дефекти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негативно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впливають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формування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рухових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навичок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Труднощі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виникають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дитинства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процесі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навчання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ходьбі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закріплюються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вигляді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неприємних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переживань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призводять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до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ізкого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обмеження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рухових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функцій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таких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дітей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Дефект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впливає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і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своє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ідність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емоційно-вольової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сфери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характеру,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адже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труднощі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навчанні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грі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оволодінні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професією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побутові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проблеми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викликають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складні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переживання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негативні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реакції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може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призвести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особливостей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характеру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поведінки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В одних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випадках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це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невпевненість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пасивність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схильність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самоізоляції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інших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роздратування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збудливість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агресія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F352D">
        <w:rPr>
          <w:sz w:val="28"/>
          <w:szCs w:val="28"/>
          <w:lang w:val="ru-RU"/>
        </w:rPr>
        <w:tab/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відміну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від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дітей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слабозорі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діти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мають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труднощі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просторовому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орієнтуванні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але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зі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залишається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для них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основним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засобом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сприйняття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оточуючого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середовища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навчальному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процесі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Слабозорість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впливає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психічний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фізичний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розвиток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дитини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уповільнюються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процеси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запам'ятовування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розумова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працездатність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Внаслідок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обмеження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фізичної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активності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таких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дітей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спостерігається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деяке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відставання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фізичному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розвитку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Слабозорі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діти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мають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деякі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поведінки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обумовлені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дратівливістю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замкнутістю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негативізмом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іншими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особливостями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особистості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Це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обумовлено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труднощами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навчанні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спілкуванні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грі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тощо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[1, 7].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F352D">
        <w:rPr>
          <w:sz w:val="28"/>
          <w:szCs w:val="28"/>
          <w:lang w:val="ru-RU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Результати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проведеного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досл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ідження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психоемоційного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стану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показали,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вони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мають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оптимальні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самопочуття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настрою,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декілька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знижені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активності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Так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самопочуття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учнів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харківського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спеціального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навчально-виховного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комплексу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імені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В.Г. Короленка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знаходилися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середньому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рівні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5,68</w:t>
      </w:r>
      <w:r w:rsidRPr="001F352D">
        <w:rPr>
          <w:sz w:val="28"/>
          <w:szCs w:val="28"/>
          <w:lang w:val="ru-RU"/>
        </w:rPr>
        <w:t xml:space="preserve">±0,11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були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достовірно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вищими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ніж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порушення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учнів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харківської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спеціальної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загальноосвітньої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школи-інтернату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І-ІІІ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ступенів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№ 12 (4,72</w:t>
      </w:r>
      <w:r w:rsidRPr="001F352D">
        <w:rPr>
          <w:sz w:val="28"/>
          <w:szCs w:val="28"/>
          <w:lang w:val="ru-RU"/>
        </w:rPr>
        <w:t xml:space="preserve">±0,18,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Р&lt;0,001).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активності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були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достовірно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ліпші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порушення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учнів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харківської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загальноосвітньої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школи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№1 (5,92</w:t>
      </w:r>
      <w:r w:rsidRPr="001F352D">
        <w:rPr>
          <w:sz w:val="28"/>
          <w:szCs w:val="28"/>
          <w:lang w:val="ru-RU"/>
        </w:rPr>
        <w:t xml:space="preserve">±0,19)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порівнянні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сліпими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підлітками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(4,26</w:t>
      </w:r>
      <w:r w:rsidRPr="001F352D">
        <w:rPr>
          <w:sz w:val="28"/>
          <w:szCs w:val="28"/>
          <w:lang w:val="ru-RU"/>
        </w:rPr>
        <w:t xml:space="preserve">±0,19,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Р&lt;0,001).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настрою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були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достовірно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ліпшими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(5,98</w:t>
      </w:r>
      <w:r w:rsidRPr="001F352D">
        <w:rPr>
          <w:sz w:val="28"/>
          <w:szCs w:val="28"/>
          <w:lang w:val="ru-RU"/>
        </w:rPr>
        <w:t xml:space="preserve">±0,09)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порівнянні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підлітками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порушення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(5,19</w:t>
      </w:r>
      <w:r w:rsidRPr="001F352D">
        <w:rPr>
          <w:sz w:val="28"/>
          <w:szCs w:val="28"/>
          <w:lang w:val="ru-RU"/>
        </w:rPr>
        <w:t xml:space="preserve">±0,18,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Р&lt; 0,001).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Слабозорі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діти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показниками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тесту </w:t>
      </w:r>
      <w:r w:rsidRPr="001F352D">
        <w:rPr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САН</w:t>
      </w:r>
      <w:r w:rsidRPr="001F352D">
        <w:rPr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декілька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ліпші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самопочуття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(5,77</w:t>
      </w:r>
      <w:r w:rsidRPr="001F352D">
        <w:rPr>
          <w:sz w:val="28"/>
          <w:szCs w:val="28"/>
          <w:lang w:val="ru-RU"/>
        </w:rPr>
        <w:t xml:space="preserve">±0,12)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та настрою (6,22</w:t>
      </w:r>
      <w:r w:rsidRPr="001F352D">
        <w:rPr>
          <w:sz w:val="28"/>
          <w:szCs w:val="28"/>
          <w:lang w:val="ru-RU"/>
        </w:rPr>
        <w:t xml:space="preserve">±0,16)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порівнянні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сліпими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підлітками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(5,68</w:t>
      </w:r>
      <w:r w:rsidRPr="001F352D">
        <w:rPr>
          <w:sz w:val="28"/>
          <w:szCs w:val="28"/>
          <w:lang w:val="ru-RU"/>
        </w:rPr>
        <w:t xml:space="preserve">±0,11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та 5,98</w:t>
      </w:r>
      <w:r w:rsidRPr="001F352D">
        <w:rPr>
          <w:sz w:val="28"/>
          <w:szCs w:val="28"/>
          <w:lang w:val="ru-RU"/>
        </w:rPr>
        <w:t xml:space="preserve">±0,09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відповідно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Р&gt;0,05), але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достовірна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різниця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між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цими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групами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спостерігалася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лише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показниками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активності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Так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ідлітки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активності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івні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4,26</w:t>
      </w:r>
      <w:r w:rsidRPr="001F352D">
        <w:rPr>
          <w:sz w:val="28"/>
          <w:szCs w:val="28"/>
          <w:lang w:val="ru-RU"/>
        </w:rPr>
        <w:t xml:space="preserve">±0,19,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слабозорі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рівні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5,03</w:t>
      </w:r>
      <w:r w:rsidRPr="001F352D">
        <w:rPr>
          <w:sz w:val="28"/>
          <w:szCs w:val="28"/>
          <w:lang w:val="ru-RU"/>
        </w:rPr>
        <w:t xml:space="preserve">±0,26,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Р&lt;0,05.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F352D">
        <w:rPr>
          <w:sz w:val="28"/>
          <w:szCs w:val="28"/>
          <w:lang w:val="ru-RU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Результати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досл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ідження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життєдіяльності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показали,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вони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мають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оптимальний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психологічний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мікроклімат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як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навчання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так 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вдома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82,35</w:t>
      </w:r>
      <w:r w:rsidRPr="001F352D">
        <w:rPr>
          <w:sz w:val="28"/>
          <w:szCs w:val="28"/>
          <w:lang w:val="ru-RU"/>
        </w:rPr>
        <w:t xml:space="preserve">±5,33%,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Р&lt;0,001.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достатньої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рухової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активності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середні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значення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цієї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групи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досягали 56,86</w:t>
      </w:r>
      <w:r w:rsidRPr="001F352D">
        <w:rPr>
          <w:sz w:val="28"/>
          <w:szCs w:val="28"/>
          <w:lang w:val="ru-RU"/>
        </w:rPr>
        <w:t xml:space="preserve">±6,9%.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Переважна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кількість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мала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оптимальні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режиму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навчання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відпочинку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розподілу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вільного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часу 78,43</w:t>
      </w:r>
      <w:r w:rsidRPr="001F352D">
        <w:rPr>
          <w:sz w:val="28"/>
          <w:szCs w:val="28"/>
          <w:lang w:val="ru-RU"/>
        </w:rPr>
        <w:t xml:space="preserve">±5,75%,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Р&lt;0,001.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Оптимальні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якості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режиму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харчування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лише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54,9</w:t>
      </w:r>
      <w:r w:rsidRPr="001F352D">
        <w:rPr>
          <w:sz w:val="28"/>
          <w:szCs w:val="28"/>
          <w:lang w:val="ru-RU"/>
        </w:rPr>
        <w:t xml:space="preserve">±6,96%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Дотримувалась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правил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особистої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гі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ієни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здорового способу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життя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достовірна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більшість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(98,03</w:t>
      </w:r>
      <w:r w:rsidRPr="001F352D">
        <w:rPr>
          <w:sz w:val="28"/>
          <w:szCs w:val="28"/>
          <w:lang w:val="ru-RU"/>
        </w:rPr>
        <w:t xml:space="preserve">±1,94%,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Р&lt;0,001).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F352D">
        <w:rPr>
          <w:sz w:val="28"/>
          <w:szCs w:val="28"/>
          <w:lang w:val="ru-RU"/>
        </w:rPr>
        <w:tab/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порівнянні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іншими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досліджуваними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групами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ідлітки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достовірно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гірші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рухової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активності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саме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порівнянні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підлітками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порушення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(85,24</w:t>
      </w:r>
      <w:r w:rsidRPr="001F352D">
        <w:rPr>
          <w:sz w:val="28"/>
          <w:szCs w:val="28"/>
          <w:lang w:val="ru-RU"/>
        </w:rPr>
        <w:t xml:space="preserve">±6,71%),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Р&lt;0,01.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Крім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цього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ідлітки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достовірно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ліпші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режиму дня,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ніж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порушення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(61,21</w:t>
      </w:r>
      <w:r w:rsidRPr="001F352D">
        <w:rPr>
          <w:sz w:val="28"/>
          <w:szCs w:val="28"/>
          <w:lang w:val="ru-RU"/>
        </w:rPr>
        <w:t xml:space="preserve">±6,36%),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Р&lt;0,05.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ліпші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стосовно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виконання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правил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особистої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гі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ієни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здорового способу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життя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порівнянні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підлітками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вад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(84,33</w:t>
      </w:r>
      <w:r w:rsidRPr="001F352D">
        <w:rPr>
          <w:sz w:val="28"/>
          <w:szCs w:val="28"/>
          <w:lang w:val="ru-RU"/>
        </w:rPr>
        <w:t xml:space="preserve">±5,74%),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Р&lt;0,01.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порівнянні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групою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слабозорих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жодних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достовірних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відмінностей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виявлено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Р&lt;0,05.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Група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слабозорих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дещо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вищі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рухової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активності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68,44</w:t>
      </w:r>
      <w:r w:rsidRPr="001F352D">
        <w:rPr>
          <w:sz w:val="28"/>
          <w:szCs w:val="28"/>
          <w:lang w:val="ru-RU"/>
        </w:rPr>
        <w:t xml:space="preserve">±6,92%,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але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це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не є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статистично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значущим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, Р&lt; 0,05.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F352D">
        <w:rPr>
          <w:sz w:val="28"/>
          <w:szCs w:val="28"/>
          <w:lang w:val="ru-RU"/>
        </w:rPr>
        <w:tab/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Висновки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Отже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ідлітки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початку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учбового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року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мають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оптимальний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рівень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психоемоційного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стану,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свідчить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оптимальний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рівень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учбового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позаучбового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відповідність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учбового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процесу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розподілу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позаучбового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часу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функціональним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компенсаторним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можливостям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організму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цих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учнів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Співвідношення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показників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тесту </w:t>
      </w:r>
      <w:r w:rsidRPr="001F352D">
        <w:rPr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САН</w:t>
      </w:r>
      <w:r w:rsidRPr="001F352D">
        <w:rPr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вказує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те,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працездатність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учнів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харківського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спеціального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навчально-виховного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комплексу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імені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В.Г. Короленка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знаходиться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оптимальному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івні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Невелике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зниження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за шкалою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активності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цього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тесту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можна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пояснити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особливостями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досліджуваної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групи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F352D">
        <w:rPr>
          <w:sz w:val="28"/>
          <w:szCs w:val="28"/>
          <w:lang w:val="ru-RU"/>
        </w:rPr>
        <w:tab/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ідставі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умов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життєдіяльності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можна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виділити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такий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фактор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ризику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як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низька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рухова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активність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представників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цієї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групи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Це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обумовлюється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особливостями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сліпих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адже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через дефект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такі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зазнають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труднощів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пересуванні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орієнтації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просторі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Низька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рухова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активність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безпосередньо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опосередковано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впливає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загальну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специфічну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опірність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організму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обмін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речовин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функціональний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стан,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психічні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процеси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працездатність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функціонування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усіх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органі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систем,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фізичне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здоров’я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тощо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[8].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F352D">
        <w:rPr>
          <w:sz w:val="28"/>
          <w:szCs w:val="28"/>
          <w:lang w:val="ru-RU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Саме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тому в першу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чергу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розробці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комплексу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психогігієнічних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заходів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щодо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корекції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функціонального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стану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організму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проф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ілактики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розвитку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донозологічних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станів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вадами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потрібно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враховувати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проблему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низької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рухової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активності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таких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адже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оптимальна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рухова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активність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позитивно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впливає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організм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молоді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сприяє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зміцненню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здоров’я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покращенню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псих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ічних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функцій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працездатності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lastRenderedPageBreak/>
        <w:t>Литература.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F352D">
        <w:rPr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Колупаєва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А.А., Савчук Л.О.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Діти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особливими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освітніми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потребами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організація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їх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навчання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Видання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доповнене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перероблене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: наук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.-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метод.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посіб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/ А.А.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Колупаєва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Л.О. Савчук, К.: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Видавнича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група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1F352D">
        <w:rPr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АТОПОЛ</w:t>
      </w:r>
      <w:r w:rsidRPr="001F352D">
        <w:rPr>
          <w:sz w:val="28"/>
          <w:szCs w:val="28"/>
          <w:lang w:val="ru-RU"/>
        </w:rPr>
        <w:t xml:space="preserve">», 2011. – 274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F352D">
        <w:rPr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Білик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Ю.В.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життєдіяльності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дітей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вадами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зору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/ Ю.В.</w:t>
      </w:r>
      <w:r>
        <w:rPr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Білик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О.М. Василенко //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Науковий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існик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Ужгородського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національного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університету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. – 2015. - №35. – С. 32-34.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F352D">
        <w:rPr>
          <w:sz w:val="28"/>
          <w:szCs w:val="28"/>
          <w:lang w:val="ru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Специальная психология: учебное пособие для студентов высших учебных заведений / под ред. В.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И.Лубовского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. − M.: Академия, 2006. - 464 c.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F352D">
        <w:rPr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Бочелюк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В.Й.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Психологія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людини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обмеженими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можливостями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Навч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пос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іб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/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В.Й.Бочелюк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А.В.Турубарова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− К.: </w:t>
      </w:r>
      <w:r w:rsidRPr="001F352D">
        <w:rPr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Центр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учбової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літератури</w:t>
      </w:r>
      <w:proofErr w:type="spellEnd"/>
      <w:r w:rsidRPr="001F352D">
        <w:rPr>
          <w:sz w:val="28"/>
          <w:szCs w:val="28"/>
          <w:lang w:val="ru-RU"/>
        </w:rPr>
        <w:t xml:space="preserve">», 2011. – 264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1F352D">
        <w:rPr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Коробчанський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В. О., Васильченко І. О.,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Проскуріна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Ю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ін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Опитувальник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1F352D">
        <w:rPr>
          <w:sz w:val="28"/>
          <w:szCs w:val="28"/>
          <w:lang w:val="ru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Спосіб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життя</w:t>
      </w:r>
      <w:proofErr w:type="spellEnd"/>
      <w:r w:rsidRPr="001F352D">
        <w:rPr>
          <w:sz w:val="28"/>
          <w:szCs w:val="28"/>
          <w:lang w:val="ru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як метод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оцінки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факторів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ризику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життєдіяльності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підлітків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//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Інформ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. лист № 210. – К., 2005. – 4 с.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F352D">
        <w:rPr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Коробчанський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В. О.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Гігієнічна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психодіагностика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донозологічних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станів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ідлітковому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юнацькому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віці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: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Пос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ібник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докторантів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аспірантів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шукачів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лікарів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Харків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: Контраст, 2005. – 192 с.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F352D">
        <w:rPr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Синьова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Є.П.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Тифлопсихологія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: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ідручник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/ Є.П.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Синьова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. − K.: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Знання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, 2008. − 365 с.</w:t>
      </w:r>
    </w:p>
    <w:p w:rsid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F352D">
        <w:rPr>
          <w:sz w:val="28"/>
          <w:szCs w:val="28"/>
          <w:lang w:val="ru-RU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Слинько Ю.О.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Недостатня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рухова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активність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її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вплив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стан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організму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людини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/ Ю.О. Слинько // Медицина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сьогодні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і завтра. - 2014. - №2–3 (63–64). –С. 186-188.</w:t>
      </w:r>
    </w:p>
    <w:p w:rsidR="001F352D" w:rsidRPr="001F352D" w:rsidRDefault="001F352D" w:rsidP="001F352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216F7C" w:rsidRPr="001F352D" w:rsidRDefault="00216F7C">
      <w:pPr>
        <w:rPr>
          <w:lang w:val="ru-RU"/>
        </w:rPr>
      </w:pPr>
    </w:p>
    <w:sectPr w:rsidR="00216F7C" w:rsidRPr="001F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2D"/>
    <w:rsid w:val="001F352D"/>
    <w:rsid w:val="0021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2018-12-03T12:59:00Z</dcterms:created>
  <dcterms:modified xsi:type="dcterms:W3CDTF">2018-12-03T13:01:00Z</dcterms:modified>
</cp:coreProperties>
</file>