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9" w:rsidRPr="008D7F5A" w:rsidRDefault="00892319" w:rsidP="00892319">
      <w:pPr>
        <w:rPr>
          <w:caps/>
          <w:sz w:val="28"/>
          <w:szCs w:val="28"/>
          <w:lang w:val="uk-UA"/>
        </w:rPr>
      </w:pPr>
      <w:r w:rsidRPr="008D7F5A">
        <w:rPr>
          <w:caps/>
          <w:sz w:val="28"/>
          <w:szCs w:val="28"/>
          <w:lang w:val="uk-UA"/>
        </w:rPr>
        <w:t>УДК 616.37</w:t>
      </w:r>
      <w:r w:rsidRPr="008D7F5A">
        <w:rPr>
          <w:caps/>
          <w:sz w:val="28"/>
          <w:szCs w:val="28"/>
          <w:lang w:val="uk-UA"/>
        </w:rPr>
        <w:softHyphen/>
        <w:t>-005.3-078-092.9-02:613.65:612.015.11</w:t>
      </w:r>
    </w:p>
    <w:p w:rsidR="00892319" w:rsidRPr="007403D6" w:rsidRDefault="00892319" w:rsidP="008923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О.В. Ніколаєва, </w:t>
      </w:r>
      <w:r w:rsidRPr="007403D6">
        <w:rPr>
          <w:b/>
          <w:i/>
          <w:sz w:val="28"/>
          <w:szCs w:val="28"/>
          <w:lang w:val="uk-UA"/>
        </w:rPr>
        <w:t>В. А. Сіренко</w:t>
      </w:r>
      <w:r>
        <w:rPr>
          <w:b/>
          <w:i/>
          <w:sz w:val="28"/>
          <w:szCs w:val="28"/>
          <w:lang w:val="uk-UA"/>
        </w:rPr>
        <w:t>, О.О. Павлова</w:t>
      </w:r>
    </w:p>
    <w:p w:rsidR="00892319" w:rsidRPr="007403D6" w:rsidRDefault="00892319" w:rsidP="00892319">
      <w:pPr>
        <w:jc w:val="center"/>
        <w:rPr>
          <w:b/>
          <w:i/>
          <w:sz w:val="28"/>
          <w:szCs w:val="28"/>
          <w:lang w:val="uk-UA"/>
        </w:rPr>
      </w:pPr>
      <w:r w:rsidRPr="007403D6">
        <w:rPr>
          <w:b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892319" w:rsidRPr="008D7F5A" w:rsidRDefault="00892319" w:rsidP="00892319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 w:rsidRPr="007403D6">
        <w:rPr>
          <w:rFonts w:ascii="Arial" w:hAnsi="Arial" w:cs="Arial"/>
          <w:b/>
          <w:caps/>
          <w:sz w:val="28"/>
          <w:szCs w:val="28"/>
          <w:lang w:val="uk-UA"/>
        </w:rPr>
        <w:t>СТАН ОКИСЛЮВАЛЬНО-АНТИОКСИДАНТНОГО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 xml:space="preserve"> ГОМЕОСТАЗ</w:t>
      </w:r>
      <w:r>
        <w:rPr>
          <w:rFonts w:ascii="Arial" w:hAnsi="Arial" w:cs="Arial"/>
          <w:b/>
          <w:caps/>
          <w:sz w:val="28"/>
          <w:szCs w:val="28"/>
          <w:lang w:val="uk-UA"/>
        </w:rPr>
        <w:t>У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 xml:space="preserve"> в </w:t>
      </w:r>
      <w:r>
        <w:rPr>
          <w:rFonts w:ascii="Arial" w:hAnsi="Arial" w:cs="Arial"/>
          <w:b/>
          <w:caps/>
          <w:sz w:val="28"/>
          <w:szCs w:val="28"/>
          <w:lang w:val="uk-UA"/>
        </w:rPr>
        <w:t>ПІДШЛУНКОВІЙ ЗАЛОЗІ ТА СИРОВАТЦІ КРОВІ ЩУРЯТ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/>
          <w:caps/>
          <w:sz w:val="28"/>
          <w:szCs w:val="28"/>
          <w:lang w:val="uk-UA"/>
        </w:rPr>
        <w:t xml:space="preserve">ЯКІ 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>ПЕРЕНЕС</w:t>
      </w:r>
      <w:r>
        <w:rPr>
          <w:rFonts w:ascii="Arial" w:hAnsi="Arial" w:cs="Arial"/>
          <w:b/>
          <w:caps/>
          <w:sz w:val="28"/>
          <w:szCs w:val="28"/>
          <w:lang w:val="uk-UA"/>
        </w:rPr>
        <w:t>ЛИ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 xml:space="preserve"> ХРОН</w:t>
      </w:r>
      <w:r>
        <w:rPr>
          <w:rFonts w:ascii="Arial" w:hAnsi="Arial" w:cs="Arial"/>
          <w:b/>
          <w:caps/>
          <w:sz w:val="28"/>
          <w:szCs w:val="28"/>
          <w:lang w:val="uk-UA"/>
        </w:rPr>
        <w:t>І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>Ч</w:t>
      </w:r>
      <w:r>
        <w:rPr>
          <w:rFonts w:ascii="Arial" w:hAnsi="Arial" w:cs="Arial"/>
          <w:b/>
          <w:caps/>
          <w:sz w:val="28"/>
          <w:szCs w:val="28"/>
          <w:lang w:val="uk-UA"/>
        </w:rPr>
        <w:t>НИЙ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 xml:space="preserve"> ГЕСТАЦ</w:t>
      </w:r>
      <w:r>
        <w:rPr>
          <w:rFonts w:ascii="Arial" w:hAnsi="Arial" w:cs="Arial"/>
          <w:b/>
          <w:caps/>
          <w:sz w:val="28"/>
          <w:szCs w:val="28"/>
          <w:lang w:val="uk-UA"/>
        </w:rPr>
        <w:t>ІЙНИЙ</w:t>
      </w:r>
      <w:r w:rsidRPr="008D7F5A">
        <w:rPr>
          <w:rFonts w:ascii="Arial" w:hAnsi="Arial" w:cs="Arial"/>
          <w:b/>
          <w:caps/>
          <w:sz w:val="28"/>
          <w:szCs w:val="28"/>
          <w:lang w:val="uk-UA"/>
        </w:rPr>
        <w:t xml:space="preserve"> СТРЕС</w:t>
      </w:r>
    </w:p>
    <w:p w:rsidR="00892319" w:rsidRPr="008D7F5A" w:rsidRDefault="00892319" w:rsidP="00892319">
      <w:pPr>
        <w:rPr>
          <w:sz w:val="28"/>
          <w:szCs w:val="28"/>
          <w:lang w:val="uk-UA"/>
        </w:rPr>
      </w:pPr>
    </w:p>
    <w:p w:rsidR="00892319" w:rsidRPr="00710086" w:rsidRDefault="00892319" w:rsidP="00892319">
      <w:pPr>
        <w:ind w:firstLine="708"/>
        <w:jc w:val="both"/>
        <w:rPr>
          <w:sz w:val="28"/>
          <w:szCs w:val="28"/>
          <w:lang w:val="uk-UA"/>
        </w:rPr>
      </w:pPr>
      <w:r w:rsidRPr="00745190">
        <w:rPr>
          <w:b/>
          <w:sz w:val="28"/>
          <w:szCs w:val="28"/>
          <w:lang w:val="uk-UA"/>
        </w:rPr>
        <w:t>Вступ.</w:t>
      </w:r>
      <w:r w:rsidRPr="00745190">
        <w:rPr>
          <w:sz w:val="28"/>
          <w:szCs w:val="28"/>
          <w:lang w:val="uk-UA"/>
        </w:rPr>
        <w:t xml:space="preserve"> Однією з актуальних проблем сучасної медицини є патологія під</w:t>
      </w:r>
      <w:r w:rsidRPr="00745190">
        <w:rPr>
          <w:sz w:val="28"/>
          <w:szCs w:val="28"/>
          <w:lang w:val="uk-UA"/>
        </w:rPr>
        <w:t>ш</w:t>
      </w:r>
      <w:r w:rsidRPr="00745190">
        <w:rPr>
          <w:sz w:val="28"/>
          <w:szCs w:val="28"/>
          <w:lang w:val="uk-UA"/>
        </w:rPr>
        <w:t>лункової залози (ПЗ). Нерідко вона обумовлена впливом рі</w:t>
      </w:r>
      <w:r w:rsidRPr="00710086">
        <w:rPr>
          <w:sz w:val="28"/>
          <w:szCs w:val="28"/>
          <w:lang w:val="uk-UA"/>
        </w:rPr>
        <w:t>зноманітних екзогенних чинників, серед яких значну питому вагу м</w:t>
      </w:r>
      <w:r w:rsidRPr="00710086">
        <w:rPr>
          <w:sz w:val="28"/>
          <w:szCs w:val="28"/>
          <w:lang w:val="uk-UA"/>
        </w:rPr>
        <w:t>а</w:t>
      </w:r>
      <w:r w:rsidRPr="00710086">
        <w:rPr>
          <w:sz w:val="28"/>
          <w:szCs w:val="28"/>
          <w:lang w:val="uk-UA"/>
        </w:rPr>
        <w:t xml:space="preserve">ють ті, що спричиняють розвиток гострого і хронічного стресу. Особливо небезпечна </w:t>
      </w:r>
      <w:proofErr w:type="spellStart"/>
      <w:r w:rsidRPr="00710086">
        <w:rPr>
          <w:sz w:val="28"/>
          <w:szCs w:val="28"/>
          <w:lang w:val="uk-UA"/>
        </w:rPr>
        <w:t>стресорна</w:t>
      </w:r>
      <w:proofErr w:type="spellEnd"/>
      <w:r w:rsidRPr="00710086">
        <w:rPr>
          <w:sz w:val="28"/>
          <w:szCs w:val="28"/>
          <w:lang w:val="uk-UA"/>
        </w:rPr>
        <w:t xml:space="preserve"> дія на вагітних ж</w:t>
      </w:r>
      <w:r w:rsidRPr="00710086">
        <w:rPr>
          <w:sz w:val="28"/>
          <w:szCs w:val="28"/>
          <w:lang w:val="uk-UA"/>
        </w:rPr>
        <w:t>і</w:t>
      </w:r>
      <w:r w:rsidRPr="00710086">
        <w:rPr>
          <w:sz w:val="28"/>
          <w:szCs w:val="28"/>
          <w:lang w:val="uk-UA"/>
        </w:rPr>
        <w:t xml:space="preserve">нок. Клінічні і експериментальні дослідження показали, що патогенні впливи в </w:t>
      </w:r>
      <w:proofErr w:type="spellStart"/>
      <w:r w:rsidRPr="00710086">
        <w:rPr>
          <w:sz w:val="28"/>
          <w:szCs w:val="28"/>
          <w:lang w:val="uk-UA"/>
        </w:rPr>
        <w:t>пренатально-му</w:t>
      </w:r>
      <w:proofErr w:type="spellEnd"/>
      <w:r w:rsidRPr="00710086">
        <w:rPr>
          <w:sz w:val="28"/>
          <w:szCs w:val="28"/>
          <w:lang w:val="uk-UA"/>
        </w:rPr>
        <w:t xml:space="preserve"> і ранньому постнатальному періоді (які є критичними і багато в чому вирішальними в онтогенезі людини) часто викликають порушення розви</w:t>
      </w:r>
      <w:r w:rsidRPr="00710086">
        <w:rPr>
          <w:sz w:val="28"/>
          <w:szCs w:val="28"/>
          <w:lang w:val="uk-UA"/>
        </w:rPr>
        <w:t>т</w:t>
      </w:r>
      <w:r w:rsidRPr="00710086">
        <w:rPr>
          <w:sz w:val="28"/>
          <w:szCs w:val="28"/>
          <w:lang w:val="uk-UA"/>
        </w:rPr>
        <w:t xml:space="preserve">ку, що сприяють формуванню в постнатальному періоді життя функціональної недостатності різних </w:t>
      </w:r>
      <w:r>
        <w:rPr>
          <w:sz w:val="28"/>
          <w:szCs w:val="28"/>
          <w:lang w:val="uk-UA"/>
        </w:rPr>
        <w:t xml:space="preserve">органів і </w:t>
      </w:r>
      <w:r w:rsidRPr="00710086">
        <w:rPr>
          <w:sz w:val="28"/>
          <w:szCs w:val="28"/>
          <w:lang w:val="uk-UA"/>
        </w:rPr>
        <w:t>систем організму, зо</w:t>
      </w:r>
      <w:r w:rsidRPr="00710086">
        <w:rPr>
          <w:sz w:val="28"/>
          <w:szCs w:val="28"/>
          <w:lang w:val="uk-UA"/>
        </w:rPr>
        <w:t>к</w:t>
      </w:r>
      <w:r w:rsidRPr="00710086">
        <w:rPr>
          <w:sz w:val="28"/>
          <w:szCs w:val="28"/>
          <w:lang w:val="uk-UA"/>
        </w:rPr>
        <w:t>рема ПЗ [1, 2, 3, 4].</w:t>
      </w:r>
    </w:p>
    <w:p w:rsidR="00892319" w:rsidRPr="001C7F9A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Відомо, що стрес-вплив спричиняє розвиток в організмі загального адапт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ційного синдрому. Встановлено, що ключовою ланкою в патогенезі </w:t>
      </w:r>
      <w:proofErr w:type="spellStart"/>
      <w:r>
        <w:rPr>
          <w:sz w:val="28"/>
          <w:szCs w:val="28"/>
          <w:lang w:val="uk-UA"/>
        </w:rPr>
        <w:t>стресорного</w:t>
      </w:r>
      <w:proofErr w:type="spellEnd"/>
      <w:r>
        <w:rPr>
          <w:sz w:val="28"/>
          <w:szCs w:val="28"/>
          <w:lang w:val="uk-UA"/>
        </w:rPr>
        <w:t xml:space="preserve"> ураження органів і тканин є інтенсифікація </w:t>
      </w:r>
      <w:proofErr w:type="spellStart"/>
      <w:r>
        <w:rPr>
          <w:sz w:val="28"/>
          <w:szCs w:val="28"/>
          <w:lang w:val="uk-UA"/>
        </w:rPr>
        <w:t>пероксидного</w:t>
      </w:r>
      <w:proofErr w:type="spellEnd"/>
      <w:r>
        <w:rPr>
          <w:sz w:val="28"/>
          <w:szCs w:val="28"/>
          <w:lang w:val="uk-UA"/>
        </w:rPr>
        <w:t xml:space="preserve"> окислення ліпідів (ПОЛ), яка обумовлює напруження і можливу подальшу декомпенсацію механі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мів антиоксидантного захисту. Збалансованість між ПОЛ і антиоксидантною 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тивністю – необхідна умова для підтримки нормальної життєдіяльності клітини </w:t>
      </w:r>
      <w:r w:rsidRPr="00710086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5</w:t>
      </w:r>
      <w:r w:rsidRPr="0071008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6, 7</w:t>
      </w:r>
      <w:r w:rsidRPr="00710086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Тому, зважаючи на патогенетичну значущість дисбалансу </w:t>
      </w:r>
      <w:proofErr w:type="spellStart"/>
      <w:r>
        <w:rPr>
          <w:sz w:val="28"/>
          <w:szCs w:val="28"/>
          <w:lang w:val="uk-UA"/>
        </w:rPr>
        <w:t>оксидантної</w:t>
      </w:r>
      <w:proofErr w:type="spellEnd"/>
      <w:r>
        <w:rPr>
          <w:sz w:val="28"/>
          <w:szCs w:val="28"/>
          <w:lang w:val="uk-UA"/>
        </w:rPr>
        <w:t xml:space="preserve"> і антиоксидантної систем (АОС) в забезпеченні загального гомеостазу організму, а також прогресуванні різної патології, необхідно своєчасно діагностувати прояви окислювального стресу. Аналіз сучасної наукової літератури дозволяє дійти висновку, що значна кіл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кість робот присвячена ПОЛ, в тому числі стрес-індукованому, з вивченням проявів стрес-реакції і адаптаційної перебудови на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вні організму в цілому, в той час як питання реалізації стрес-реакції на рівні окр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мих органів і тканин потребує подальшого вивчення. В літературі маються нечи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ленні публікації, в яких представлені результати дослідження стрес-індукованих вільно радикальних реакцій в серці, печінці, мозку, легеневій тканині [8, 9, 10], проте залишаються недостатньо вивченими стрес-індуковані </w:t>
      </w:r>
      <w:proofErr w:type="spellStart"/>
      <w:r>
        <w:rPr>
          <w:sz w:val="28"/>
          <w:szCs w:val="28"/>
          <w:lang w:val="uk-UA"/>
        </w:rPr>
        <w:t>органоспецифічні</w:t>
      </w:r>
      <w:proofErr w:type="spellEnd"/>
      <w:r>
        <w:rPr>
          <w:sz w:val="28"/>
          <w:szCs w:val="28"/>
          <w:lang w:val="uk-UA"/>
        </w:rPr>
        <w:t xml:space="preserve"> особливості ПОЛ-АОС в ПЗ.</w:t>
      </w:r>
    </w:p>
    <w:p w:rsidR="00892319" w:rsidRPr="00C20D68" w:rsidRDefault="00892319" w:rsidP="00892319">
      <w:pPr>
        <w:ind w:firstLine="708"/>
        <w:jc w:val="both"/>
        <w:rPr>
          <w:sz w:val="28"/>
          <w:szCs w:val="28"/>
          <w:lang w:val="uk-UA"/>
        </w:rPr>
      </w:pPr>
      <w:r w:rsidRPr="00C20D68">
        <w:rPr>
          <w:b/>
          <w:sz w:val="28"/>
          <w:szCs w:val="28"/>
          <w:lang w:val="uk-UA"/>
        </w:rPr>
        <w:t>Мета дослідження</w:t>
      </w:r>
      <w:r w:rsidRPr="00C20D68">
        <w:rPr>
          <w:sz w:val="28"/>
          <w:szCs w:val="28"/>
          <w:lang w:val="uk-UA"/>
        </w:rPr>
        <w:t>. З’ясування окислювально-антиоксидантного гомеост</w:t>
      </w:r>
      <w:r w:rsidRPr="00C20D68">
        <w:rPr>
          <w:sz w:val="28"/>
          <w:szCs w:val="28"/>
          <w:lang w:val="uk-UA"/>
        </w:rPr>
        <w:t>а</w:t>
      </w:r>
      <w:r w:rsidRPr="00C20D68">
        <w:rPr>
          <w:sz w:val="28"/>
          <w:szCs w:val="28"/>
          <w:lang w:val="uk-UA"/>
        </w:rPr>
        <w:t xml:space="preserve">зу (ОАГ) в ПЗ і сироватці крові </w:t>
      </w:r>
      <w:r>
        <w:rPr>
          <w:sz w:val="28"/>
          <w:szCs w:val="28"/>
          <w:lang w:val="uk-UA"/>
        </w:rPr>
        <w:t>у новонародженого, 1-місячного і 2-місячного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томства щурів, які протягом вагітності перенесли хронічний </w:t>
      </w:r>
      <w:proofErr w:type="spellStart"/>
      <w:r>
        <w:rPr>
          <w:sz w:val="28"/>
          <w:szCs w:val="28"/>
          <w:lang w:val="uk-UA"/>
        </w:rPr>
        <w:t>іммобілізаційний</w:t>
      </w:r>
      <w:proofErr w:type="spellEnd"/>
      <w:r>
        <w:rPr>
          <w:sz w:val="28"/>
          <w:szCs w:val="28"/>
          <w:lang w:val="uk-UA"/>
        </w:rPr>
        <w:t xml:space="preserve"> стрес.</w:t>
      </w:r>
    </w:p>
    <w:p w:rsidR="00892319" w:rsidRPr="00C23AE4" w:rsidRDefault="00892319" w:rsidP="00892319">
      <w:pPr>
        <w:ind w:firstLine="709"/>
        <w:jc w:val="both"/>
        <w:rPr>
          <w:sz w:val="28"/>
          <w:szCs w:val="28"/>
          <w:lang w:val="uk-UA"/>
        </w:rPr>
      </w:pPr>
      <w:r w:rsidRPr="00530222">
        <w:rPr>
          <w:b/>
          <w:sz w:val="28"/>
          <w:szCs w:val="28"/>
          <w:lang w:val="uk-UA"/>
        </w:rPr>
        <w:t xml:space="preserve">Матеріал і методи дослідження. </w:t>
      </w:r>
      <w:r w:rsidRPr="00530222">
        <w:rPr>
          <w:sz w:val="28"/>
          <w:szCs w:val="28"/>
          <w:lang w:val="uk-UA"/>
        </w:rPr>
        <w:t>Експериментальне</w:t>
      </w:r>
      <w:r w:rsidRPr="00530222">
        <w:rPr>
          <w:b/>
          <w:sz w:val="28"/>
          <w:szCs w:val="28"/>
          <w:lang w:val="uk-UA"/>
        </w:rPr>
        <w:t xml:space="preserve"> </w:t>
      </w:r>
      <w:r w:rsidRPr="00530222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провед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не на 66 </w:t>
      </w:r>
      <w:proofErr w:type="spellStart"/>
      <w:r>
        <w:rPr>
          <w:sz w:val="28"/>
          <w:szCs w:val="28"/>
          <w:lang w:val="uk-UA"/>
        </w:rPr>
        <w:t>рандомбредних</w:t>
      </w:r>
      <w:proofErr w:type="spellEnd"/>
      <w:r>
        <w:rPr>
          <w:sz w:val="28"/>
          <w:szCs w:val="28"/>
          <w:lang w:val="uk-UA"/>
        </w:rPr>
        <w:t xml:space="preserve"> щурах-самцях популяції </w:t>
      </w:r>
      <w:r w:rsidRPr="00990B7A">
        <w:rPr>
          <w:sz w:val="28"/>
          <w:szCs w:val="28"/>
        </w:rPr>
        <w:t xml:space="preserve">WAG/G </w:t>
      </w:r>
      <w:proofErr w:type="spellStart"/>
      <w:r w:rsidRPr="00C23AE4">
        <w:rPr>
          <w:sz w:val="28"/>
          <w:szCs w:val="28"/>
        </w:rPr>
        <w:t>Sto</w:t>
      </w:r>
      <w:proofErr w:type="spellEnd"/>
      <w:r w:rsidRPr="00C23AE4">
        <w:rPr>
          <w:sz w:val="28"/>
          <w:szCs w:val="28"/>
          <w:lang w:val="uk-UA"/>
        </w:rPr>
        <w:t>. Стан ОАГ в тканині ПЗ досліджений у 3</w:t>
      </w:r>
      <w:r>
        <w:rPr>
          <w:sz w:val="28"/>
          <w:szCs w:val="28"/>
          <w:lang w:val="uk-UA"/>
        </w:rPr>
        <w:t>4</w:t>
      </w:r>
      <w:r w:rsidRPr="00C23AE4">
        <w:rPr>
          <w:sz w:val="28"/>
          <w:szCs w:val="28"/>
          <w:lang w:val="uk-UA"/>
        </w:rPr>
        <w:t xml:space="preserve"> щурів (</w:t>
      </w:r>
      <w:r>
        <w:rPr>
          <w:sz w:val="28"/>
          <w:szCs w:val="28"/>
          <w:lang w:val="uk-UA"/>
        </w:rPr>
        <w:t>9</w:t>
      </w:r>
      <w:r w:rsidRPr="00C23AE4">
        <w:rPr>
          <w:sz w:val="28"/>
          <w:szCs w:val="28"/>
          <w:lang w:val="uk-UA"/>
        </w:rPr>
        <w:t xml:space="preserve">-ти </w:t>
      </w:r>
      <w:r>
        <w:rPr>
          <w:sz w:val="28"/>
          <w:szCs w:val="28"/>
          <w:lang w:val="uk-UA"/>
        </w:rPr>
        <w:t>ново народ</w:t>
      </w:r>
      <w:r w:rsidRPr="00C23AE4">
        <w:rPr>
          <w:sz w:val="28"/>
          <w:szCs w:val="28"/>
          <w:lang w:val="uk-UA"/>
        </w:rPr>
        <w:t xml:space="preserve">жених, </w:t>
      </w:r>
      <w:r>
        <w:rPr>
          <w:sz w:val="28"/>
          <w:szCs w:val="28"/>
          <w:lang w:val="uk-UA"/>
        </w:rPr>
        <w:t>15</w:t>
      </w:r>
      <w:r w:rsidRPr="00C23AE4">
        <w:rPr>
          <w:sz w:val="28"/>
          <w:szCs w:val="28"/>
          <w:lang w:val="uk-UA"/>
        </w:rPr>
        <w:t>-ти одномісячних і 1</w:t>
      </w:r>
      <w:r>
        <w:rPr>
          <w:sz w:val="28"/>
          <w:szCs w:val="28"/>
          <w:lang w:val="uk-UA"/>
        </w:rPr>
        <w:t>2</w:t>
      </w:r>
      <w:r w:rsidRPr="00C23AE4">
        <w:rPr>
          <w:sz w:val="28"/>
          <w:szCs w:val="28"/>
          <w:lang w:val="uk-UA"/>
        </w:rPr>
        <w:t>-ти двомісячних), в сироватці крові – у 2</w:t>
      </w:r>
      <w:r>
        <w:rPr>
          <w:sz w:val="28"/>
          <w:szCs w:val="28"/>
          <w:lang w:val="uk-UA"/>
        </w:rPr>
        <w:t>7</w:t>
      </w:r>
      <w:r w:rsidRPr="00C23AE4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5</w:t>
      </w:r>
      <w:r w:rsidRPr="00C23AE4">
        <w:rPr>
          <w:sz w:val="28"/>
          <w:szCs w:val="28"/>
          <w:lang w:val="uk-UA"/>
        </w:rPr>
        <w:t>-ти одномісячних і 1</w:t>
      </w:r>
      <w:r>
        <w:rPr>
          <w:sz w:val="28"/>
          <w:szCs w:val="28"/>
          <w:lang w:val="uk-UA"/>
        </w:rPr>
        <w:t>2</w:t>
      </w:r>
      <w:r w:rsidRPr="00C23AE4">
        <w:rPr>
          <w:sz w:val="28"/>
          <w:szCs w:val="28"/>
          <w:lang w:val="uk-UA"/>
        </w:rPr>
        <w:t>-ти двомісячних щурят)</w:t>
      </w:r>
      <w:r>
        <w:rPr>
          <w:sz w:val="28"/>
          <w:szCs w:val="28"/>
          <w:lang w:val="uk-UA"/>
        </w:rPr>
        <w:t xml:space="preserve">. Групу контролю склали 7 новонароджених, 8 </w:t>
      </w:r>
      <w:proofErr w:type="spellStart"/>
      <w:r>
        <w:rPr>
          <w:sz w:val="28"/>
          <w:szCs w:val="28"/>
          <w:lang w:val="uk-UA"/>
        </w:rPr>
        <w:t>одно-</w:t>
      </w:r>
      <w:proofErr w:type="spellEnd"/>
      <w:r>
        <w:rPr>
          <w:sz w:val="28"/>
          <w:szCs w:val="28"/>
          <w:lang w:val="uk-UA"/>
        </w:rPr>
        <w:t xml:space="preserve"> і 11 </w:t>
      </w:r>
      <w:r>
        <w:rPr>
          <w:sz w:val="28"/>
          <w:szCs w:val="28"/>
          <w:lang w:val="uk-UA"/>
        </w:rPr>
        <w:lastRenderedPageBreak/>
        <w:t>двомісячних щ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рят, показники ОАГ яких вважали за нормативні</w:t>
      </w:r>
      <w:r w:rsidRPr="00C23AE4">
        <w:rPr>
          <w:sz w:val="28"/>
          <w:szCs w:val="28"/>
          <w:lang w:val="uk-UA"/>
        </w:rPr>
        <w:t xml:space="preserve">. Вплив </w:t>
      </w:r>
      <w:r>
        <w:rPr>
          <w:sz w:val="28"/>
          <w:szCs w:val="28"/>
          <w:lang w:val="uk-UA"/>
        </w:rPr>
        <w:t xml:space="preserve">хронічного </w:t>
      </w:r>
      <w:proofErr w:type="spellStart"/>
      <w:r>
        <w:rPr>
          <w:sz w:val="28"/>
          <w:szCs w:val="28"/>
          <w:lang w:val="uk-UA"/>
        </w:rPr>
        <w:t>іммобіліз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стресу</w:t>
      </w:r>
      <w:r w:rsidRPr="00C23AE4">
        <w:rPr>
          <w:sz w:val="28"/>
          <w:szCs w:val="28"/>
          <w:lang w:val="uk-UA"/>
        </w:rPr>
        <w:t xml:space="preserve"> на щурів </w:t>
      </w:r>
      <w:r>
        <w:rPr>
          <w:sz w:val="28"/>
          <w:szCs w:val="28"/>
          <w:lang w:val="uk-UA"/>
        </w:rPr>
        <w:t>відтворювався</w:t>
      </w:r>
      <w:r w:rsidRPr="00C23AE4">
        <w:rPr>
          <w:sz w:val="28"/>
          <w:szCs w:val="28"/>
          <w:lang w:val="uk-UA"/>
        </w:rPr>
        <w:t xml:space="preserve"> згідно експериментальній моделі, розро</w:t>
      </w:r>
      <w:r w:rsidRPr="00C23AE4">
        <w:rPr>
          <w:sz w:val="28"/>
          <w:szCs w:val="28"/>
          <w:lang w:val="uk-UA"/>
        </w:rPr>
        <w:t>б</w:t>
      </w:r>
      <w:r w:rsidRPr="00C23AE4">
        <w:rPr>
          <w:sz w:val="28"/>
          <w:szCs w:val="28"/>
          <w:lang w:val="uk-UA"/>
        </w:rPr>
        <w:t>леній на кафедрі</w:t>
      </w:r>
      <w:r>
        <w:rPr>
          <w:sz w:val="28"/>
          <w:szCs w:val="28"/>
          <w:lang w:val="uk-UA"/>
        </w:rPr>
        <w:t xml:space="preserve"> патологічної фізіології ім. Д.</w:t>
      </w:r>
      <w:r w:rsidRPr="00C23AE4">
        <w:rPr>
          <w:sz w:val="28"/>
          <w:szCs w:val="28"/>
          <w:lang w:val="uk-UA"/>
        </w:rPr>
        <w:t xml:space="preserve">О. </w:t>
      </w:r>
      <w:proofErr w:type="spellStart"/>
      <w:r w:rsidRPr="00C23AE4">
        <w:rPr>
          <w:sz w:val="28"/>
          <w:szCs w:val="28"/>
          <w:lang w:val="uk-UA"/>
        </w:rPr>
        <w:t>Альперна</w:t>
      </w:r>
      <w:proofErr w:type="spellEnd"/>
      <w:r w:rsidRPr="00C23AE4">
        <w:rPr>
          <w:sz w:val="28"/>
          <w:szCs w:val="28"/>
          <w:lang w:val="uk-UA"/>
        </w:rPr>
        <w:t xml:space="preserve"> ХНМУ [</w:t>
      </w:r>
      <w:r>
        <w:rPr>
          <w:sz w:val="28"/>
          <w:szCs w:val="28"/>
          <w:lang w:val="uk-UA"/>
        </w:rPr>
        <w:t>11</w:t>
      </w:r>
      <w:r w:rsidRPr="00C23AE4">
        <w:rPr>
          <w:sz w:val="28"/>
          <w:szCs w:val="28"/>
          <w:lang w:val="uk-UA"/>
        </w:rPr>
        <w:t>]. Акти</w:t>
      </w:r>
      <w:r w:rsidRPr="00C23AE4">
        <w:rPr>
          <w:sz w:val="28"/>
          <w:szCs w:val="28"/>
          <w:lang w:val="uk-UA"/>
        </w:rPr>
        <w:t>в</w:t>
      </w:r>
      <w:r w:rsidRPr="00C23AE4">
        <w:rPr>
          <w:sz w:val="28"/>
          <w:szCs w:val="28"/>
          <w:lang w:val="uk-UA"/>
        </w:rPr>
        <w:t xml:space="preserve">ність ПОЛ визначали за вмістом </w:t>
      </w:r>
      <w:proofErr w:type="spellStart"/>
      <w:r w:rsidRPr="00C23AE4">
        <w:rPr>
          <w:sz w:val="28"/>
          <w:szCs w:val="28"/>
          <w:lang w:val="uk-UA"/>
        </w:rPr>
        <w:t>дієнових</w:t>
      </w:r>
      <w:proofErr w:type="spellEnd"/>
      <w:r w:rsidRPr="00C23AE4">
        <w:rPr>
          <w:sz w:val="28"/>
          <w:szCs w:val="28"/>
          <w:lang w:val="uk-UA"/>
        </w:rPr>
        <w:t xml:space="preserve"> </w:t>
      </w:r>
      <w:proofErr w:type="spellStart"/>
      <w:r w:rsidRPr="00C23AE4">
        <w:rPr>
          <w:sz w:val="28"/>
          <w:szCs w:val="28"/>
          <w:lang w:val="uk-UA"/>
        </w:rPr>
        <w:t>кон’югатів</w:t>
      </w:r>
      <w:proofErr w:type="spellEnd"/>
      <w:r w:rsidRPr="00C23AE4">
        <w:rPr>
          <w:sz w:val="28"/>
          <w:szCs w:val="28"/>
          <w:lang w:val="uk-UA"/>
        </w:rPr>
        <w:t xml:space="preserve"> (ДК) і </w:t>
      </w:r>
      <w:proofErr w:type="spellStart"/>
      <w:r w:rsidRPr="00C23AE4">
        <w:rPr>
          <w:sz w:val="28"/>
          <w:szCs w:val="28"/>
          <w:lang w:val="uk-UA"/>
        </w:rPr>
        <w:t>малонового</w:t>
      </w:r>
      <w:proofErr w:type="spellEnd"/>
      <w:r w:rsidRPr="00C23AE4">
        <w:rPr>
          <w:sz w:val="28"/>
          <w:szCs w:val="28"/>
          <w:lang w:val="uk-UA"/>
        </w:rPr>
        <w:t xml:space="preserve"> діальдег</w:t>
      </w:r>
      <w:r w:rsidRPr="00C23AE4">
        <w:rPr>
          <w:sz w:val="28"/>
          <w:szCs w:val="28"/>
          <w:lang w:val="uk-UA"/>
        </w:rPr>
        <w:t>і</w:t>
      </w:r>
      <w:r w:rsidRPr="00C23AE4">
        <w:rPr>
          <w:sz w:val="28"/>
          <w:szCs w:val="28"/>
          <w:lang w:val="uk-UA"/>
        </w:rPr>
        <w:t xml:space="preserve">ду (МДА), активність АОС - за активністю </w:t>
      </w:r>
      <w:proofErr w:type="spellStart"/>
      <w:r w:rsidRPr="00C23AE4">
        <w:rPr>
          <w:sz w:val="28"/>
          <w:szCs w:val="28"/>
          <w:lang w:val="uk-UA"/>
        </w:rPr>
        <w:t>супероксиддисмутази</w:t>
      </w:r>
      <w:proofErr w:type="spellEnd"/>
      <w:r w:rsidRPr="00C23AE4">
        <w:rPr>
          <w:sz w:val="28"/>
          <w:szCs w:val="28"/>
          <w:lang w:val="uk-UA"/>
        </w:rPr>
        <w:t xml:space="preserve"> (СОД) на біох</w:t>
      </w:r>
      <w:r w:rsidRPr="00C23AE4">
        <w:rPr>
          <w:sz w:val="28"/>
          <w:szCs w:val="28"/>
          <w:lang w:val="uk-UA"/>
        </w:rPr>
        <w:t>і</w:t>
      </w:r>
      <w:r w:rsidRPr="00C23AE4">
        <w:rPr>
          <w:sz w:val="28"/>
          <w:szCs w:val="28"/>
          <w:lang w:val="uk-UA"/>
        </w:rPr>
        <w:t xml:space="preserve">мічному аналізаторі </w:t>
      </w:r>
      <w:proofErr w:type="spellStart"/>
      <w:r w:rsidRPr="00C23AE4">
        <w:rPr>
          <w:sz w:val="28"/>
          <w:szCs w:val="28"/>
          <w:lang w:val="uk-UA"/>
        </w:rPr>
        <w:t>Stat</w:t>
      </w:r>
      <w:proofErr w:type="spellEnd"/>
      <w:r w:rsidRPr="00C23AE4">
        <w:rPr>
          <w:sz w:val="28"/>
          <w:szCs w:val="28"/>
          <w:lang w:val="uk-UA"/>
        </w:rPr>
        <w:t xml:space="preserve"> </w:t>
      </w:r>
      <w:proofErr w:type="spellStart"/>
      <w:r w:rsidRPr="00C23AE4">
        <w:rPr>
          <w:sz w:val="28"/>
          <w:szCs w:val="28"/>
          <w:lang w:val="uk-UA"/>
        </w:rPr>
        <w:t>Fax</w:t>
      </w:r>
      <w:proofErr w:type="spellEnd"/>
      <w:r w:rsidRPr="00C23AE4">
        <w:rPr>
          <w:sz w:val="28"/>
          <w:szCs w:val="28"/>
          <w:lang w:val="uk-UA"/>
        </w:rPr>
        <w:t xml:space="preserve"> 303 </w:t>
      </w:r>
      <w:proofErr w:type="spellStart"/>
      <w:r w:rsidRPr="00C23AE4">
        <w:rPr>
          <w:sz w:val="28"/>
          <w:szCs w:val="28"/>
          <w:lang w:val="uk-UA"/>
        </w:rPr>
        <w:t>Plus</w:t>
      </w:r>
      <w:proofErr w:type="spellEnd"/>
      <w:r w:rsidRPr="00C23AE4">
        <w:rPr>
          <w:sz w:val="28"/>
          <w:szCs w:val="28"/>
          <w:lang w:val="uk-UA"/>
        </w:rPr>
        <w:t xml:space="preserve"> і каталази (КАТ) на спектрофотометрі СФ- 46 [</w:t>
      </w:r>
      <w:r>
        <w:rPr>
          <w:sz w:val="28"/>
          <w:szCs w:val="28"/>
          <w:lang w:val="uk-UA"/>
        </w:rPr>
        <w:t>12</w:t>
      </w:r>
      <w:r w:rsidRPr="00C23A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</w:t>
      </w:r>
      <w:r w:rsidRPr="00C23A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14</w:t>
      </w:r>
      <w:r w:rsidRPr="00C23AE4">
        <w:rPr>
          <w:sz w:val="28"/>
          <w:szCs w:val="28"/>
          <w:lang w:val="uk-UA"/>
        </w:rPr>
        <w:t>]. Експериментальне дослідження проводили відповідно до націон</w:t>
      </w:r>
      <w:r w:rsidRPr="00C23AE4">
        <w:rPr>
          <w:sz w:val="28"/>
          <w:szCs w:val="28"/>
          <w:lang w:val="uk-UA"/>
        </w:rPr>
        <w:t>а</w:t>
      </w:r>
      <w:r w:rsidRPr="00C23AE4">
        <w:rPr>
          <w:sz w:val="28"/>
          <w:szCs w:val="28"/>
          <w:lang w:val="uk-UA"/>
        </w:rPr>
        <w:t>льних «Загальних етичних принципів досліджень на тваринах» (Україна, 2001), які узгоджуються з положеннями «Європейської конвенції про захист хребетних тварин, що використовуються для експериментальних та інших наукових цілей» (Страсбург, 18.03.86), а також Гельсінської декларації, прийнятої Генеральною асамблеєю Всесвітньої медичної асоціації (1964-2000), Статутом Української ас</w:t>
      </w:r>
      <w:r w:rsidRPr="00C23AE4">
        <w:rPr>
          <w:sz w:val="28"/>
          <w:szCs w:val="28"/>
          <w:lang w:val="uk-UA"/>
        </w:rPr>
        <w:t>о</w:t>
      </w:r>
      <w:r w:rsidRPr="00C23AE4">
        <w:rPr>
          <w:sz w:val="28"/>
          <w:szCs w:val="28"/>
          <w:lang w:val="uk-UA"/>
        </w:rPr>
        <w:t>ціації з біоетики та нормами GLP (1992). Виведення тварин із експерименту пр</w:t>
      </w:r>
      <w:r w:rsidRPr="00C23AE4">
        <w:rPr>
          <w:sz w:val="28"/>
          <w:szCs w:val="28"/>
          <w:lang w:val="uk-UA"/>
        </w:rPr>
        <w:t>о</w:t>
      </w:r>
      <w:r w:rsidRPr="00C23AE4">
        <w:rPr>
          <w:sz w:val="28"/>
          <w:szCs w:val="28"/>
          <w:lang w:val="uk-UA"/>
        </w:rPr>
        <w:t xml:space="preserve">водили шляхом </w:t>
      </w:r>
      <w:proofErr w:type="spellStart"/>
      <w:r w:rsidRPr="00C23AE4">
        <w:rPr>
          <w:sz w:val="28"/>
          <w:szCs w:val="28"/>
          <w:lang w:val="uk-UA"/>
        </w:rPr>
        <w:t>декапітації</w:t>
      </w:r>
      <w:proofErr w:type="spellEnd"/>
      <w:r w:rsidRPr="00C23AE4">
        <w:rPr>
          <w:sz w:val="28"/>
          <w:szCs w:val="28"/>
          <w:lang w:val="uk-UA"/>
        </w:rPr>
        <w:t xml:space="preserve"> під анестезією з використанням інгаляційного введе</w:t>
      </w:r>
      <w:r w:rsidRPr="00C23AE4">
        <w:rPr>
          <w:sz w:val="28"/>
          <w:szCs w:val="28"/>
          <w:lang w:val="uk-UA"/>
        </w:rPr>
        <w:t>н</w:t>
      </w:r>
      <w:r w:rsidRPr="00C23AE4">
        <w:rPr>
          <w:sz w:val="28"/>
          <w:szCs w:val="28"/>
          <w:lang w:val="uk-UA"/>
        </w:rPr>
        <w:t>ня вуглекислого газу. Для статистичної обробки результатів вико</w:t>
      </w:r>
      <w:r>
        <w:rPr>
          <w:sz w:val="28"/>
          <w:szCs w:val="28"/>
          <w:lang w:val="uk-UA"/>
        </w:rPr>
        <w:t>ристовувалася програма STATISTI</w:t>
      </w:r>
      <w:r w:rsidRPr="00C23AE4">
        <w:rPr>
          <w:sz w:val="28"/>
          <w:szCs w:val="28"/>
          <w:lang w:val="uk-UA"/>
        </w:rPr>
        <w:t>CA-10. Оцінка достовірності відмінностей здійснювалася за критер</w:t>
      </w:r>
      <w:r w:rsidRPr="00C23AE4">
        <w:rPr>
          <w:sz w:val="28"/>
          <w:szCs w:val="28"/>
          <w:lang w:val="uk-UA"/>
        </w:rPr>
        <w:t>і</w:t>
      </w:r>
      <w:r w:rsidRPr="00C23AE4">
        <w:rPr>
          <w:sz w:val="28"/>
          <w:szCs w:val="28"/>
          <w:lang w:val="uk-UA"/>
        </w:rPr>
        <w:t xml:space="preserve">єм U </w:t>
      </w:r>
      <w:proofErr w:type="spellStart"/>
      <w:r w:rsidRPr="00C23AE4">
        <w:rPr>
          <w:sz w:val="28"/>
          <w:szCs w:val="28"/>
          <w:lang w:val="uk-UA"/>
        </w:rPr>
        <w:t>Манна-Уїтні</w:t>
      </w:r>
      <w:proofErr w:type="spellEnd"/>
      <w:r>
        <w:rPr>
          <w:sz w:val="28"/>
          <w:szCs w:val="28"/>
          <w:lang w:val="uk-UA"/>
        </w:rPr>
        <w:t>.</w:t>
      </w:r>
    </w:p>
    <w:p w:rsidR="00892319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Результати і їх обговорення. </w:t>
      </w:r>
      <w:r w:rsidRPr="00A403FD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новонароджених щурят в порівнянні з тв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ринами групи контролю у тканині ПЗ спостерігається достовірне зниження як п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рвинних, так і, особливо, вторинних показників ПОЛ: рівень ДК знижений на 16%, МДА – на 25,2%, а їх співвідношення підвищене на 10,1% (р&lt;0,01) (табл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ця). При цьому має місце збільшення активності СОД і КАТ на 13,2% і 14,6% ві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повідно. Їх співвідношення (СОД/КАТ) не відрізняється від нормативу, що відб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ває адекватність зміни активності КАТ збільшенню активності СОД, що обумо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лює достатній рівень дезактивації тої кількості Н</w:t>
      </w:r>
      <w:r w:rsidRPr="006620C8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О</w:t>
      </w:r>
      <w:r w:rsidRPr="006620C8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яка утворилася в результаті каталітичної активності СОД в реакції </w:t>
      </w:r>
      <w:proofErr w:type="spellStart"/>
      <w:r>
        <w:rPr>
          <w:color w:val="000000"/>
          <w:sz w:val="28"/>
          <w:szCs w:val="28"/>
          <w:lang w:val="uk-UA"/>
        </w:rPr>
        <w:t>дисмутації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супероксидних</w:t>
      </w:r>
      <w:proofErr w:type="spellEnd"/>
      <w:r>
        <w:rPr>
          <w:color w:val="000000"/>
          <w:sz w:val="28"/>
          <w:szCs w:val="28"/>
          <w:lang w:val="uk-UA"/>
        </w:rPr>
        <w:t xml:space="preserve"> аніонних рад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калів </w:t>
      </w:r>
      <w:r w:rsidRPr="008D7F5A">
        <w:rPr>
          <w:sz w:val="28"/>
          <w:szCs w:val="28"/>
          <w:lang w:val="uk-UA"/>
        </w:rPr>
        <w:t>(О</w:t>
      </w:r>
      <w:r w:rsidRPr="008D7F5A">
        <w:rPr>
          <w:sz w:val="28"/>
          <w:szCs w:val="28"/>
          <w:vertAlign w:val="subscript"/>
          <w:lang w:val="uk-UA"/>
        </w:rPr>
        <w:t>2</w:t>
      </w:r>
      <w:r w:rsidRPr="008D7F5A">
        <w:rPr>
          <w:sz w:val="28"/>
          <w:szCs w:val="28"/>
          <w:vertAlign w:val="superscript"/>
          <w:lang w:val="uk-UA"/>
        </w:rPr>
        <w:t>-</w:t>
      </w:r>
      <w:r w:rsidRPr="008D7F5A">
        <w:rPr>
          <w:sz w:val="28"/>
          <w:szCs w:val="28"/>
          <w:lang w:val="uk-UA"/>
        </w:rPr>
        <w:t>).</w:t>
      </w:r>
      <w:r w:rsidRPr="00C31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показники ПОЛ і АОС свідчать про пренатальну стрес-індуковану активацію процесів ПОЛ і підвищення антиоксидантного потенціалу, що має 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жливе адаптаційне значення як за рахунок </w:t>
      </w:r>
      <w:proofErr w:type="spellStart"/>
      <w:r>
        <w:rPr>
          <w:sz w:val="28"/>
          <w:szCs w:val="28"/>
          <w:lang w:val="uk-UA"/>
        </w:rPr>
        <w:t>цитопротекторного</w:t>
      </w:r>
      <w:proofErr w:type="spellEnd"/>
      <w:r>
        <w:rPr>
          <w:sz w:val="28"/>
          <w:szCs w:val="28"/>
          <w:lang w:val="uk-UA"/>
        </w:rPr>
        <w:t xml:space="preserve"> ефекту, так і закономірного пригн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чення ПОЛ. Це означає, що у щурят має місце</w:t>
      </w:r>
    </w:p>
    <w:p w:rsidR="00892319" w:rsidRDefault="00892319" w:rsidP="00892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стадія резистентності загального адаптаційного синдрому [15].</w:t>
      </w:r>
    </w:p>
    <w:p w:rsidR="00892319" w:rsidRDefault="00892319" w:rsidP="0089231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1-місячних щурят показники ПОЛ (ДК і МДА) в тканині ПЗ суттєво вищі за такі у новонароджених і значно менше відхиляються від нормативних (див. табл.). Їх співвідношення підвищене на 8,5% (р&lt;0,01), тобто, як і в новонародж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них щурят, має місце переважання рівня первинних </w:t>
      </w:r>
      <w:r w:rsidRPr="002D0E2B">
        <w:rPr>
          <w:sz w:val="28"/>
          <w:szCs w:val="28"/>
          <w:lang w:val="uk-UA"/>
        </w:rPr>
        <w:t>продуктів ПОЛ (ДК) над вт</w:t>
      </w:r>
      <w:r w:rsidRPr="002D0E2B">
        <w:rPr>
          <w:sz w:val="28"/>
          <w:szCs w:val="28"/>
          <w:lang w:val="uk-UA"/>
        </w:rPr>
        <w:t>о</w:t>
      </w:r>
      <w:r w:rsidRPr="002D0E2B">
        <w:rPr>
          <w:sz w:val="28"/>
          <w:szCs w:val="28"/>
          <w:lang w:val="uk-UA"/>
        </w:rPr>
        <w:t>ринними (МДА). Рівень</w:t>
      </w:r>
      <w:r w:rsidRPr="00EC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показників </w:t>
      </w:r>
      <w:r w:rsidRPr="002D0E2B">
        <w:rPr>
          <w:sz w:val="28"/>
          <w:szCs w:val="28"/>
          <w:lang w:val="uk-UA"/>
        </w:rPr>
        <w:t>АОС дещо відрізняється</w:t>
      </w:r>
      <w:r>
        <w:rPr>
          <w:sz w:val="28"/>
          <w:szCs w:val="28"/>
          <w:lang w:val="uk-UA"/>
        </w:rPr>
        <w:t xml:space="preserve"> від їх значень у 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вонароджених</w:t>
      </w:r>
    </w:p>
    <w:p w:rsidR="00892319" w:rsidRDefault="00892319" w:rsidP="00892319">
      <w:pPr>
        <w:spacing w:line="360" w:lineRule="auto"/>
        <w:jc w:val="right"/>
        <w:rPr>
          <w:sz w:val="28"/>
          <w:szCs w:val="28"/>
          <w:lang w:val="uk-UA"/>
        </w:rPr>
      </w:pPr>
    </w:p>
    <w:p w:rsidR="00892319" w:rsidRDefault="00892319" w:rsidP="00892319">
      <w:pPr>
        <w:spacing w:line="360" w:lineRule="auto"/>
        <w:jc w:val="right"/>
        <w:rPr>
          <w:sz w:val="28"/>
          <w:szCs w:val="28"/>
          <w:lang w:val="uk-UA"/>
        </w:rPr>
      </w:pPr>
    </w:p>
    <w:p w:rsidR="00892319" w:rsidRPr="00573E4A" w:rsidRDefault="00892319" w:rsidP="00892319">
      <w:pPr>
        <w:spacing w:line="360" w:lineRule="auto"/>
        <w:jc w:val="right"/>
        <w:rPr>
          <w:sz w:val="28"/>
          <w:szCs w:val="28"/>
          <w:lang w:val="uk-UA"/>
        </w:rPr>
      </w:pPr>
      <w:r w:rsidRPr="00573E4A">
        <w:rPr>
          <w:sz w:val="28"/>
          <w:szCs w:val="28"/>
          <w:lang w:val="uk-UA"/>
        </w:rPr>
        <w:t>Таблиця</w:t>
      </w:r>
    </w:p>
    <w:p w:rsidR="00892319" w:rsidRDefault="00892319" w:rsidP="00892319">
      <w:pPr>
        <w:jc w:val="center"/>
        <w:rPr>
          <w:sz w:val="28"/>
          <w:szCs w:val="28"/>
          <w:lang w:val="uk-UA"/>
        </w:rPr>
      </w:pPr>
      <w:r w:rsidRPr="00573E4A">
        <w:rPr>
          <w:sz w:val="28"/>
          <w:szCs w:val="28"/>
          <w:lang w:val="uk-UA"/>
        </w:rPr>
        <w:lastRenderedPageBreak/>
        <w:t>Показники активності ПОЛ і АОС (</w:t>
      </w:r>
      <w:proofErr w:type="spellStart"/>
      <w:r w:rsidRPr="00573E4A">
        <w:rPr>
          <w:sz w:val="28"/>
          <w:szCs w:val="28"/>
          <w:lang w:val="uk-UA"/>
        </w:rPr>
        <w:t>М±m</w:t>
      </w:r>
      <w:proofErr w:type="spellEnd"/>
      <w:r w:rsidRPr="00573E4A">
        <w:rPr>
          <w:sz w:val="28"/>
          <w:szCs w:val="28"/>
          <w:lang w:val="uk-UA"/>
        </w:rPr>
        <w:t xml:space="preserve">) у тканині ПЗ і сироватці крові у щурят, які перенесли хронічний </w:t>
      </w:r>
      <w:proofErr w:type="spellStart"/>
      <w:r w:rsidRPr="00573E4A">
        <w:rPr>
          <w:sz w:val="28"/>
          <w:szCs w:val="28"/>
          <w:lang w:val="uk-UA"/>
        </w:rPr>
        <w:t>гестаційний</w:t>
      </w:r>
      <w:proofErr w:type="spellEnd"/>
      <w:r w:rsidRPr="00573E4A">
        <w:rPr>
          <w:sz w:val="28"/>
          <w:szCs w:val="28"/>
          <w:lang w:val="uk-UA"/>
        </w:rPr>
        <w:t xml:space="preserve"> стрес </w:t>
      </w:r>
    </w:p>
    <w:p w:rsidR="00892319" w:rsidRPr="00573E4A" w:rsidRDefault="00892319" w:rsidP="00892319">
      <w:pPr>
        <w:spacing w:after="120"/>
        <w:jc w:val="center"/>
        <w:rPr>
          <w:sz w:val="28"/>
          <w:szCs w:val="28"/>
          <w:lang w:val="uk-UA"/>
        </w:rPr>
      </w:pPr>
      <w:r w:rsidRPr="00573E4A">
        <w:rPr>
          <w:sz w:val="28"/>
          <w:szCs w:val="28"/>
          <w:lang w:val="uk-UA"/>
        </w:rPr>
        <w:t>(в % від нормат</w:t>
      </w:r>
      <w:r w:rsidRPr="00573E4A">
        <w:rPr>
          <w:sz w:val="28"/>
          <w:szCs w:val="28"/>
          <w:lang w:val="uk-UA"/>
        </w:rPr>
        <w:t>и</w:t>
      </w:r>
      <w:r w:rsidRPr="00573E4A">
        <w:rPr>
          <w:sz w:val="28"/>
          <w:szCs w:val="28"/>
          <w:lang w:val="uk-UA"/>
        </w:rPr>
        <w:t>ву)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800"/>
      </w:tblGrid>
      <w:tr w:rsidR="00892319" w:rsidRPr="008D7F5A" w:rsidTr="00B4200E">
        <w:trPr>
          <w:trHeight w:val="141"/>
        </w:trPr>
        <w:tc>
          <w:tcPr>
            <w:tcW w:w="144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Показн</w:t>
            </w:r>
            <w:r w:rsidRPr="008D7F5A">
              <w:rPr>
                <w:lang w:val="uk-UA"/>
              </w:rPr>
              <w:t>и</w:t>
            </w:r>
            <w:r w:rsidRPr="008D7F5A">
              <w:rPr>
                <w:lang w:val="uk-UA"/>
              </w:rPr>
              <w:t>ки</w:t>
            </w:r>
          </w:p>
        </w:tc>
        <w:tc>
          <w:tcPr>
            <w:tcW w:w="7560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Групи щурят</w:t>
            </w:r>
          </w:p>
        </w:tc>
      </w:tr>
      <w:tr w:rsidR="00892319" w:rsidRPr="008D7F5A" w:rsidTr="00B4200E">
        <w:trPr>
          <w:trHeight w:val="140"/>
        </w:trPr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Новона-р</w:t>
            </w:r>
            <w:r w:rsidRPr="008D7F5A">
              <w:rPr>
                <w:lang w:val="uk-UA"/>
              </w:rPr>
              <w:t>о</w:t>
            </w:r>
            <w:r w:rsidRPr="008D7F5A">
              <w:rPr>
                <w:lang w:val="uk-UA"/>
              </w:rPr>
              <w:t>джені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1-місячні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2 місячні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(n=9)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(n=13)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Кров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(n=15)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(n=12)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Кров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(n=12)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ДК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83</w:t>
            </w:r>
            <w:r w:rsidRPr="008D7F5A">
              <w:rPr>
                <w:lang w:val="en-US"/>
              </w:rPr>
              <w:t>,</w:t>
            </w:r>
            <w:r w:rsidRPr="00573E4A">
              <w:t>99±</w:t>
            </w:r>
            <w:r w:rsidRPr="008D7F5A">
              <w:rPr>
                <w:lang w:val="en-US"/>
              </w:rPr>
              <w:t>0,</w:t>
            </w:r>
            <w:r w:rsidRPr="00573E4A">
              <w:t>5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en-US"/>
              </w:rPr>
              <w:t>10</w:t>
            </w:r>
            <w:r w:rsidRPr="00573E4A">
              <w:t>1</w:t>
            </w:r>
            <w:r w:rsidRPr="008D7F5A">
              <w:rPr>
                <w:lang w:val="en-US"/>
              </w:rPr>
              <w:t>,</w:t>
            </w:r>
            <w:r w:rsidRPr="00573E4A">
              <w:t>77±</w:t>
            </w:r>
            <w:r w:rsidRPr="008D7F5A">
              <w:rPr>
                <w:lang w:val="en-US"/>
              </w:rPr>
              <w:t>0,</w:t>
            </w:r>
            <w:r w:rsidRPr="00573E4A">
              <w:t>55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573E4A" w:rsidRDefault="00892319" w:rsidP="00B4200E">
            <w:pPr>
              <w:jc w:val="center"/>
            </w:pPr>
            <w:r w:rsidRPr="00573E4A">
              <w:t>136</w:t>
            </w:r>
            <w:r w:rsidRPr="008D7F5A">
              <w:rPr>
                <w:lang w:val="en-US"/>
              </w:rPr>
              <w:t>,</w:t>
            </w:r>
            <w:r w:rsidRPr="00573E4A">
              <w:t>6±2</w:t>
            </w:r>
            <w:r w:rsidRPr="008D7F5A">
              <w:rPr>
                <w:lang w:val="en-US"/>
              </w:rPr>
              <w:t>,</w:t>
            </w:r>
            <w:r w:rsidRPr="00573E4A">
              <w:t>6**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573E4A" w:rsidRDefault="00892319" w:rsidP="00B4200E">
            <w:pPr>
              <w:jc w:val="center"/>
            </w:pPr>
            <w:r w:rsidRPr="00573E4A">
              <w:t>93,9±0,72**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2319" w:rsidRPr="00573E4A" w:rsidRDefault="00892319" w:rsidP="00B4200E">
            <w:pPr>
              <w:jc w:val="center"/>
            </w:pPr>
            <w:r w:rsidRPr="00573E4A">
              <w:t>219,3±1,7**</w:t>
            </w:r>
          </w:p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ДК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72</w:t>
            </w:r>
            <w:r w:rsidRPr="008D7F5A">
              <w:rPr>
                <w:lang w:val="en-US"/>
              </w:rPr>
              <w:t>,</w:t>
            </w:r>
            <w:r w:rsidRPr="00573E4A">
              <w:t>77±</w:t>
            </w:r>
            <w:r w:rsidRPr="008D7F5A">
              <w:rPr>
                <w:lang w:val="en-US"/>
              </w:rPr>
              <w:t>1,</w:t>
            </w:r>
            <w:r w:rsidRPr="00573E4A">
              <w:t>09</w:t>
            </w:r>
            <w:r w:rsidRPr="008D7F5A">
              <w:rPr>
                <w:lang w:val="uk-UA"/>
              </w:rPr>
              <w:t xml:space="preserve">** 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43,46±0,16</w:t>
            </w:r>
            <w:r w:rsidRPr="008D7F5A">
              <w:rPr>
                <w:lang w:val="uk-UA"/>
              </w:rPr>
              <w:t>**</w:t>
            </w:r>
            <w:r w:rsidRPr="008D7F5A">
              <w:rPr>
                <w:i/>
                <w:lang w:val="uk-UA"/>
              </w:rPr>
              <w:t xml:space="preserve"> (р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  <w:lang w:val="uk-UA"/>
              </w:rPr>
              <w:t>&lt;0,05)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МДА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74</w:t>
            </w:r>
            <w:r w:rsidRPr="008D7F5A">
              <w:rPr>
                <w:lang w:val="en-US"/>
              </w:rPr>
              <w:t>,</w:t>
            </w:r>
            <w:r w:rsidRPr="00573E4A">
              <w:t>8±1</w:t>
            </w:r>
            <w:r w:rsidRPr="008D7F5A">
              <w:rPr>
                <w:lang w:val="en-US"/>
              </w:rPr>
              <w:t>,</w:t>
            </w:r>
            <w:r w:rsidRPr="00573E4A">
              <w:t>7</w:t>
            </w:r>
            <w:r w:rsidRPr="008D7F5A">
              <w:rPr>
                <w:lang w:val="uk-UA"/>
              </w:rPr>
              <w:t>**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93</w:t>
            </w:r>
            <w:r w:rsidRPr="008D7F5A">
              <w:rPr>
                <w:lang w:val="en-US"/>
              </w:rPr>
              <w:t>,</w:t>
            </w:r>
            <w:r w:rsidRPr="00573E4A">
              <w:t>9±1</w:t>
            </w:r>
            <w:r w:rsidRPr="008D7F5A">
              <w:rPr>
                <w:lang w:val="en-US"/>
              </w:rPr>
              <w:t>,</w:t>
            </w:r>
            <w:r w:rsidRPr="00573E4A">
              <w:t>41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573E4A" w:rsidRDefault="00892319" w:rsidP="00B4200E">
            <w:pPr>
              <w:jc w:val="center"/>
            </w:pPr>
            <w:r w:rsidRPr="00573E4A">
              <w:t>141</w:t>
            </w:r>
            <w:r w:rsidRPr="008D7F5A">
              <w:rPr>
                <w:lang w:val="en-US"/>
              </w:rPr>
              <w:t>,</w:t>
            </w:r>
            <w:r w:rsidRPr="00573E4A">
              <w:t>3±2</w:t>
            </w:r>
            <w:r w:rsidRPr="008D7F5A">
              <w:rPr>
                <w:lang w:val="en-US"/>
              </w:rPr>
              <w:t>,</w:t>
            </w:r>
            <w:r w:rsidRPr="00573E4A">
              <w:t>4**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75,4±1,95**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306,88±8,44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МДА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65</w:t>
            </w:r>
            <w:r w:rsidRPr="008D7F5A">
              <w:rPr>
                <w:lang w:val="en-US"/>
              </w:rPr>
              <w:t>,</w:t>
            </w:r>
            <w:r w:rsidRPr="00573E4A">
              <w:t>96±1</w:t>
            </w:r>
            <w:r w:rsidRPr="008D7F5A">
              <w:rPr>
                <w:lang w:val="en-US"/>
              </w:rPr>
              <w:t>,</w:t>
            </w:r>
            <w:r w:rsidRPr="00573E4A">
              <w:t>99</w:t>
            </w:r>
            <w:r w:rsidRPr="008D7F5A">
              <w:rPr>
                <w:lang w:val="uk-UA"/>
              </w:rPr>
              <w:t xml:space="preserve">** 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25,26±0,85</w:t>
            </w:r>
            <w:r w:rsidRPr="008D7F5A">
              <w:rPr>
                <w:lang w:val="uk-UA"/>
              </w:rPr>
              <w:t xml:space="preserve">** </w:t>
            </w:r>
            <w:r w:rsidRPr="008D7F5A">
              <w:rPr>
                <w:i/>
                <w:lang w:val="uk-UA"/>
              </w:rPr>
              <w:t>(р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  <w:lang w:val="uk-UA"/>
              </w:rPr>
              <w:t>&lt;0,01)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ДК/МДА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110</w:t>
            </w:r>
            <w:r w:rsidRPr="008D7F5A">
              <w:rPr>
                <w:lang w:val="en-US"/>
              </w:rPr>
              <w:t>,</w:t>
            </w:r>
            <w:r w:rsidRPr="00573E4A">
              <w:t>1±1</w:t>
            </w:r>
            <w:r w:rsidRPr="008D7F5A">
              <w:rPr>
                <w:lang w:val="en-US"/>
              </w:rPr>
              <w:t>,</w:t>
            </w:r>
            <w:r w:rsidRPr="00573E4A">
              <w:t>8</w:t>
            </w:r>
            <w:r w:rsidRPr="008D7F5A">
              <w:rPr>
                <w:lang w:val="uk-UA"/>
              </w:rPr>
              <w:t>**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spacing w:after="60"/>
              <w:jc w:val="center"/>
              <w:rPr>
                <w:lang w:val="uk-UA"/>
              </w:rPr>
            </w:pPr>
            <w:r w:rsidRPr="00573E4A">
              <w:t>108</w:t>
            </w:r>
            <w:r w:rsidRPr="008D7F5A">
              <w:rPr>
                <w:lang w:val="en-US"/>
              </w:rPr>
              <w:t>,</w:t>
            </w:r>
            <w:r w:rsidRPr="00573E4A">
              <w:t>5±1</w:t>
            </w:r>
            <w:r w:rsidRPr="008D7F5A">
              <w:rPr>
                <w:lang w:val="en-US"/>
              </w:rPr>
              <w:t>,</w:t>
            </w:r>
            <w:r w:rsidRPr="00573E4A">
              <w:t>6</w:t>
            </w:r>
            <w:r w:rsidRPr="008D7F5A">
              <w:rPr>
                <w:lang w:val="uk-UA"/>
              </w:rPr>
              <w:t>**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573E4A" w:rsidRDefault="00892319" w:rsidP="00B4200E">
            <w:pPr>
              <w:jc w:val="center"/>
            </w:pPr>
            <w:r w:rsidRPr="00573E4A">
              <w:t>94</w:t>
            </w:r>
            <w:r w:rsidRPr="008D7F5A">
              <w:rPr>
                <w:lang w:val="en-US"/>
              </w:rPr>
              <w:t>,</w:t>
            </w:r>
            <w:r w:rsidRPr="00573E4A">
              <w:t>93±</w:t>
            </w:r>
            <w:r w:rsidRPr="008D7F5A">
              <w:rPr>
                <w:lang w:val="en-US"/>
              </w:rPr>
              <w:t>1,</w:t>
            </w:r>
            <w:r w:rsidRPr="00573E4A">
              <w:t>64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573E4A">
              <w:t>130,1±3,2**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72,14±1,51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СОД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113,2±</w:t>
            </w:r>
            <w:r w:rsidRPr="008D7F5A">
              <w:rPr>
                <w:lang w:val="en-US"/>
              </w:rPr>
              <w:t>0,</w:t>
            </w:r>
            <w:r w:rsidRPr="00573E4A">
              <w:t>3</w:t>
            </w:r>
            <w:r w:rsidRPr="008D7F5A">
              <w:rPr>
                <w:lang w:val="uk-UA"/>
              </w:rPr>
              <w:t>**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en-US"/>
              </w:rPr>
              <w:t>1</w:t>
            </w:r>
            <w:r w:rsidRPr="00573E4A">
              <w:t>12</w:t>
            </w:r>
            <w:r w:rsidRPr="008D7F5A">
              <w:rPr>
                <w:lang w:val="en-US"/>
              </w:rPr>
              <w:t>,</w:t>
            </w:r>
            <w:r w:rsidRPr="00573E4A">
              <w:t>5±1</w:t>
            </w:r>
            <w:r w:rsidRPr="008D7F5A">
              <w:rPr>
                <w:lang w:val="en-US"/>
              </w:rPr>
              <w:t>,</w:t>
            </w:r>
            <w:r w:rsidRPr="00573E4A">
              <w:t>2*</w:t>
            </w:r>
            <w:r w:rsidRPr="008D7F5A">
              <w:rPr>
                <w:lang w:val="uk-UA"/>
              </w:rPr>
              <w:t>*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573E4A" w:rsidRDefault="00892319" w:rsidP="00B4200E">
            <w:pPr>
              <w:jc w:val="center"/>
            </w:pPr>
            <w:r w:rsidRPr="00573E4A">
              <w:t>129</w:t>
            </w:r>
            <w:r w:rsidRPr="008D7F5A">
              <w:rPr>
                <w:lang w:val="en-US"/>
              </w:rPr>
              <w:t>,5</w:t>
            </w:r>
            <w:r w:rsidRPr="00573E4A">
              <w:t>±</w:t>
            </w:r>
            <w:r w:rsidRPr="008D7F5A">
              <w:rPr>
                <w:lang w:val="en-US"/>
              </w:rPr>
              <w:t>0,</w:t>
            </w:r>
            <w:r w:rsidRPr="00573E4A">
              <w:t>9**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92,57±0,6*</w:t>
            </w:r>
            <w:r w:rsidRPr="008D7F5A">
              <w:rPr>
                <w:lang w:val="uk-UA"/>
              </w:rPr>
              <w:t>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117,83±1,26*</w:t>
            </w:r>
            <w:r w:rsidRPr="008D7F5A">
              <w:rPr>
                <w:lang w:val="uk-UA"/>
              </w:rPr>
              <w:t>*</w:t>
            </w:r>
          </w:p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СОД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87</w:t>
            </w:r>
            <w:r w:rsidRPr="008D7F5A">
              <w:rPr>
                <w:lang w:val="en-US"/>
              </w:rPr>
              <w:t>,</w:t>
            </w:r>
            <w:r w:rsidRPr="00573E4A">
              <w:t>32±1</w:t>
            </w:r>
            <w:r w:rsidRPr="008D7F5A">
              <w:rPr>
                <w:lang w:val="en-US"/>
              </w:rPr>
              <w:t>,</w:t>
            </w:r>
            <w:r w:rsidRPr="00573E4A">
              <w:t>04</w:t>
            </w:r>
            <w:r w:rsidRPr="008D7F5A">
              <w:rPr>
                <w:lang w:val="uk-UA"/>
              </w:rPr>
              <w:t xml:space="preserve">** 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80,1±1,14</w:t>
            </w:r>
            <w:r w:rsidRPr="008D7F5A">
              <w:rPr>
                <w:lang w:val="uk-UA"/>
              </w:rPr>
              <w:t xml:space="preserve">** </w:t>
            </w:r>
            <w:proofErr w:type="gramStart"/>
            <w:r w:rsidRPr="008D7F5A">
              <w:rPr>
                <w:i/>
                <w:lang w:val="uk-UA"/>
              </w:rPr>
              <w:t xml:space="preserve">( </w:t>
            </w:r>
            <w:proofErr w:type="gramEnd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&lt;0,01)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КАТ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114</w:t>
            </w:r>
            <w:r w:rsidRPr="008D7F5A">
              <w:rPr>
                <w:lang w:val="en-US"/>
              </w:rPr>
              <w:t>,</w:t>
            </w:r>
            <w:r w:rsidRPr="00573E4A">
              <w:t>6±</w:t>
            </w:r>
            <w:r w:rsidRPr="008D7F5A">
              <w:rPr>
                <w:lang w:val="en-US"/>
              </w:rPr>
              <w:t>0,</w:t>
            </w:r>
            <w:r w:rsidRPr="00573E4A">
              <w:t>6</w:t>
            </w:r>
            <w:r w:rsidRPr="008D7F5A">
              <w:rPr>
                <w:lang w:val="uk-UA"/>
              </w:rPr>
              <w:t>**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93</w:t>
            </w:r>
            <w:r w:rsidRPr="008D7F5A">
              <w:rPr>
                <w:lang w:val="en-US"/>
              </w:rPr>
              <w:t>,</w:t>
            </w:r>
            <w:r w:rsidRPr="00573E4A">
              <w:t>3±1</w:t>
            </w:r>
            <w:r w:rsidRPr="008D7F5A">
              <w:rPr>
                <w:lang w:val="en-US"/>
              </w:rPr>
              <w:t>,</w:t>
            </w:r>
            <w:r w:rsidRPr="00573E4A">
              <w:t>05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112</w:t>
            </w:r>
            <w:r w:rsidRPr="008D7F5A">
              <w:rPr>
                <w:lang w:val="en-US"/>
              </w:rPr>
              <w:t>,</w:t>
            </w:r>
            <w:r w:rsidRPr="00573E4A">
              <w:t>8±</w:t>
            </w:r>
            <w:r w:rsidRPr="008D7F5A">
              <w:rPr>
                <w:lang w:val="en-US"/>
              </w:rPr>
              <w:t>0,</w:t>
            </w:r>
            <w:r w:rsidRPr="00573E4A">
              <w:t>9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104,9±1,3</w:t>
            </w:r>
            <w:r w:rsidRPr="008D7F5A">
              <w:rPr>
                <w:lang w:val="uk-UA"/>
              </w:rPr>
              <w:t>*</w:t>
            </w:r>
          </w:p>
          <w:p w:rsidR="00892319" w:rsidRPr="008D7F5A" w:rsidRDefault="00892319" w:rsidP="00B4200E">
            <w:pPr>
              <w:spacing w:after="60"/>
              <w:jc w:val="center"/>
              <w:rPr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 xml:space="preserve"> н,1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130,67±1,37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КАТ</w:t>
            </w:r>
            <w:r w:rsidRPr="008D7F5A">
              <w:rPr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vertAlign w:val="subscript"/>
                <w:lang w:val="uk-UA"/>
              </w:rPr>
              <w:t>/с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82</w:t>
            </w:r>
            <w:r w:rsidRPr="008D7F5A">
              <w:rPr>
                <w:lang w:val="en-US"/>
              </w:rPr>
              <w:t>,</w:t>
            </w:r>
            <w:r w:rsidRPr="00573E4A">
              <w:t>82±1</w:t>
            </w:r>
            <w:r w:rsidRPr="008D7F5A">
              <w:rPr>
                <w:lang w:val="en-US"/>
              </w:rPr>
              <w:t>,</w:t>
            </w:r>
            <w:r w:rsidRPr="00573E4A">
              <w:t>42</w:t>
            </w:r>
            <w:r w:rsidRPr="008D7F5A">
              <w:rPr>
                <w:lang w:val="uk-UA"/>
              </w:rPr>
              <w:t xml:space="preserve">** 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81,83±1,24</w:t>
            </w:r>
            <w:r w:rsidRPr="008D7F5A">
              <w:rPr>
                <w:lang w:val="uk-UA"/>
              </w:rPr>
              <w:t xml:space="preserve">**  </w:t>
            </w:r>
            <w:r w:rsidRPr="008D7F5A">
              <w:rPr>
                <w:i/>
                <w:lang w:val="uk-UA"/>
              </w:rPr>
              <w:t>(р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  <w:lang w:val="uk-UA"/>
              </w:rPr>
              <w:t>&gt;0,01)</w:t>
            </w:r>
          </w:p>
        </w:tc>
      </w:tr>
      <w:tr w:rsidR="00892319" w:rsidRPr="008D7F5A" w:rsidTr="00B4200E">
        <w:trPr>
          <w:trHeight w:val="205"/>
        </w:trPr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spacing w:before="60" w:after="60"/>
              <w:rPr>
                <w:lang w:val="uk-UA"/>
              </w:rPr>
            </w:pPr>
            <w:r w:rsidRPr="008D7F5A">
              <w:rPr>
                <w:lang w:val="uk-UA"/>
              </w:rPr>
              <w:t>СОД/КАТ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99</w:t>
            </w:r>
            <w:r w:rsidRPr="008D7F5A">
              <w:rPr>
                <w:lang w:val="en-US"/>
              </w:rPr>
              <w:t>,</w:t>
            </w:r>
            <w:r w:rsidRPr="00573E4A">
              <w:t>03±</w:t>
            </w:r>
            <w:r w:rsidRPr="008D7F5A">
              <w:rPr>
                <w:lang w:val="en-US"/>
              </w:rPr>
              <w:t>0,</w:t>
            </w:r>
            <w:r w:rsidRPr="00573E4A">
              <w:t>49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en-US"/>
              </w:rPr>
              <w:t>1</w:t>
            </w:r>
            <w:r w:rsidRPr="00573E4A">
              <w:t>21</w:t>
            </w:r>
            <w:r w:rsidRPr="008D7F5A">
              <w:rPr>
                <w:lang w:val="en-US"/>
              </w:rPr>
              <w:t>,</w:t>
            </w:r>
            <w:r w:rsidRPr="00573E4A">
              <w:t>4±1</w:t>
            </w:r>
            <w:r w:rsidRPr="008D7F5A">
              <w:rPr>
                <w:lang w:val="en-US"/>
              </w:rPr>
              <w:t>,</w:t>
            </w:r>
            <w:r w:rsidRPr="00573E4A">
              <w:t>5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8D7F5A">
              <w:rPr>
                <w:lang w:val="en-US"/>
              </w:rPr>
              <w:t>1</w:t>
            </w:r>
            <w:r w:rsidRPr="00573E4A">
              <w:t>14</w:t>
            </w:r>
            <w:r w:rsidRPr="008D7F5A">
              <w:rPr>
                <w:lang w:val="en-US"/>
              </w:rPr>
              <w:t>,</w:t>
            </w:r>
            <w:r w:rsidRPr="00573E4A">
              <w:t>3±1</w:t>
            </w:r>
            <w:r w:rsidRPr="008D7F5A">
              <w:rPr>
                <w:lang w:val="en-US"/>
              </w:rPr>
              <w:t>,</w:t>
            </w:r>
            <w:r w:rsidRPr="00573E4A">
              <w:t>3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b/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89,6±0,86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spacing w:after="60"/>
              <w:jc w:val="center"/>
              <w:rPr>
                <w:lang w:val="uk-UA"/>
              </w:rPr>
            </w:pPr>
            <w:proofErr w:type="spellStart"/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proofErr w:type="spellEnd"/>
            <w:r w:rsidRPr="008D7F5A">
              <w:rPr>
                <w:i/>
                <w:vertAlign w:val="subscript"/>
                <w:lang w:val="uk-UA"/>
              </w:rPr>
              <w:t>,1</w:t>
            </w:r>
            <w:r w:rsidRPr="008D7F5A">
              <w:rPr>
                <w:i/>
                <w:lang w:val="uk-UA"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r w:rsidRPr="00573E4A">
              <w:t>90,43±0,68</w:t>
            </w:r>
            <w:r w:rsidRPr="008D7F5A">
              <w:rPr>
                <w:lang w:val="uk-UA"/>
              </w:rPr>
              <w:t>**</w:t>
            </w:r>
          </w:p>
          <w:p w:rsidR="00892319" w:rsidRPr="008D7F5A" w:rsidRDefault="00892319" w:rsidP="00B4200E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  <w:lang w:val="uk-UA"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1</w:t>
            </w:r>
            <w:r w:rsidRPr="008D7F5A">
              <w:rPr>
                <w:i/>
                <w:lang w:val="uk-UA"/>
              </w:rPr>
              <w:t>&lt;0,01</w:t>
            </w:r>
          </w:p>
          <w:p w:rsidR="00892319" w:rsidRPr="008D7F5A" w:rsidRDefault="00892319" w:rsidP="00B4200E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&gt;0,05</w:t>
            </w:r>
          </w:p>
        </w:tc>
      </w:tr>
    </w:tbl>
    <w:p w:rsidR="00892319" w:rsidRPr="00433203" w:rsidRDefault="00892319" w:rsidP="00892319">
      <w:pPr>
        <w:rPr>
          <w:lang w:val="uk-UA"/>
        </w:rPr>
      </w:pPr>
      <w:r w:rsidRPr="00433203">
        <w:rPr>
          <w:lang w:val="uk-UA"/>
        </w:rPr>
        <w:t>Прим</w:t>
      </w:r>
      <w:r>
        <w:rPr>
          <w:lang w:val="uk-UA"/>
        </w:rPr>
        <w:t>ітки</w:t>
      </w:r>
      <w:r w:rsidRPr="00433203">
        <w:rPr>
          <w:lang w:val="uk-UA"/>
        </w:rPr>
        <w:t xml:space="preserve">: 1. **- р&lt;0,01; * - р&lt;0,05 – </w:t>
      </w:r>
      <w:r>
        <w:rPr>
          <w:lang w:val="uk-UA"/>
        </w:rPr>
        <w:t>порівняння з</w:t>
      </w:r>
      <w:r w:rsidRPr="00433203">
        <w:rPr>
          <w:lang w:val="uk-UA"/>
        </w:rPr>
        <w:t xml:space="preserve"> груп</w:t>
      </w:r>
      <w:r>
        <w:rPr>
          <w:lang w:val="uk-UA"/>
        </w:rPr>
        <w:t>ою</w:t>
      </w:r>
      <w:r w:rsidRPr="00433203">
        <w:rPr>
          <w:lang w:val="uk-UA"/>
        </w:rPr>
        <w:t xml:space="preserve"> контр</w:t>
      </w:r>
      <w:r w:rsidRPr="00433203">
        <w:rPr>
          <w:lang w:val="uk-UA"/>
        </w:rPr>
        <w:t>о</w:t>
      </w:r>
      <w:r w:rsidRPr="00433203">
        <w:rPr>
          <w:lang w:val="uk-UA"/>
        </w:rPr>
        <w:t>л</w:t>
      </w:r>
      <w:r>
        <w:rPr>
          <w:lang w:val="uk-UA"/>
        </w:rPr>
        <w:t>ю</w:t>
      </w:r>
      <w:r w:rsidRPr="00433203">
        <w:rPr>
          <w:lang w:val="uk-UA"/>
        </w:rPr>
        <w:t>.</w:t>
      </w:r>
    </w:p>
    <w:p w:rsidR="00892319" w:rsidRPr="00433203" w:rsidRDefault="00892319" w:rsidP="00892319">
      <w:pPr>
        <w:rPr>
          <w:lang w:val="uk-UA"/>
        </w:rPr>
      </w:pPr>
      <w:r w:rsidRPr="00433203">
        <w:rPr>
          <w:lang w:val="uk-UA"/>
        </w:rPr>
        <w:t xml:space="preserve">        </w:t>
      </w:r>
      <w:r>
        <w:rPr>
          <w:lang w:val="uk-UA"/>
        </w:rPr>
        <w:t xml:space="preserve">           </w:t>
      </w:r>
      <w:r w:rsidRPr="00433203">
        <w:rPr>
          <w:lang w:val="uk-UA"/>
        </w:rPr>
        <w:t xml:space="preserve">2. </w:t>
      </w:r>
      <w:proofErr w:type="spellStart"/>
      <w:r w:rsidRPr="00433203">
        <w:rPr>
          <w:lang w:val="uk-UA"/>
        </w:rPr>
        <w:t>р</w:t>
      </w:r>
      <w:r w:rsidRPr="00433203">
        <w:rPr>
          <w:vertAlign w:val="subscript"/>
          <w:lang w:val="uk-UA"/>
        </w:rPr>
        <w:t>н</w:t>
      </w:r>
      <w:proofErr w:type="spellEnd"/>
      <w:r w:rsidRPr="00433203">
        <w:rPr>
          <w:lang w:val="uk-UA"/>
        </w:rPr>
        <w:t xml:space="preserve">   – </w:t>
      </w:r>
      <w:r>
        <w:rPr>
          <w:lang w:val="uk-UA"/>
        </w:rPr>
        <w:t>порівняння з показниками</w:t>
      </w:r>
      <w:r w:rsidRPr="00433203">
        <w:rPr>
          <w:lang w:val="uk-UA"/>
        </w:rPr>
        <w:t xml:space="preserve"> у ново</w:t>
      </w:r>
      <w:r>
        <w:rPr>
          <w:lang w:val="uk-UA"/>
        </w:rPr>
        <w:t>на</w:t>
      </w:r>
      <w:r w:rsidRPr="00433203">
        <w:rPr>
          <w:lang w:val="uk-UA"/>
        </w:rPr>
        <w:t>ро</w:t>
      </w:r>
      <w:r>
        <w:rPr>
          <w:lang w:val="uk-UA"/>
        </w:rPr>
        <w:t>джених щурят</w:t>
      </w:r>
      <w:r w:rsidRPr="00433203">
        <w:rPr>
          <w:lang w:val="uk-UA"/>
        </w:rPr>
        <w:t>.</w:t>
      </w:r>
    </w:p>
    <w:p w:rsidR="00892319" w:rsidRPr="00433203" w:rsidRDefault="00892319" w:rsidP="00892319">
      <w:pPr>
        <w:tabs>
          <w:tab w:val="left" w:pos="1440"/>
        </w:tabs>
        <w:ind w:left="1800" w:hanging="1800"/>
        <w:rPr>
          <w:lang w:val="uk-UA"/>
        </w:rPr>
      </w:pPr>
      <w:r w:rsidRPr="00433203">
        <w:rPr>
          <w:lang w:val="uk-UA"/>
        </w:rPr>
        <w:t xml:space="preserve">        </w:t>
      </w:r>
      <w:r>
        <w:rPr>
          <w:lang w:val="uk-UA"/>
        </w:rPr>
        <w:t xml:space="preserve">           3</w:t>
      </w:r>
      <w:r w:rsidRPr="00433203">
        <w:rPr>
          <w:lang w:val="uk-UA"/>
        </w:rPr>
        <w:t>. р</w:t>
      </w:r>
      <w:r w:rsidRPr="00433203">
        <w:rPr>
          <w:vertAlign w:val="subscript"/>
          <w:lang w:val="uk-UA"/>
        </w:rPr>
        <w:t>1</w:t>
      </w:r>
      <w:r w:rsidRPr="00433203">
        <w:rPr>
          <w:lang w:val="uk-UA"/>
        </w:rPr>
        <w:t xml:space="preserve">   – </w:t>
      </w:r>
      <w:r>
        <w:rPr>
          <w:lang w:val="uk-UA"/>
        </w:rPr>
        <w:t>порівняння з показниками</w:t>
      </w:r>
      <w:r w:rsidRPr="00433203">
        <w:rPr>
          <w:lang w:val="uk-UA"/>
        </w:rPr>
        <w:t xml:space="preserve"> у 1-м</w:t>
      </w:r>
      <w:r>
        <w:rPr>
          <w:lang w:val="uk-UA"/>
        </w:rPr>
        <w:t>і</w:t>
      </w:r>
      <w:r w:rsidRPr="00433203">
        <w:rPr>
          <w:lang w:val="uk-UA"/>
        </w:rPr>
        <w:t>сячн</w:t>
      </w:r>
      <w:r>
        <w:rPr>
          <w:lang w:val="uk-UA"/>
        </w:rPr>
        <w:t>и</w:t>
      </w:r>
      <w:r w:rsidRPr="00433203">
        <w:rPr>
          <w:lang w:val="uk-UA"/>
        </w:rPr>
        <w:t xml:space="preserve">х </w:t>
      </w:r>
      <w:r>
        <w:rPr>
          <w:lang w:val="uk-UA"/>
        </w:rPr>
        <w:t>щурят</w:t>
      </w:r>
      <w:r w:rsidRPr="00433203">
        <w:rPr>
          <w:lang w:val="uk-UA"/>
        </w:rPr>
        <w:t xml:space="preserve">.     </w:t>
      </w:r>
    </w:p>
    <w:p w:rsidR="00892319" w:rsidRPr="00433203" w:rsidRDefault="00892319" w:rsidP="00892319">
      <w:pPr>
        <w:tabs>
          <w:tab w:val="left" w:pos="1440"/>
        </w:tabs>
        <w:ind w:left="1800" w:hanging="1800"/>
        <w:rPr>
          <w:lang w:val="uk-UA"/>
        </w:rPr>
      </w:pPr>
      <w:r w:rsidRPr="00433203">
        <w:rPr>
          <w:lang w:val="uk-UA"/>
        </w:rPr>
        <w:t xml:space="preserve">        </w:t>
      </w:r>
      <w:r>
        <w:rPr>
          <w:lang w:val="uk-UA"/>
        </w:rPr>
        <w:t xml:space="preserve">           4</w:t>
      </w:r>
      <w:r w:rsidRPr="00433203">
        <w:rPr>
          <w:lang w:val="uk-UA"/>
        </w:rPr>
        <w:t xml:space="preserve">. </w:t>
      </w:r>
      <w:proofErr w:type="spellStart"/>
      <w:r w:rsidRPr="00433203">
        <w:rPr>
          <w:lang w:val="uk-UA"/>
        </w:rPr>
        <w:t>р</w:t>
      </w:r>
      <w:r>
        <w:rPr>
          <w:vertAlign w:val="subscript"/>
          <w:lang w:val="uk-UA"/>
        </w:rPr>
        <w:t>пз</w:t>
      </w:r>
      <w:proofErr w:type="spellEnd"/>
      <w:r w:rsidRPr="00433203">
        <w:rPr>
          <w:lang w:val="uk-UA"/>
        </w:rPr>
        <w:t xml:space="preserve"> – </w:t>
      </w:r>
      <w:r>
        <w:rPr>
          <w:lang w:val="uk-UA"/>
        </w:rPr>
        <w:t>порівняння з показниками</w:t>
      </w:r>
      <w:r w:rsidRPr="00433203">
        <w:rPr>
          <w:lang w:val="uk-UA"/>
        </w:rPr>
        <w:t xml:space="preserve"> в П</w:t>
      </w:r>
      <w:r>
        <w:rPr>
          <w:lang w:val="uk-UA"/>
        </w:rPr>
        <w:t>З</w:t>
      </w:r>
      <w:r w:rsidRPr="00433203">
        <w:rPr>
          <w:lang w:val="uk-UA"/>
        </w:rPr>
        <w:t xml:space="preserve">. </w:t>
      </w:r>
    </w:p>
    <w:p w:rsidR="00892319" w:rsidRDefault="00892319" w:rsidP="00892319">
      <w:pPr>
        <w:spacing w:line="360" w:lineRule="auto"/>
        <w:rPr>
          <w:color w:val="000000"/>
          <w:sz w:val="28"/>
          <w:szCs w:val="28"/>
          <w:lang w:val="uk-UA"/>
        </w:rPr>
      </w:pP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щурят. Якщо ступінь підвищення активності СОД така ж, як у останніх, то активність КАТ нижча на 21,3% (</w:t>
      </w:r>
      <w:proofErr w:type="spellStart"/>
      <w:r>
        <w:rPr>
          <w:sz w:val="28"/>
          <w:szCs w:val="28"/>
          <w:lang w:val="uk-UA"/>
        </w:rPr>
        <w:t>р</w:t>
      </w:r>
      <w:r w:rsidRPr="007D3F74">
        <w:rPr>
          <w:sz w:val="28"/>
          <w:szCs w:val="28"/>
          <w:vertAlign w:val="subscript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&lt;0,01) і складає 93,3% від нормативу. Співвідн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шення СОД/КАТ підвищене на 21, 4% (р&lt;0,01), що перевищує значення показн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 у новонароджених щурят на 22,1% (</w:t>
      </w:r>
      <w:proofErr w:type="spellStart"/>
      <w:r>
        <w:rPr>
          <w:sz w:val="28"/>
          <w:szCs w:val="28"/>
          <w:lang w:val="uk-UA"/>
        </w:rPr>
        <w:t>р</w:t>
      </w:r>
      <w:r w:rsidRPr="007D3F74">
        <w:rPr>
          <w:sz w:val="28"/>
          <w:szCs w:val="28"/>
          <w:vertAlign w:val="subscript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&lt;0,01). Такі показники ПОЛ і АОС сві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чать про те, що у 1-місячних щурят, як і у новонароджених в ПЗ має місце акт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вація процесів ПОЛ і підвищення антиоксидантного потенціалу, але на відміну </w:t>
      </w:r>
      <w:r w:rsidRPr="00040726">
        <w:rPr>
          <w:sz w:val="28"/>
          <w:szCs w:val="28"/>
          <w:lang w:val="uk-UA"/>
        </w:rPr>
        <w:t>від новонароджених тварин</w:t>
      </w:r>
      <w:r>
        <w:rPr>
          <w:sz w:val="28"/>
          <w:szCs w:val="28"/>
          <w:lang w:val="uk-UA"/>
        </w:rPr>
        <w:t>,</w:t>
      </w:r>
      <w:r w:rsidRPr="00040726">
        <w:rPr>
          <w:sz w:val="28"/>
          <w:szCs w:val="28"/>
          <w:lang w:val="uk-UA"/>
        </w:rPr>
        <w:t xml:space="preserve"> активність КАТ</w:t>
      </w:r>
      <w:r>
        <w:rPr>
          <w:sz w:val="28"/>
          <w:szCs w:val="28"/>
          <w:lang w:val="uk-UA"/>
        </w:rPr>
        <w:t xml:space="preserve"> знижена,</w:t>
      </w:r>
      <w:r w:rsidRPr="000407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тобто</w:t>
      </w:r>
      <w:r w:rsidRPr="00040726">
        <w:rPr>
          <w:sz w:val="28"/>
          <w:szCs w:val="28"/>
          <w:lang w:val="uk-UA"/>
        </w:rPr>
        <w:t xml:space="preserve"> відбувається накоп</w:t>
      </w:r>
      <w:r w:rsidRPr="00040726">
        <w:rPr>
          <w:sz w:val="28"/>
          <w:szCs w:val="28"/>
          <w:lang w:val="uk-UA"/>
        </w:rPr>
        <w:t>и</w:t>
      </w:r>
      <w:r w:rsidRPr="00040726">
        <w:rPr>
          <w:sz w:val="28"/>
          <w:szCs w:val="28"/>
          <w:lang w:val="uk-UA"/>
        </w:rPr>
        <w:t>чення токсичного Н</w:t>
      </w:r>
      <w:r w:rsidRPr="00040726">
        <w:rPr>
          <w:sz w:val="28"/>
          <w:szCs w:val="28"/>
          <w:vertAlign w:val="subscript"/>
          <w:lang w:val="uk-UA"/>
        </w:rPr>
        <w:t>2</w:t>
      </w:r>
      <w:r w:rsidRPr="00040726">
        <w:rPr>
          <w:sz w:val="28"/>
          <w:szCs w:val="28"/>
          <w:lang w:val="uk-UA"/>
        </w:rPr>
        <w:t>О</w:t>
      </w:r>
      <w:r w:rsidRPr="00040726">
        <w:rPr>
          <w:sz w:val="28"/>
          <w:szCs w:val="28"/>
          <w:vertAlign w:val="subscript"/>
          <w:lang w:val="uk-UA"/>
        </w:rPr>
        <w:t xml:space="preserve">2 </w:t>
      </w:r>
      <w:r w:rsidRPr="00040726">
        <w:rPr>
          <w:sz w:val="28"/>
          <w:szCs w:val="28"/>
          <w:lang w:val="uk-UA"/>
        </w:rPr>
        <w:t xml:space="preserve">, що, як відомо, </w:t>
      </w:r>
      <w:r>
        <w:rPr>
          <w:sz w:val="28"/>
          <w:szCs w:val="28"/>
          <w:lang w:val="uk-UA"/>
        </w:rPr>
        <w:t xml:space="preserve">є </w:t>
      </w:r>
      <w:r w:rsidRPr="00040726">
        <w:rPr>
          <w:sz w:val="28"/>
          <w:szCs w:val="28"/>
          <w:lang w:val="uk-UA"/>
        </w:rPr>
        <w:t>небезпечн</w:t>
      </w:r>
      <w:r>
        <w:rPr>
          <w:sz w:val="28"/>
          <w:szCs w:val="28"/>
          <w:lang w:val="uk-UA"/>
        </w:rPr>
        <w:t>им</w:t>
      </w:r>
      <w:r w:rsidRPr="00040726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ушкодження</w:t>
      </w:r>
      <w:r w:rsidRPr="00040726">
        <w:rPr>
          <w:sz w:val="28"/>
          <w:szCs w:val="28"/>
          <w:lang w:val="uk-UA"/>
        </w:rPr>
        <w:t xml:space="preserve"> </w:t>
      </w:r>
      <w:proofErr w:type="spellStart"/>
      <w:r w:rsidRPr="00040726">
        <w:rPr>
          <w:sz w:val="28"/>
          <w:szCs w:val="28"/>
          <w:lang w:val="uk-UA"/>
        </w:rPr>
        <w:t>біоме</w:t>
      </w:r>
      <w:r w:rsidRPr="00040726">
        <w:rPr>
          <w:sz w:val="28"/>
          <w:szCs w:val="28"/>
          <w:lang w:val="uk-UA"/>
        </w:rPr>
        <w:t>м</w:t>
      </w:r>
      <w:r w:rsidRPr="00040726">
        <w:rPr>
          <w:sz w:val="28"/>
          <w:szCs w:val="28"/>
          <w:lang w:val="uk-UA"/>
        </w:rPr>
        <w:t>бран</w:t>
      </w:r>
      <w:proofErr w:type="spellEnd"/>
      <w:r w:rsidRPr="00040726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16</w:t>
      </w:r>
      <w:r w:rsidRPr="00040726">
        <w:rPr>
          <w:sz w:val="28"/>
          <w:szCs w:val="28"/>
          <w:lang w:val="uk-UA"/>
        </w:rPr>
        <w:t xml:space="preserve">]. </w:t>
      </w:r>
    </w:p>
    <w:p w:rsidR="00892319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сироватці крові 1-місячних щурят всі показники ПОЛ і АОС суттєво 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різняються від таких у тканині ПЗ (див. табл.). Встановлене збільшення рівня </w:t>
      </w:r>
      <w:r>
        <w:rPr>
          <w:sz w:val="28"/>
          <w:szCs w:val="28"/>
          <w:lang w:val="uk-UA"/>
        </w:rPr>
        <w:lastRenderedPageBreak/>
        <w:t>ДК і МДА (на 36,6% і 41,3% (р&lt;0,01) відповідно) що в 1,3 (р&lt;0,01) і 1,5 (р&lt;0,01) разів перевищує їх значення в тканині ПЗ. Це підтверджується зниженням рівня пока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ників співвідношення вмі</w:t>
      </w:r>
      <w:r w:rsidRPr="00170EE6">
        <w:rPr>
          <w:sz w:val="28"/>
          <w:szCs w:val="28"/>
          <w:lang w:val="uk-UA"/>
        </w:rPr>
        <w:t xml:space="preserve">сту ДК і МДА в </w:t>
      </w:r>
      <w:r>
        <w:rPr>
          <w:sz w:val="28"/>
          <w:szCs w:val="28"/>
          <w:lang w:val="uk-UA"/>
        </w:rPr>
        <w:t xml:space="preserve">тканині </w:t>
      </w:r>
      <w:r w:rsidRPr="00170EE6">
        <w:rPr>
          <w:sz w:val="28"/>
          <w:szCs w:val="28"/>
          <w:lang w:val="uk-UA"/>
        </w:rPr>
        <w:t>ПЗ і сироватці крові (</w:t>
      </w:r>
      <w:proofErr w:type="spellStart"/>
      <w:r w:rsidRPr="00170EE6">
        <w:rPr>
          <w:sz w:val="28"/>
          <w:szCs w:val="28"/>
          <w:lang w:val="uk-UA"/>
        </w:rPr>
        <w:t>ДК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 w:rsidRPr="00170EE6">
        <w:rPr>
          <w:sz w:val="28"/>
          <w:szCs w:val="28"/>
          <w:lang w:val="uk-UA"/>
        </w:rPr>
        <w:t xml:space="preserve"> і </w:t>
      </w:r>
      <w:proofErr w:type="spellStart"/>
      <w:r w:rsidRPr="00170EE6">
        <w:rPr>
          <w:sz w:val="28"/>
          <w:szCs w:val="28"/>
          <w:lang w:val="uk-UA"/>
        </w:rPr>
        <w:t>МДА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 w:rsidRPr="00170EE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відповідно на 27,23% (р&lt;0,01) і 34,9% (р&lt;0,01) в порівнянні із нормати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ними значеннями. За показником співвідношення ДК/МДА ступінь збільшення первинних і вторинних продуктів ПОЛ в сироватці крові однаковий. Активність СОД і КАТ в порівнянні із нормативом збільшені відповідно на 29,5% (р&lt;0,01) і 12,8% (р&lt;0,01), що перевищує рівень їх активності у ПЗ на 17% (р&lt;0,01) і 19,5% (р&lt;0,01). Відповідно показники співвідношення цих речовин в ПЗ і сироватці кр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ві достовірно (р&lt;0,01) знижені: </w:t>
      </w:r>
      <w:proofErr w:type="spellStart"/>
      <w:r>
        <w:rPr>
          <w:sz w:val="28"/>
          <w:szCs w:val="28"/>
          <w:lang w:val="uk-UA"/>
        </w:rPr>
        <w:t>СОД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 w:rsidRPr="00170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12,7% і </w:t>
      </w:r>
      <w:proofErr w:type="spellStart"/>
      <w:r>
        <w:rPr>
          <w:sz w:val="28"/>
          <w:szCs w:val="28"/>
          <w:lang w:val="uk-UA"/>
        </w:rPr>
        <w:t>КАТ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>
        <w:rPr>
          <w:sz w:val="28"/>
          <w:szCs w:val="28"/>
          <w:lang w:val="uk-UA"/>
        </w:rPr>
        <w:t xml:space="preserve"> на 17,2%. Збільшення показника співвідношення СОД/КАТ (на 14,3%, р&lt;0,01) свідчить, що в сироватці крові, як і в тканині ПЗ, має місце невідповідність низької активності КАТ рівню активності СОД</w:t>
      </w:r>
      <w:r w:rsidRPr="009138C4">
        <w:rPr>
          <w:sz w:val="28"/>
          <w:szCs w:val="28"/>
          <w:lang w:val="uk-UA"/>
        </w:rPr>
        <w:t xml:space="preserve">, яка спричиняє накопичення токсичного для клітин </w:t>
      </w:r>
      <w:r w:rsidRPr="008D7F5A">
        <w:rPr>
          <w:sz w:val="28"/>
          <w:szCs w:val="28"/>
          <w:lang w:val="uk-UA"/>
        </w:rPr>
        <w:t>Н</w:t>
      </w:r>
      <w:r w:rsidRPr="008D7F5A">
        <w:rPr>
          <w:sz w:val="28"/>
          <w:szCs w:val="28"/>
          <w:vertAlign w:val="subscript"/>
          <w:lang w:val="uk-UA"/>
        </w:rPr>
        <w:t>2</w:t>
      </w:r>
      <w:r w:rsidRPr="008D7F5A">
        <w:rPr>
          <w:sz w:val="28"/>
          <w:szCs w:val="28"/>
          <w:lang w:val="uk-UA"/>
        </w:rPr>
        <w:t>О</w:t>
      </w:r>
      <w:r w:rsidRPr="008D7F5A">
        <w:rPr>
          <w:sz w:val="28"/>
          <w:szCs w:val="28"/>
          <w:vertAlign w:val="subscript"/>
          <w:lang w:val="uk-UA"/>
        </w:rPr>
        <w:t>2</w:t>
      </w:r>
      <w:r w:rsidRPr="009138C4">
        <w:rPr>
          <w:sz w:val="28"/>
          <w:szCs w:val="28"/>
          <w:lang w:val="uk-UA"/>
        </w:rPr>
        <w:t xml:space="preserve">. </w:t>
      </w:r>
    </w:p>
    <w:p w:rsidR="00892319" w:rsidRPr="009138C4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у 1-місячних щурят, що перенесли хронічний </w:t>
      </w:r>
      <w:proofErr w:type="spellStart"/>
      <w:r>
        <w:rPr>
          <w:sz w:val="28"/>
          <w:szCs w:val="28"/>
          <w:lang w:val="uk-UA"/>
        </w:rPr>
        <w:t>гестаційний</w:t>
      </w:r>
      <w:proofErr w:type="spellEnd"/>
      <w:r>
        <w:rPr>
          <w:sz w:val="28"/>
          <w:szCs w:val="28"/>
          <w:lang w:val="uk-UA"/>
        </w:rPr>
        <w:t xml:space="preserve"> стрес, спостерігається активація </w:t>
      </w:r>
      <w:proofErr w:type="spellStart"/>
      <w:r>
        <w:rPr>
          <w:sz w:val="28"/>
          <w:szCs w:val="28"/>
          <w:lang w:val="uk-UA"/>
        </w:rPr>
        <w:t>вільнорадикальних</w:t>
      </w:r>
      <w:proofErr w:type="spellEnd"/>
      <w:r>
        <w:rPr>
          <w:sz w:val="28"/>
          <w:szCs w:val="28"/>
          <w:lang w:val="uk-UA"/>
        </w:rPr>
        <w:t xml:space="preserve"> процесів, які є загальною ланкою </w:t>
      </w:r>
      <w:proofErr w:type="spellStart"/>
      <w:r>
        <w:rPr>
          <w:sz w:val="28"/>
          <w:szCs w:val="28"/>
          <w:lang w:val="uk-UA"/>
        </w:rPr>
        <w:t>стресорного</w:t>
      </w:r>
      <w:proofErr w:type="spellEnd"/>
      <w:r>
        <w:rPr>
          <w:sz w:val="28"/>
          <w:szCs w:val="28"/>
          <w:lang w:val="uk-UA"/>
        </w:rPr>
        <w:t xml:space="preserve"> ураження організму та спр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чиняють напруження АОС. Це є проявом стадії резистентності загального адаптаційного синдрому. Проте неві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повідність рівня активації АОС більш високому ступеню активації ПОЛ може свідчити про наявність початкових ознак розвитку стадії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 xml:space="preserve"> (виснаже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ня), що характеризується порушенням структури і функцій біологічних мембран. Показники АОГ у тканині ПЗ також свідчать про наявність у тварин проявів стр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су у вигляді загального адаптаційного синдрому в стадії резистентності, а нетот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жність змін показників ПОЛ-АОС таким в сироватці крові є проявом </w:t>
      </w:r>
      <w:proofErr w:type="spellStart"/>
      <w:r>
        <w:rPr>
          <w:sz w:val="28"/>
          <w:szCs w:val="28"/>
          <w:lang w:val="uk-UA"/>
        </w:rPr>
        <w:t>органосп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цифічних</w:t>
      </w:r>
      <w:proofErr w:type="spellEnd"/>
      <w:r>
        <w:rPr>
          <w:sz w:val="28"/>
          <w:szCs w:val="28"/>
          <w:lang w:val="uk-UA"/>
        </w:rPr>
        <w:t xml:space="preserve"> особливостей зміни ОАГ в ПЗ при </w:t>
      </w:r>
      <w:proofErr w:type="spellStart"/>
      <w:r>
        <w:rPr>
          <w:sz w:val="28"/>
          <w:szCs w:val="28"/>
          <w:lang w:val="uk-UA"/>
        </w:rPr>
        <w:t>стресорному</w:t>
      </w:r>
      <w:proofErr w:type="spellEnd"/>
      <w:r>
        <w:rPr>
          <w:sz w:val="28"/>
          <w:szCs w:val="28"/>
          <w:lang w:val="uk-UA"/>
        </w:rPr>
        <w:t xml:space="preserve"> ураженні організму тварин.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 w:rsidRPr="00652557">
        <w:rPr>
          <w:color w:val="000000"/>
          <w:sz w:val="28"/>
          <w:szCs w:val="28"/>
          <w:lang w:val="uk-UA"/>
        </w:rPr>
        <w:tab/>
        <w:t>У</w:t>
      </w:r>
      <w:r>
        <w:rPr>
          <w:sz w:val="28"/>
          <w:szCs w:val="28"/>
          <w:lang w:val="uk-UA"/>
        </w:rPr>
        <w:t xml:space="preserve"> 2-місячних щурят показники активності ПОЛ у тканині ПЗ </w:t>
      </w:r>
      <w:proofErr w:type="spellStart"/>
      <w:r>
        <w:rPr>
          <w:sz w:val="28"/>
          <w:szCs w:val="28"/>
          <w:lang w:val="uk-UA"/>
        </w:rPr>
        <w:t>до-стовірно</w:t>
      </w:r>
      <w:proofErr w:type="spellEnd"/>
      <w:r>
        <w:rPr>
          <w:sz w:val="28"/>
          <w:szCs w:val="28"/>
          <w:lang w:val="uk-UA"/>
        </w:rPr>
        <w:t xml:space="preserve"> нижчі за нормативні (рівень ДК знижений на 6,1%, МДА – на 24,6%) і показники у 1-місячних тварин (на 7,9% і 18,5% (р&lt;0,01) відповідно ДК і МДА), але вищі, ніж у новонароджених (ДК і МДА на 9,9% (р&lt;0,01) і 0,6% (р&gt;0,05) відповідно). Збільшення співвідношення ДК/МДА (на 30,1%, р&lt;0,01) відбиває переважання 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лькості первинних продуктів ПОЛ над вторинними. Показники активності АОС, як і в 1-місячних щурят, мають різноспрямовані зміни: активність СОД знижена на 7,4% (р&lt;0,01), активність КАТ підвищена на 5,1% (р&lt;0,01). Це обумовлює зниження співвідношення СОД/КАТ на 10,4% (р&lt;0,01). Такі зміни показників відбивають зменшення інтенсивності ПОЛ, але, зважаючи на підвищення антиоксидантної активності, сві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чать про збереження розпочатого в пренатальному періоді розвитку щурят процесу ПОЛ, який є однією з ланок патогенезу ушкодження кл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тинних мембран в умовах реалізації відповідної реакції організму на стрес. В 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лому, як і у новонароджених та 1-місячних тварин, ОАГ в ПЗ 2-місячних щурят маніфестує наявність стадії резистентності стрес-індукованого загального адапт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ційного синдрому.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сироватці крові 2-місячних щурят всі показники ПОЛ і АОС достовірно відрізняються як від нормативних значень, так і від їх рівня у 1-місячних щурят (див. табл.). Відзначається значне підвищення активності ПОЛ: рівень ДК більш, </w:t>
      </w:r>
      <w:r>
        <w:rPr>
          <w:sz w:val="28"/>
          <w:szCs w:val="28"/>
          <w:lang w:val="uk-UA"/>
        </w:rPr>
        <w:lastRenderedPageBreak/>
        <w:t>ніж у 2 рази (р&lt;0,01), перевищує норматив і на 82,7% (р&lt;0,01) більший за цей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казник у 1-місячних щурят; рівень МДА в 3 рази перевищує нормальні значення і більш, ніж у 2 рази (р&lt;0,01), значення у 1-місячних щурят. Співвідношення СОД/КАТ знижене на 27,9% (р&lt;0,01), що на 22,8% (р&lt;0,01) менше в порівнянні із показником у 1-місячних щурят. Це маніфестує перева</w:t>
      </w:r>
      <w:r w:rsidRPr="00B35249">
        <w:rPr>
          <w:sz w:val="28"/>
          <w:szCs w:val="28"/>
          <w:lang w:val="uk-UA"/>
        </w:rPr>
        <w:t>жне накопичення втори</w:t>
      </w:r>
      <w:r w:rsidRPr="00B35249">
        <w:rPr>
          <w:sz w:val="28"/>
          <w:szCs w:val="28"/>
          <w:lang w:val="uk-UA"/>
        </w:rPr>
        <w:t>н</w:t>
      </w:r>
      <w:r w:rsidRPr="00B35249">
        <w:rPr>
          <w:sz w:val="28"/>
          <w:szCs w:val="28"/>
          <w:lang w:val="uk-UA"/>
        </w:rPr>
        <w:t xml:space="preserve">них продуктів ПОЛ, тобто високий ступінь </w:t>
      </w:r>
      <w:r w:rsidRPr="00644C9C">
        <w:rPr>
          <w:sz w:val="28"/>
          <w:szCs w:val="28"/>
          <w:lang w:val="uk-UA"/>
        </w:rPr>
        <w:t>ендогенної інтоксикації внаслідок а</w:t>
      </w:r>
      <w:r w:rsidRPr="00644C9C">
        <w:rPr>
          <w:sz w:val="28"/>
          <w:szCs w:val="28"/>
          <w:lang w:val="uk-UA"/>
        </w:rPr>
        <w:t>к</w:t>
      </w:r>
      <w:r w:rsidRPr="00644C9C">
        <w:rPr>
          <w:sz w:val="28"/>
          <w:szCs w:val="28"/>
          <w:lang w:val="uk-UA"/>
        </w:rPr>
        <w:t>тивації ПОЛ [</w:t>
      </w:r>
      <w:r>
        <w:rPr>
          <w:sz w:val="28"/>
          <w:szCs w:val="28"/>
          <w:lang w:val="uk-UA"/>
        </w:rPr>
        <w:t>Д</w:t>
      </w:r>
      <w:r w:rsidRPr="00644C9C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Порівняння показників ПОЛ у 2-місячних щурят в сироватці крові і тканині ПЗ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явило суттєві відміни, які полягають в значно більшому рівні ДК і МДА в сироватці крові (в 2,3 і 4 рази відповідно) (див. табл.). Тому співві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ношення цих показників в ПЗ і сироватці крові значно менше за норматив (</w:t>
      </w:r>
      <w:proofErr w:type="spellStart"/>
      <w:r w:rsidRPr="00170EE6">
        <w:rPr>
          <w:sz w:val="28"/>
          <w:szCs w:val="28"/>
          <w:lang w:val="uk-UA"/>
        </w:rPr>
        <w:t>ДК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 w:rsidRPr="00170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56,5%, р&lt;0,01 і </w:t>
      </w:r>
      <w:proofErr w:type="spellStart"/>
      <w:r w:rsidRPr="00170EE6">
        <w:rPr>
          <w:sz w:val="28"/>
          <w:szCs w:val="28"/>
          <w:lang w:val="uk-UA"/>
        </w:rPr>
        <w:t>МДА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>
        <w:rPr>
          <w:sz w:val="28"/>
          <w:szCs w:val="28"/>
          <w:lang w:val="uk-UA"/>
        </w:rPr>
        <w:t xml:space="preserve"> на 74,7%, р&lt;0,01).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порівнянні з нормативними значеннями активність показників АОС в 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роватці крові у 2-місячніх щурят, як і у 1-місячних, підвищена: активність СОД збільшена на 17,8% (р&lt;0,01), активність КАТ – на 30,7% (р&lt;0,01). Але порівняння із значеннями цих показників у 1-мі-сячніх щурят виявило відміни виразності їх відхилення від нормативу, отже і характеру їх співвідношення: активність СОД менша на 11,7% (р&lt;0,01), активність КАТ більша на 17,9% (р&lt;0,01), а співвідн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шення СОД/КАТ менше на 23,9% (р&lt;0,01), що свідчить про достатню акти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ність КАТ для попередження накопичення </w:t>
      </w:r>
      <w:r w:rsidRPr="00BF5449">
        <w:rPr>
          <w:sz w:val="28"/>
          <w:szCs w:val="28"/>
          <w:lang w:val="uk-UA"/>
        </w:rPr>
        <w:t xml:space="preserve">токсичного </w:t>
      </w:r>
      <w:r>
        <w:rPr>
          <w:sz w:val="28"/>
          <w:szCs w:val="28"/>
          <w:lang w:val="uk-UA"/>
        </w:rPr>
        <w:t xml:space="preserve">для клітин </w:t>
      </w:r>
      <w:r w:rsidRPr="008D7F5A">
        <w:rPr>
          <w:sz w:val="28"/>
          <w:szCs w:val="28"/>
          <w:lang w:val="uk-UA"/>
        </w:rPr>
        <w:t>Н</w:t>
      </w:r>
      <w:r w:rsidRPr="008D7F5A">
        <w:rPr>
          <w:sz w:val="28"/>
          <w:szCs w:val="28"/>
          <w:vertAlign w:val="subscript"/>
          <w:lang w:val="uk-UA"/>
        </w:rPr>
        <w:t>2</w:t>
      </w:r>
      <w:r w:rsidRPr="008D7F5A">
        <w:rPr>
          <w:sz w:val="28"/>
          <w:szCs w:val="28"/>
          <w:lang w:val="uk-UA"/>
        </w:rPr>
        <w:t>О</w:t>
      </w:r>
      <w:r w:rsidRPr="008D7F5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. Порівнянні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казників АОС в тканині ПЗ і сироватці крови показало достовірно більшу акти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ність СОД і КАТ в сироватці крові (на 25,2% і 25,8% (р&lt;0,01) відповідно), що обумовило зниження показника </w:t>
      </w:r>
      <w:proofErr w:type="spellStart"/>
      <w:r>
        <w:rPr>
          <w:sz w:val="28"/>
          <w:szCs w:val="28"/>
          <w:lang w:val="uk-UA"/>
        </w:rPr>
        <w:t>СОД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>
        <w:rPr>
          <w:sz w:val="28"/>
          <w:szCs w:val="28"/>
          <w:lang w:val="uk-UA"/>
        </w:rPr>
        <w:t xml:space="preserve"> на 19,9% (р&lt;0,01) і </w:t>
      </w:r>
      <w:proofErr w:type="spellStart"/>
      <w:r>
        <w:rPr>
          <w:sz w:val="28"/>
          <w:szCs w:val="28"/>
          <w:lang w:val="uk-UA"/>
        </w:rPr>
        <w:t>КАТ</w:t>
      </w:r>
      <w:r w:rsidRPr="00170EE6">
        <w:rPr>
          <w:sz w:val="28"/>
          <w:szCs w:val="28"/>
          <w:vertAlign w:val="subscript"/>
          <w:lang w:val="uk-UA"/>
        </w:rPr>
        <w:t>пз</w:t>
      </w:r>
      <w:proofErr w:type="spellEnd"/>
      <w:r w:rsidRPr="00170EE6">
        <w:rPr>
          <w:sz w:val="28"/>
          <w:szCs w:val="28"/>
          <w:vertAlign w:val="subscript"/>
          <w:lang w:val="uk-UA"/>
        </w:rPr>
        <w:t>/с</w:t>
      </w:r>
      <w:r>
        <w:rPr>
          <w:sz w:val="28"/>
          <w:szCs w:val="28"/>
          <w:lang w:val="uk-UA"/>
        </w:rPr>
        <w:t xml:space="preserve"> на 18,2% (р&lt;0,01).  </w:t>
      </w:r>
    </w:p>
    <w:p w:rsidR="00892319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 рівень показників ПОЛ-АОС в сироватці крові і тканині ПЗ дає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дстави вважати, що реалізація відповідної реакції організму на пренатальний стрес привела до розвитку стадії резистентності загального адаптаційного син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рому. Разом з цим, можна зазначити наявність незбалансованості між інтенсивні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тю генерації продуктів ПОЛ і активністю АОС організму, що є передумовою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ретворення стрес-реакції із ланки адаптації в ланку патогенезу з розвитком стану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>. Суттєва різниця зміни рівня показників ОАГ в сироватці крові і тк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нині ПЗ маніфестує наявність </w:t>
      </w:r>
      <w:proofErr w:type="spellStart"/>
      <w:r>
        <w:rPr>
          <w:sz w:val="28"/>
          <w:szCs w:val="28"/>
          <w:lang w:val="uk-UA"/>
        </w:rPr>
        <w:t>органоспецифічних</w:t>
      </w:r>
      <w:proofErr w:type="spellEnd"/>
      <w:r>
        <w:rPr>
          <w:sz w:val="28"/>
          <w:szCs w:val="28"/>
          <w:lang w:val="uk-UA"/>
        </w:rPr>
        <w:t xml:space="preserve"> стрес-індукованих особливо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тей ОАГ в ПЗ, які можуть бути важливою ланкою патогенезу її ураження внаслідок перенесеного хронічного прен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тального стресу.</w:t>
      </w:r>
    </w:p>
    <w:p w:rsidR="00892319" w:rsidRPr="00FF06C3" w:rsidRDefault="00892319" w:rsidP="00892319">
      <w:pPr>
        <w:rPr>
          <w:b/>
          <w:sz w:val="28"/>
          <w:szCs w:val="28"/>
          <w:lang w:val="uk-UA"/>
        </w:rPr>
      </w:pPr>
      <w:r w:rsidRPr="00FF06C3">
        <w:rPr>
          <w:b/>
          <w:sz w:val="28"/>
          <w:szCs w:val="28"/>
          <w:lang w:val="uk-UA"/>
        </w:rPr>
        <w:tab/>
        <w:t>Висновки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Хронічний </w:t>
      </w:r>
      <w:proofErr w:type="spellStart"/>
      <w:r>
        <w:rPr>
          <w:sz w:val="28"/>
          <w:szCs w:val="28"/>
          <w:lang w:val="uk-UA"/>
        </w:rPr>
        <w:t>іммобілізаційний</w:t>
      </w:r>
      <w:proofErr w:type="spellEnd"/>
      <w:r>
        <w:rPr>
          <w:sz w:val="28"/>
          <w:szCs w:val="28"/>
          <w:lang w:val="uk-UA"/>
        </w:rPr>
        <w:t xml:space="preserve"> стрес вагітних щурів спричиняє розвиток порушень ОАГ у сироватці крові і тканині ПЗ їх новонародженого, 1-місячного і 2-місячного потом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тва.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 щурят всіх вікових груп має місце підвищення активності ПОЛ, яке доцільно розцінювати як прояв стрес-індукованого загального адаптаційного син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рому, що характеризується порушенням стрес-реактивності нейроендокринної 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стеми і порушеннями обміну речовин як в </w:t>
      </w:r>
      <w:proofErr w:type="spellStart"/>
      <w:r>
        <w:rPr>
          <w:sz w:val="28"/>
          <w:szCs w:val="28"/>
          <w:lang w:val="uk-UA"/>
        </w:rPr>
        <w:t>пре-</w:t>
      </w:r>
      <w:proofErr w:type="spellEnd"/>
      <w:r>
        <w:rPr>
          <w:sz w:val="28"/>
          <w:szCs w:val="28"/>
          <w:lang w:val="uk-UA"/>
        </w:rPr>
        <w:t>, так і в постнатальному періоді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звитку.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Підвищення антиоксидантного потенціалу є адаптивною (</w:t>
      </w:r>
      <w:proofErr w:type="spellStart"/>
      <w:r>
        <w:rPr>
          <w:sz w:val="28"/>
          <w:szCs w:val="28"/>
          <w:lang w:val="uk-UA"/>
        </w:rPr>
        <w:t>стрес-лімітую-чою</w:t>
      </w:r>
      <w:proofErr w:type="spellEnd"/>
      <w:r>
        <w:rPr>
          <w:sz w:val="28"/>
          <w:szCs w:val="28"/>
          <w:lang w:val="uk-UA"/>
        </w:rPr>
        <w:t xml:space="preserve">) реакцією, що зменшує ступінь </w:t>
      </w:r>
      <w:proofErr w:type="spellStart"/>
      <w:r>
        <w:rPr>
          <w:sz w:val="28"/>
          <w:szCs w:val="28"/>
          <w:lang w:val="uk-UA"/>
        </w:rPr>
        <w:t>оксидативного</w:t>
      </w:r>
      <w:proofErr w:type="spellEnd"/>
      <w:r>
        <w:rPr>
          <w:sz w:val="28"/>
          <w:szCs w:val="28"/>
          <w:lang w:val="uk-UA"/>
        </w:rPr>
        <w:t xml:space="preserve"> стресу і перешкоджає </w:t>
      </w:r>
      <w:r>
        <w:rPr>
          <w:sz w:val="28"/>
          <w:szCs w:val="28"/>
          <w:lang w:val="uk-UA"/>
        </w:rPr>
        <w:lastRenderedPageBreak/>
        <w:t>прогр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суванню ушкодження клітинних мембран. Рівень показників ПОЛ-АОС в ПЗ і 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роватці крові відповідає обміну речовин, притаманному стадії резистентності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гального адаптаційного синдрому. Проте невідповідність рівня активації АОС більш високому ступеню активації ПОЛ в сироватці крові може свідчити про на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вність початкових ознак розвитку стадії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 xml:space="preserve"> (виснаження), що характер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зується порушенням структури і функцій біологічних мембран.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Рівень показників ПОЛ-АОС суттєво перевищує такий в тканині ПЗ </w:t>
      </w: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но-</w:t>
      </w:r>
      <w:proofErr w:type="spellEnd"/>
      <w:r>
        <w:rPr>
          <w:sz w:val="28"/>
          <w:szCs w:val="28"/>
          <w:lang w:val="uk-UA"/>
        </w:rPr>
        <w:t xml:space="preserve"> і двомісячних щурят. Це свідчить, по-перше, про те, що вплив хронічного стресу на організм проявляється розвитком загал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ного адаптаційного синдрому, і, по-друге, про наявність </w:t>
      </w:r>
      <w:proofErr w:type="spellStart"/>
      <w:r>
        <w:rPr>
          <w:sz w:val="28"/>
          <w:szCs w:val="28"/>
          <w:lang w:val="uk-UA"/>
        </w:rPr>
        <w:t>органоспец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фічних</w:t>
      </w:r>
      <w:proofErr w:type="spellEnd"/>
      <w:r>
        <w:rPr>
          <w:sz w:val="28"/>
          <w:szCs w:val="28"/>
          <w:lang w:val="uk-UA"/>
        </w:rPr>
        <w:t xml:space="preserve"> стрес-індукованих особливостей ОАГ в ПЗ. В такій ситуації визначення стану ОАГ в ПЗ за показниками сироватки крові може привести до помилкових висновків.</w:t>
      </w:r>
    </w:p>
    <w:p w:rsidR="00892319" w:rsidRDefault="00892319" w:rsidP="008923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Стрес-індуковані порушення ОАГ, спричиняючи </w:t>
      </w:r>
      <w:r w:rsidRPr="00BD79B2">
        <w:rPr>
          <w:sz w:val="28"/>
          <w:szCs w:val="28"/>
          <w:lang w:val="uk-UA"/>
        </w:rPr>
        <w:t>ушкодже</w:t>
      </w:r>
      <w:r w:rsidRPr="00BD79B2">
        <w:rPr>
          <w:sz w:val="28"/>
          <w:szCs w:val="28"/>
          <w:lang w:val="uk-UA"/>
        </w:rPr>
        <w:t>н</w:t>
      </w:r>
      <w:r w:rsidRPr="00BD79B2">
        <w:rPr>
          <w:sz w:val="28"/>
          <w:szCs w:val="28"/>
          <w:lang w:val="uk-UA"/>
        </w:rPr>
        <w:t>ня клітинних мембран і внутрішньоклітинних структур, мож</w:t>
      </w:r>
      <w:r>
        <w:rPr>
          <w:sz w:val="28"/>
          <w:szCs w:val="28"/>
          <w:lang w:val="uk-UA"/>
        </w:rPr>
        <w:t>уть</w:t>
      </w:r>
      <w:r w:rsidRPr="00BD79B2">
        <w:rPr>
          <w:sz w:val="28"/>
          <w:szCs w:val="28"/>
          <w:lang w:val="uk-UA"/>
        </w:rPr>
        <w:t xml:space="preserve"> бути о</w:t>
      </w:r>
      <w:r w:rsidRPr="00BD79B2">
        <w:rPr>
          <w:sz w:val="28"/>
          <w:szCs w:val="28"/>
          <w:lang w:val="uk-UA"/>
        </w:rPr>
        <w:t>д</w:t>
      </w:r>
      <w:r w:rsidRPr="00BD79B2">
        <w:rPr>
          <w:sz w:val="28"/>
          <w:szCs w:val="28"/>
          <w:lang w:val="uk-UA"/>
        </w:rPr>
        <w:t>нією із важливих ланок патогенезу пренатального ушкодження ПЗ, потенційно небезпечного щодо розв</w:t>
      </w:r>
      <w:r w:rsidRPr="00BD79B2">
        <w:rPr>
          <w:sz w:val="28"/>
          <w:szCs w:val="28"/>
          <w:lang w:val="uk-UA"/>
        </w:rPr>
        <w:t>и</w:t>
      </w:r>
      <w:r w:rsidRPr="00BD79B2">
        <w:rPr>
          <w:sz w:val="28"/>
          <w:szCs w:val="28"/>
          <w:lang w:val="uk-UA"/>
        </w:rPr>
        <w:t>тку в постнатальному періоді</w:t>
      </w:r>
      <w:r>
        <w:rPr>
          <w:sz w:val="28"/>
          <w:szCs w:val="28"/>
          <w:lang w:val="uk-UA"/>
        </w:rPr>
        <w:t xml:space="preserve"> як </w:t>
      </w:r>
      <w:r w:rsidRPr="00BD79B2">
        <w:rPr>
          <w:sz w:val="28"/>
          <w:szCs w:val="28"/>
          <w:lang w:val="uk-UA"/>
        </w:rPr>
        <w:t xml:space="preserve"> її функціональних розладів, </w:t>
      </w:r>
      <w:r>
        <w:rPr>
          <w:sz w:val="28"/>
          <w:szCs w:val="28"/>
          <w:lang w:val="uk-UA"/>
        </w:rPr>
        <w:t xml:space="preserve">так і </w:t>
      </w:r>
      <w:r w:rsidRPr="00BD79B2">
        <w:rPr>
          <w:sz w:val="28"/>
          <w:szCs w:val="28"/>
          <w:lang w:val="uk-UA"/>
        </w:rPr>
        <w:t>органічної п</w:t>
      </w:r>
      <w:r w:rsidRPr="00BD79B2">
        <w:rPr>
          <w:sz w:val="28"/>
          <w:szCs w:val="28"/>
          <w:lang w:val="uk-UA"/>
        </w:rPr>
        <w:t>а</w:t>
      </w:r>
      <w:r w:rsidRPr="00BD79B2">
        <w:rPr>
          <w:sz w:val="28"/>
          <w:szCs w:val="28"/>
          <w:lang w:val="uk-UA"/>
        </w:rPr>
        <w:t>тології.</w:t>
      </w:r>
    </w:p>
    <w:p w:rsidR="00892319" w:rsidRPr="009371B6" w:rsidRDefault="00892319" w:rsidP="00892319">
      <w:pPr>
        <w:ind w:firstLine="708"/>
        <w:rPr>
          <w:b/>
          <w:color w:val="000000"/>
          <w:sz w:val="28"/>
          <w:szCs w:val="28"/>
          <w:lang w:val="uk-UA"/>
        </w:rPr>
      </w:pPr>
      <w:r w:rsidRPr="009371B6">
        <w:rPr>
          <w:b/>
          <w:color w:val="000000"/>
          <w:sz w:val="28"/>
          <w:szCs w:val="28"/>
          <w:lang w:val="uk-UA"/>
        </w:rPr>
        <w:t>Перспективи подальших досліджень</w:t>
      </w:r>
    </w:p>
    <w:p w:rsidR="00892319" w:rsidRDefault="00892319" w:rsidP="0089231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Перспективність подальших наукових досліджень з даної проблеми обум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влена недостатньою вивченістю широкого кола питань, що стосуються патогенезу ураження ПЗ у потомства щурів, які в період вагітності перенесли вплив хроні</w:t>
      </w:r>
      <w:r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  <w:lang w:val="uk-UA"/>
        </w:rPr>
        <w:t xml:space="preserve">ного </w:t>
      </w:r>
      <w:proofErr w:type="spellStart"/>
      <w:r>
        <w:rPr>
          <w:color w:val="000000"/>
          <w:sz w:val="28"/>
          <w:szCs w:val="28"/>
          <w:lang w:val="uk-UA"/>
        </w:rPr>
        <w:t>іммобілізаційного</w:t>
      </w:r>
      <w:proofErr w:type="spellEnd"/>
      <w:r>
        <w:rPr>
          <w:color w:val="000000"/>
          <w:sz w:val="28"/>
          <w:szCs w:val="28"/>
          <w:lang w:val="uk-UA"/>
        </w:rPr>
        <w:t xml:space="preserve"> стресу, значущості пренатальних змін в ПЗ щодо можл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вої загрози розвитку її хронічної патології в зрілому віці. З</w:t>
      </w:r>
      <w:r w:rsidRPr="008D7F5A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ясування цих питань за допомогою експериментальних досліджень має важливе значення для погли</w:t>
      </w:r>
      <w:r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лення знань щодо механізмів ушкодження ПЗ при впливі стресу на дітей і дорослих, а значить і вдосконалення методів його профілакт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ки і лікування хворих.</w:t>
      </w:r>
    </w:p>
    <w:p w:rsidR="00892319" w:rsidRPr="00853148" w:rsidRDefault="00892319" w:rsidP="00892319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853148">
        <w:rPr>
          <w:b/>
          <w:color w:val="000000"/>
          <w:sz w:val="28"/>
          <w:szCs w:val="28"/>
          <w:lang w:val="uk-UA"/>
        </w:rPr>
        <w:t>Список літератури</w:t>
      </w:r>
    </w:p>
    <w:p w:rsidR="00892319" w:rsidRPr="00877310" w:rsidRDefault="00892319" w:rsidP="00892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877310">
        <w:rPr>
          <w:sz w:val="28"/>
          <w:szCs w:val="28"/>
        </w:rPr>
        <w:t>Тонкова-Ямпольская Р.В. Состояние здоровья детей с учетом факторов ант</w:t>
      </w:r>
      <w:proofErr w:type="gramStart"/>
      <w:r w:rsidRPr="00877310">
        <w:rPr>
          <w:sz w:val="28"/>
          <w:szCs w:val="28"/>
        </w:rPr>
        <w:t>е-</w:t>
      </w:r>
      <w:proofErr w:type="gramEnd"/>
      <w:r w:rsidRPr="00877310">
        <w:rPr>
          <w:sz w:val="28"/>
          <w:szCs w:val="28"/>
        </w:rPr>
        <w:t xml:space="preserve"> и постнатального риска // Рос. педиатрический журн. 2002. № 1. С. 61-62.</w:t>
      </w:r>
    </w:p>
    <w:p w:rsidR="00892319" w:rsidRPr="00877310" w:rsidRDefault="00892319" w:rsidP="00892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877310">
        <w:rPr>
          <w:sz w:val="28"/>
          <w:szCs w:val="28"/>
        </w:rPr>
        <w:t xml:space="preserve">Влияние антенатального </w:t>
      </w:r>
      <w:proofErr w:type="spellStart"/>
      <w:r w:rsidRPr="00877310">
        <w:rPr>
          <w:sz w:val="28"/>
          <w:szCs w:val="28"/>
        </w:rPr>
        <w:t>иммобилизационного</w:t>
      </w:r>
      <w:proofErr w:type="spellEnd"/>
      <w:r w:rsidRPr="00877310">
        <w:rPr>
          <w:sz w:val="28"/>
          <w:szCs w:val="28"/>
        </w:rPr>
        <w:t xml:space="preserve"> стресса на п</w:t>
      </w:r>
      <w:r w:rsidRPr="00877310">
        <w:rPr>
          <w:sz w:val="28"/>
          <w:szCs w:val="28"/>
        </w:rPr>
        <w:t>о</w:t>
      </w:r>
      <w:r w:rsidRPr="00877310">
        <w:rPr>
          <w:sz w:val="28"/>
          <w:szCs w:val="28"/>
        </w:rPr>
        <w:t xml:space="preserve">стнатальное развитие крыс / Е.Э. </w:t>
      </w:r>
      <w:proofErr w:type="spellStart"/>
      <w:r w:rsidRPr="00877310">
        <w:rPr>
          <w:sz w:val="28"/>
          <w:szCs w:val="28"/>
        </w:rPr>
        <w:t>Хиразова</w:t>
      </w:r>
      <w:proofErr w:type="spellEnd"/>
      <w:r w:rsidRPr="00877310">
        <w:rPr>
          <w:sz w:val="28"/>
          <w:szCs w:val="28"/>
        </w:rPr>
        <w:t xml:space="preserve">, И.А. Суворова, М.В. Маслова </w:t>
      </w:r>
      <w:r w:rsidRPr="008D7F5A">
        <w:rPr>
          <w:sz w:val="28"/>
          <w:szCs w:val="28"/>
        </w:rPr>
        <w:t>[</w:t>
      </w:r>
      <w:r w:rsidRPr="00877310"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 w:rsidRPr="00877310"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  <w:lang w:val="uk-UA"/>
        </w:rPr>
        <w:t>М-лы</w:t>
      </w:r>
      <w:proofErr w:type="spellEnd"/>
      <w:r>
        <w:rPr>
          <w:sz w:val="28"/>
          <w:szCs w:val="28"/>
          <w:lang w:val="uk-UA"/>
        </w:rPr>
        <w:t xml:space="preserve"> </w:t>
      </w:r>
      <w:r w:rsidRPr="00877310">
        <w:rPr>
          <w:sz w:val="28"/>
          <w:szCs w:val="28"/>
        </w:rPr>
        <w:t xml:space="preserve">XV </w:t>
      </w:r>
      <w:proofErr w:type="spellStart"/>
      <w:r w:rsidRPr="00877310">
        <w:rPr>
          <w:sz w:val="28"/>
          <w:szCs w:val="28"/>
        </w:rPr>
        <w:t>Междунар</w:t>
      </w:r>
      <w:proofErr w:type="spellEnd"/>
      <w:r w:rsidRPr="00877310">
        <w:rPr>
          <w:sz w:val="28"/>
          <w:szCs w:val="28"/>
        </w:rPr>
        <w:t>. конференция студентов, аспира</w:t>
      </w:r>
      <w:r w:rsidRPr="00877310">
        <w:rPr>
          <w:sz w:val="28"/>
          <w:szCs w:val="28"/>
        </w:rPr>
        <w:t>н</w:t>
      </w:r>
      <w:r w:rsidRPr="00877310">
        <w:rPr>
          <w:sz w:val="28"/>
          <w:szCs w:val="28"/>
        </w:rPr>
        <w:t>тов и молодых учёных «Ломоносов»</w:t>
      </w:r>
      <w:r>
        <w:rPr>
          <w:sz w:val="28"/>
          <w:szCs w:val="28"/>
        </w:rPr>
        <w:t xml:space="preserve"> (</w:t>
      </w:r>
      <w:r w:rsidRPr="00877310">
        <w:rPr>
          <w:sz w:val="28"/>
          <w:szCs w:val="28"/>
        </w:rPr>
        <w:t>Москва, 8-11 апреля 2008</w:t>
      </w:r>
      <w:r>
        <w:rPr>
          <w:sz w:val="28"/>
          <w:szCs w:val="28"/>
        </w:rPr>
        <w:t>)</w:t>
      </w:r>
      <w:r w:rsidRPr="00877310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сква, 2008. С.</w:t>
      </w:r>
      <w:r w:rsidRPr="00877310">
        <w:rPr>
          <w:sz w:val="28"/>
          <w:szCs w:val="28"/>
        </w:rPr>
        <w:t xml:space="preserve"> 44. </w:t>
      </w:r>
    </w:p>
    <w:p w:rsidR="00892319" w:rsidRPr="00877310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77310">
        <w:rPr>
          <w:sz w:val="28"/>
          <w:szCs w:val="28"/>
        </w:rPr>
        <w:t xml:space="preserve">Прогноз развития иммунных и психоэмоциональных </w:t>
      </w:r>
      <w:proofErr w:type="spellStart"/>
      <w:r w:rsidRPr="00877310">
        <w:rPr>
          <w:sz w:val="28"/>
          <w:szCs w:val="28"/>
        </w:rPr>
        <w:t>расст</w:t>
      </w:r>
      <w:r>
        <w:rPr>
          <w:sz w:val="28"/>
          <w:szCs w:val="28"/>
        </w:rPr>
        <w:t>-</w:t>
      </w:r>
      <w:r w:rsidRPr="00877310">
        <w:rPr>
          <w:sz w:val="28"/>
          <w:szCs w:val="28"/>
        </w:rPr>
        <w:t>ройств</w:t>
      </w:r>
      <w:proofErr w:type="spellEnd"/>
      <w:r w:rsidRPr="00877310">
        <w:rPr>
          <w:sz w:val="28"/>
          <w:szCs w:val="28"/>
        </w:rPr>
        <w:t xml:space="preserve"> у потомства матерей с психогенной травмой / Р.П. Огурцов, </w:t>
      </w:r>
      <w:r w:rsidRPr="008D7F5A">
        <w:rPr>
          <w:sz w:val="28"/>
          <w:szCs w:val="28"/>
        </w:rPr>
        <w:t xml:space="preserve">Т.В. </w:t>
      </w:r>
      <w:proofErr w:type="spellStart"/>
      <w:r w:rsidRPr="00877310">
        <w:rPr>
          <w:sz w:val="28"/>
          <w:szCs w:val="28"/>
        </w:rPr>
        <w:t>Авалиани</w:t>
      </w:r>
      <w:proofErr w:type="spellEnd"/>
      <w:r w:rsidRPr="00877310">
        <w:rPr>
          <w:sz w:val="28"/>
          <w:szCs w:val="28"/>
        </w:rPr>
        <w:t xml:space="preserve">, Н.К. Белобокова </w:t>
      </w:r>
      <w:r w:rsidRPr="008D7F5A">
        <w:rPr>
          <w:sz w:val="28"/>
          <w:szCs w:val="28"/>
        </w:rPr>
        <w:t>[</w:t>
      </w:r>
      <w:r w:rsidRPr="00877310"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 w:rsidRPr="00877310">
        <w:rPr>
          <w:sz w:val="28"/>
          <w:szCs w:val="28"/>
        </w:rPr>
        <w:t xml:space="preserve">  </w:t>
      </w:r>
      <w:r w:rsidRPr="00892319">
        <w:rPr>
          <w:sz w:val="28"/>
          <w:szCs w:val="28"/>
          <w:lang w:val="en-US"/>
        </w:rPr>
        <w:t xml:space="preserve">// </w:t>
      </w:r>
      <w:r w:rsidRPr="00877310">
        <w:rPr>
          <w:sz w:val="28"/>
          <w:szCs w:val="28"/>
        </w:rPr>
        <w:t>Мед</w:t>
      </w:r>
      <w:r w:rsidRPr="0089231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77310">
        <w:rPr>
          <w:sz w:val="28"/>
          <w:szCs w:val="28"/>
        </w:rPr>
        <w:t>и</w:t>
      </w:r>
      <w:proofErr w:type="gramEnd"/>
      <w:r w:rsidRPr="00877310">
        <w:rPr>
          <w:sz w:val="28"/>
          <w:szCs w:val="28"/>
        </w:rPr>
        <w:t>мм</w:t>
      </w:r>
      <w:r w:rsidRPr="00877310">
        <w:rPr>
          <w:sz w:val="28"/>
          <w:szCs w:val="28"/>
        </w:rPr>
        <w:t>у</w:t>
      </w:r>
      <w:r w:rsidRPr="00877310">
        <w:rPr>
          <w:sz w:val="28"/>
          <w:szCs w:val="28"/>
        </w:rPr>
        <w:t>нол</w:t>
      </w:r>
      <w:proofErr w:type="spellEnd"/>
      <w:r w:rsidRPr="00892319">
        <w:rPr>
          <w:sz w:val="28"/>
          <w:szCs w:val="28"/>
          <w:lang w:val="en-US"/>
        </w:rPr>
        <w:t xml:space="preserve">. 2004. </w:t>
      </w:r>
      <w:r w:rsidRPr="00877310">
        <w:rPr>
          <w:sz w:val="28"/>
          <w:szCs w:val="28"/>
        </w:rPr>
        <w:t>Т</w:t>
      </w:r>
      <w:r w:rsidRPr="008D7F5A">
        <w:rPr>
          <w:sz w:val="28"/>
          <w:szCs w:val="28"/>
          <w:lang w:val="en-US"/>
        </w:rPr>
        <w:t xml:space="preserve">.6, № 3-5. </w:t>
      </w:r>
      <w:r w:rsidRPr="00877310">
        <w:rPr>
          <w:sz w:val="28"/>
          <w:szCs w:val="28"/>
        </w:rPr>
        <w:t>С</w:t>
      </w:r>
      <w:r w:rsidRPr="008D7F5A">
        <w:rPr>
          <w:sz w:val="28"/>
          <w:szCs w:val="28"/>
          <w:lang w:val="en-US"/>
        </w:rPr>
        <w:t>. 210-213.</w:t>
      </w:r>
    </w:p>
    <w:p w:rsidR="00892319" w:rsidRDefault="00892319" w:rsidP="008923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77310">
        <w:rPr>
          <w:sz w:val="28"/>
          <w:szCs w:val="28"/>
          <w:lang w:val="en-US"/>
        </w:rPr>
        <w:t>Effects of pre- and postnatal stimulation on developmental, emotional, and cognitive aspects in rodents: a review</w:t>
      </w:r>
      <w:r w:rsidRPr="008D7F5A">
        <w:rPr>
          <w:sz w:val="28"/>
          <w:szCs w:val="28"/>
          <w:lang w:val="en-US"/>
        </w:rPr>
        <w:t xml:space="preserve"> / </w:t>
      </w:r>
      <w:r w:rsidRPr="00877310">
        <w:rPr>
          <w:sz w:val="28"/>
          <w:szCs w:val="28"/>
          <w:lang w:val="fr-FR"/>
        </w:rPr>
        <w:t>P.</w:t>
      </w:r>
      <w:r w:rsidRPr="008D7F5A">
        <w:rPr>
          <w:sz w:val="28"/>
          <w:szCs w:val="28"/>
          <w:lang w:val="en-US"/>
        </w:rPr>
        <w:t xml:space="preserve"> </w:t>
      </w:r>
      <w:r w:rsidRPr="00877310">
        <w:rPr>
          <w:sz w:val="28"/>
          <w:szCs w:val="28"/>
          <w:lang w:val="fr-FR"/>
        </w:rPr>
        <w:t>Chapillon, V.</w:t>
      </w:r>
      <w:r w:rsidRPr="008D7F5A">
        <w:rPr>
          <w:sz w:val="28"/>
          <w:szCs w:val="28"/>
          <w:lang w:val="en-US"/>
        </w:rPr>
        <w:t xml:space="preserve"> </w:t>
      </w:r>
      <w:r w:rsidRPr="00877310">
        <w:rPr>
          <w:sz w:val="28"/>
          <w:szCs w:val="28"/>
          <w:lang w:val="fr-FR"/>
        </w:rPr>
        <w:t>Patin, V.</w:t>
      </w:r>
      <w:r w:rsidRPr="008D7F5A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7310">
            <w:rPr>
              <w:sz w:val="28"/>
              <w:szCs w:val="28"/>
              <w:lang w:val="fr-FR"/>
            </w:rPr>
            <w:t>Roy</w:t>
          </w:r>
        </w:smartTag>
      </w:smartTag>
      <w:r w:rsidRPr="0087731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en-US"/>
        </w:rPr>
        <w:t>[</w:t>
      </w:r>
      <w:r w:rsidRPr="00877310">
        <w:rPr>
          <w:sz w:val="28"/>
          <w:szCs w:val="28"/>
        </w:rPr>
        <w:t>е</w:t>
      </w:r>
      <w:r w:rsidRPr="00877310">
        <w:rPr>
          <w:sz w:val="28"/>
          <w:szCs w:val="28"/>
          <w:lang w:val="fr-FR"/>
        </w:rPr>
        <w:t>t al.</w:t>
      </w:r>
      <w:r>
        <w:rPr>
          <w:sz w:val="28"/>
          <w:szCs w:val="28"/>
          <w:lang w:val="fr-FR"/>
        </w:rPr>
        <w:t>]</w:t>
      </w:r>
      <w:r w:rsidRPr="00877310">
        <w:rPr>
          <w:sz w:val="28"/>
          <w:szCs w:val="28"/>
          <w:lang w:val="en-US"/>
        </w:rPr>
        <w:t xml:space="preserve"> // dev.</w:t>
      </w:r>
      <w:r w:rsidRPr="008D7F5A">
        <w:rPr>
          <w:sz w:val="28"/>
          <w:szCs w:val="28"/>
          <w:lang w:val="en-US"/>
        </w:rPr>
        <w:t xml:space="preserve"> </w:t>
      </w:r>
      <w:proofErr w:type="spellStart"/>
      <w:r w:rsidRPr="00877310">
        <w:rPr>
          <w:sz w:val="28"/>
          <w:szCs w:val="28"/>
          <w:lang w:val="en-US"/>
        </w:rPr>
        <w:t>Psychobiol</w:t>
      </w:r>
      <w:proofErr w:type="spellEnd"/>
      <w:r w:rsidRPr="00892319">
        <w:rPr>
          <w:sz w:val="28"/>
          <w:szCs w:val="28"/>
        </w:rPr>
        <w:t xml:space="preserve">. 2002. </w:t>
      </w:r>
      <w:proofErr w:type="spellStart"/>
      <w:proofErr w:type="gramStart"/>
      <w:r w:rsidRPr="00877310">
        <w:rPr>
          <w:sz w:val="28"/>
          <w:szCs w:val="28"/>
          <w:lang w:val="en-US"/>
        </w:rPr>
        <w:t>Vol</w:t>
      </w:r>
      <w:proofErr w:type="spellEnd"/>
      <w:r w:rsidRPr="00892319">
        <w:rPr>
          <w:sz w:val="28"/>
          <w:szCs w:val="28"/>
        </w:rPr>
        <w:t>. 41</w:t>
      </w:r>
      <w:r w:rsidRPr="00877310">
        <w:rPr>
          <w:sz w:val="28"/>
          <w:szCs w:val="28"/>
        </w:rPr>
        <w:t xml:space="preserve">, </w:t>
      </w:r>
      <w:r w:rsidRPr="00877310">
        <w:rPr>
          <w:sz w:val="28"/>
          <w:szCs w:val="28"/>
          <w:lang w:val="uk-UA"/>
        </w:rPr>
        <w:t>№</w:t>
      </w:r>
      <w:r w:rsidRPr="00892319">
        <w:rPr>
          <w:sz w:val="28"/>
          <w:szCs w:val="28"/>
        </w:rPr>
        <w:t xml:space="preserve"> 4.</w:t>
      </w:r>
      <w:proofErr w:type="gramEnd"/>
      <w:r w:rsidRPr="00892319">
        <w:rPr>
          <w:sz w:val="28"/>
          <w:szCs w:val="28"/>
        </w:rPr>
        <w:t xml:space="preserve"> </w:t>
      </w:r>
      <w:r w:rsidRPr="00877310">
        <w:rPr>
          <w:sz w:val="28"/>
          <w:szCs w:val="28"/>
        </w:rPr>
        <w:t>Р</w:t>
      </w:r>
      <w:r w:rsidRPr="008D7F5A">
        <w:rPr>
          <w:sz w:val="28"/>
          <w:szCs w:val="28"/>
        </w:rPr>
        <w:t>. 373-387</w:t>
      </w:r>
      <w:r w:rsidRPr="00877310">
        <w:rPr>
          <w:sz w:val="28"/>
          <w:szCs w:val="28"/>
          <w:lang w:val="uk-UA"/>
        </w:rPr>
        <w:t>.</w:t>
      </w:r>
    </w:p>
    <w:p w:rsidR="00892319" w:rsidRPr="005F53CE" w:rsidRDefault="00892319" w:rsidP="00892319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F53CE">
        <w:rPr>
          <w:sz w:val="28"/>
          <w:szCs w:val="28"/>
          <w:lang w:val="uk-UA"/>
        </w:rPr>
        <w:t xml:space="preserve">5. </w:t>
      </w:r>
      <w:r w:rsidRPr="005F53CE">
        <w:rPr>
          <w:sz w:val="28"/>
          <w:szCs w:val="28"/>
        </w:rPr>
        <w:t>Курганова, Л.Н. Перекисное окисление липидов</w:t>
      </w:r>
      <w:r w:rsidRPr="005F53CE">
        <w:rPr>
          <w:sz w:val="28"/>
          <w:szCs w:val="28"/>
          <w:lang w:val="uk-UA"/>
        </w:rPr>
        <w:t xml:space="preserve"> </w:t>
      </w:r>
      <w:r w:rsidRPr="005F53CE">
        <w:rPr>
          <w:sz w:val="28"/>
          <w:szCs w:val="28"/>
        </w:rPr>
        <w:t>–</w:t>
      </w:r>
      <w:r w:rsidRPr="005F53CE">
        <w:rPr>
          <w:sz w:val="28"/>
          <w:szCs w:val="28"/>
          <w:lang w:val="uk-UA"/>
        </w:rPr>
        <w:t xml:space="preserve"> </w:t>
      </w:r>
      <w:r w:rsidRPr="005F53CE">
        <w:rPr>
          <w:sz w:val="28"/>
          <w:szCs w:val="28"/>
        </w:rPr>
        <w:t>возможный компонент быстрой реакции на стресс</w:t>
      </w:r>
      <w:r w:rsidRPr="005F53CE">
        <w:rPr>
          <w:sz w:val="28"/>
          <w:szCs w:val="28"/>
          <w:lang w:val="uk-UA"/>
        </w:rPr>
        <w:t xml:space="preserve">  </w:t>
      </w:r>
      <w:r w:rsidRPr="005F53CE">
        <w:rPr>
          <w:sz w:val="28"/>
          <w:szCs w:val="28"/>
        </w:rPr>
        <w:t>// Вестник Нижегородского университета им. Н.И.</w:t>
      </w:r>
      <w:r w:rsidRPr="005F53CE">
        <w:rPr>
          <w:sz w:val="28"/>
          <w:szCs w:val="28"/>
          <w:lang w:val="uk-UA"/>
        </w:rPr>
        <w:t xml:space="preserve"> </w:t>
      </w:r>
      <w:r w:rsidRPr="005F53CE">
        <w:rPr>
          <w:sz w:val="28"/>
          <w:szCs w:val="28"/>
        </w:rPr>
        <w:t>Лобачевского. 2001. №3. С.74-76.</w:t>
      </w:r>
    </w:p>
    <w:p w:rsidR="00892319" w:rsidRPr="00F26E50" w:rsidRDefault="00892319" w:rsidP="00892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6</w:t>
      </w:r>
      <w:r w:rsidRPr="00F26E50">
        <w:rPr>
          <w:sz w:val="28"/>
          <w:szCs w:val="28"/>
        </w:rPr>
        <w:t xml:space="preserve">. Мещанинов В.Н., Щербаков Д.Л. Влияние </w:t>
      </w:r>
      <w:proofErr w:type="spellStart"/>
      <w:r w:rsidRPr="00F26E50">
        <w:rPr>
          <w:sz w:val="28"/>
          <w:szCs w:val="28"/>
        </w:rPr>
        <w:t>нейромедиаторов</w:t>
      </w:r>
      <w:proofErr w:type="spellEnd"/>
      <w:r w:rsidRPr="00F26E50">
        <w:rPr>
          <w:sz w:val="28"/>
          <w:szCs w:val="28"/>
        </w:rPr>
        <w:t xml:space="preserve"> на переки</w:t>
      </w:r>
      <w:r w:rsidRPr="00F26E50">
        <w:rPr>
          <w:sz w:val="28"/>
          <w:szCs w:val="28"/>
        </w:rPr>
        <w:t>с</w:t>
      </w:r>
      <w:r w:rsidRPr="00F26E50">
        <w:rPr>
          <w:sz w:val="28"/>
          <w:szCs w:val="28"/>
        </w:rPr>
        <w:t xml:space="preserve">ное окисление липидов при </w:t>
      </w:r>
      <w:proofErr w:type="spellStart"/>
      <w:r w:rsidRPr="00F26E50">
        <w:rPr>
          <w:sz w:val="28"/>
          <w:szCs w:val="28"/>
        </w:rPr>
        <w:t>иммобилизационном</w:t>
      </w:r>
      <w:proofErr w:type="spellEnd"/>
      <w:r w:rsidRPr="00F26E50">
        <w:rPr>
          <w:sz w:val="28"/>
          <w:szCs w:val="28"/>
        </w:rPr>
        <w:t xml:space="preserve"> </w:t>
      </w:r>
      <w:proofErr w:type="gramStart"/>
      <w:r w:rsidRPr="00F26E50">
        <w:rPr>
          <w:sz w:val="28"/>
          <w:szCs w:val="28"/>
        </w:rPr>
        <w:t>стресс-воздействии</w:t>
      </w:r>
      <w:proofErr w:type="gramEnd"/>
      <w:r w:rsidRPr="00F26E50">
        <w:rPr>
          <w:sz w:val="28"/>
          <w:szCs w:val="28"/>
        </w:rPr>
        <w:t xml:space="preserve"> у крыс разного возраста // Казанский медицинский жу</w:t>
      </w:r>
      <w:r w:rsidRPr="00F26E50">
        <w:rPr>
          <w:sz w:val="28"/>
          <w:szCs w:val="28"/>
        </w:rPr>
        <w:t>р</w:t>
      </w:r>
      <w:r w:rsidRPr="00F26E50">
        <w:rPr>
          <w:sz w:val="28"/>
          <w:szCs w:val="28"/>
        </w:rPr>
        <w:t>нал. 2015. №6. Т. 96. С. 843-846.</w:t>
      </w:r>
    </w:p>
    <w:p w:rsidR="00892319" w:rsidRPr="008767EE" w:rsidRDefault="00892319" w:rsidP="00892319">
      <w:pPr>
        <w:ind w:firstLine="709"/>
        <w:jc w:val="both"/>
        <w:rPr>
          <w:sz w:val="28"/>
          <w:szCs w:val="28"/>
        </w:rPr>
      </w:pPr>
      <w:r w:rsidRPr="00A20204">
        <w:rPr>
          <w:sz w:val="28"/>
          <w:szCs w:val="28"/>
        </w:rPr>
        <w:t xml:space="preserve">7. </w:t>
      </w:r>
      <w:proofErr w:type="spellStart"/>
      <w:r w:rsidRPr="00A20204">
        <w:rPr>
          <w:sz w:val="28"/>
          <w:szCs w:val="28"/>
        </w:rPr>
        <w:t>Солин</w:t>
      </w:r>
      <w:proofErr w:type="spellEnd"/>
      <w:r w:rsidRPr="00A20204">
        <w:rPr>
          <w:sz w:val="28"/>
          <w:szCs w:val="28"/>
        </w:rPr>
        <w:t xml:space="preserve"> А.В., Ляшев Ю.Д. Перекисное окисление липидов при </w:t>
      </w:r>
      <w:proofErr w:type="spellStart"/>
      <w:r w:rsidRPr="00A20204">
        <w:rPr>
          <w:sz w:val="28"/>
          <w:szCs w:val="28"/>
        </w:rPr>
        <w:t>иммобил</w:t>
      </w:r>
      <w:r w:rsidRPr="00A20204">
        <w:rPr>
          <w:sz w:val="28"/>
          <w:szCs w:val="28"/>
        </w:rPr>
        <w:t>и</w:t>
      </w:r>
      <w:r w:rsidRPr="00A20204">
        <w:rPr>
          <w:sz w:val="28"/>
          <w:szCs w:val="28"/>
        </w:rPr>
        <w:t>зационном</w:t>
      </w:r>
      <w:proofErr w:type="spellEnd"/>
      <w:r w:rsidRPr="00A20204">
        <w:rPr>
          <w:sz w:val="28"/>
          <w:szCs w:val="28"/>
        </w:rPr>
        <w:t xml:space="preserve"> стрессе различной продолжительности // Рос</w:t>
      </w:r>
      <w:r>
        <w:rPr>
          <w:sz w:val="28"/>
          <w:szCs w:val="28"/>
        </w:rPr>
        <w:t>сий</w:t>
      </w:r>
      <w:r w:rsidRPr="00A20204">
        <w:rPr>
          <w:sz w:val="28"/>
          <w:szCs w:val="28"/>
        </w:rPr>
        <w:t>ский физиол</w:t>
      </w:r>
      <w:r>
        <w:rPr>
          <w:sz w:val="28"/>
          <w:szCs w:val="28"/>
        </w:rPr>
        <w:t>.</w:t>
      </w:r>
      <w:r w:rsidRPr="00A20204">
        <w:rPr>
          <w:sz w:val="28"/>
          <w:szCs w:val="28"/>
        </w:rPr>
        <w:t xml:space="preserve"> журнал им. И.М. Сеченова. 2013. №6. С. 751-</w:t>
      </w:r>
      <w:r w:rsidRPr="008767EE">
        <w:rPr>
          <w:sz w:val="28"/>
          <w:szCs w:val="28"/>
        </w:rPr>
        <w:t>752.</w:t>
      </w:r>
    </w:p>
    <w:p w:rsidR="00892319" w:rsidRPr="00FA114A" w:rsidRDefault="00892319" w:rsidP="0089231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FA114A">
        <w:rPr>
          <w:sz w:val="28"/>
          <w:szCs w:val="28"/>
        </w:rPr>
        <w:t>Мамонтова Е.В.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Тё</w:t>
      </w:r>
      <w:r w:rsidRPr="00FA114A">
        <w:rPr>
          <w:sz w:val="28"/>
          <w:szCs w:val="28"/>
        </w:rPr>
        <w:t>плый Д.Л.</w:t>
      </w:r>
      <w:r>
        <w:rPr>
          <w:sz w:val="28"/>
          <w:szCs w:val="28"/>
        </w:rPr>
        <w:t xml:space="preserve"> Влияние </w:t>
      </w:r>
      <w:proofErr w:type="spellStart"/>
      <w:r>
        <w:rPr>
          <w:sz w:val="28"/>
          <w:szCs w:val="28"/>
        </w:rPr>
        <w:t>иммобилизационного</w:t>
      </w:r>
      <w:proofErr w:type="spellEnd"/>
      <w:r>
        <w:rPr>
          <w:sz w:val="28"/>
          <w:szCs w:val="28"/>
        </w:rPr>
        <w:t xml:space="preserve">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 и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 xml:space="preserve">токоферола на процесс перекисного окисления липидов у </w:t>
      </w:r>
      <w:r w:rsidRPr="00FA114A">
        <w:rPr>
          <w:sz w:val="28"/>
          <w:szCs w:val="28"/>
        </w:rPr>
        <w:t xml:space="preserve">молодых самцов белых мышей // </w:t>
      </w:r>
      <w:r w:rsidRPr="00FA114A">
        <w:rPr>
          <w:sz w:val="28"/>
          <w:szCs w:val="28"/>
          <w:shd w:val="clear" w:color="auto" w:fill="FFFFFF"/>
        </w:rPr>
        <w:t>Современные наукоемкие технол</w:t>
      </w:r>
      <w:r w:rsidRPr="00FA114A">
        <w:rPr>
          <w:sz w:val="28"/>
          <w:szCs w:val="28"/>
          <w:shd w:val="clear" w:color="auto" w:fill="FFFFFF"/>
        </w:rPr>
        <w:t>о</w:t>
      </w:r>
      <w:r w:rsidRPr="00FA114A">
        <w:rPr>
          <w:sz w:val="28"/>
          <w:szCs w:val="28"/>
          <w:shd w:val="clear" w:color="auto" w:fill="FFFFFF"/>
        </w:rPr>
        <w:t>гии. 2006. № 2</w:t>
      </w:r>
      <w:r>
        <w:rPr>
          <w:sz w:val="28"/>
          <w:szCs w:val="28"/>
          <w:shd w:val="clear" w:color="auto" w:fill="FFFFFF"/>
        </w:rPr>
        <w:t>.</w:t>
      </w:r>
      <w:r w:rsidRPr="00FA114A">
        <w:rPr>
          <w:sz w:val="28"/>
          <w:szCs w:val="28"/>
          <w:shd w:val="clear" w:color="auto" w:fill="FFFFFF"/>
        </w:rPr>
        <w:t xml:space="preserve"> С. 38-39</w:t>
      </w:r>
      <w:r>
        <w:rPr>
          <w:sz w:val="28"/>
          <w:szCs w:val="28"/>
          <w:shd w:val="clear" w:color="auto" w:fill="FFFFFF"/>
        </w:rPr>
        <w:t>.</w:t>
      </w:r>
    </w:p>
    <w:p w:rsidR="00892319" w:rsidRDefault="00892319" w:rsidP="0089231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OfficinaSansC-Book"/>
          <w:sz w:val="28"/>
          <w:szCs w:val="28"/>
          <w:lang w:val="uk-UA"/>
        </w:rPr>
        <w:t>9</w:t>
      </w:r>
      <w:r w:rsidRPr="00A20204">
        <w:rPr>
          <w:rFonts w:eastAsia="OfficinaSansC-Book"/>
          <w:sz w:val="28"/>
          <w:szCs w:val="28"/>
          <w:lang w:val="uk-UA"/>
        </w:rPr>
        <w:t>.</w:t>
      </w:r>
      <w:r w:rsidRPr="00F4246C">
        <w:rPr>
          <w:rFonts w:eastAsia="OfficinaSansC-Book"/>
          <w:sz w:val="28"/>
          <w:szCs w:val="28"/>
          <w:lang w:val="uk-UA"/>
        </w:rPr>
        <w:t xml:space="preserve"> </w:t>
      </w:r>
      <w:r w:rsidRPr="00F4246C">
        <w:rPr>
          <w:sz w:val="28"/>
          <w:szCs w:val="28"/>
          <w:shd w:val="clear" w:color="auto" w:fill="FFFFFF"/>
        </w:rPr>
        <w:t xml:space="preserve">Сравнительное изучение стресс-индуцированных </w:t>
      </w:r>
      <w:proofErr w:type="spellStart"/>
      <w:r w:rsidRPr="00F4246C">
        <w:rPr>
          <w:sz w:val="28"/>
          <w:szCs w:val="28"/>
          <w:shd w:val="clear" w:color="auto" w:fill="FFFFFF"/>
        </w:rPr>
        <w:t>свободнорадикальных</w:t>
      </w:r>
      <w:proofErr w:type="spellEnd"/>
      <w:r w:rsidRPr="00F4246C">
        <w:rPr>
          <w:sz w:val="28"/>
          <w:szCs w:val="28"/>
          <w:shd w:val="clear" w:color="auto" w:fill="FFFFFF"/>
        </w:rPr>
        <w:t xml:space="preserve"> реакций в лёгочной ткани, печени и сердце у разново</w:t>
      </w:r>
      <w:r w:rsidRPr="00F4246C">
        <w:rPr>
          <w:sz w:val="28"/>
          <w:szCs w:val="28"/>
          <w:shd w:val="clear" w:color="auto" w:fill="FFFFFF"/>
        </w:rPr>
        <w:t>з</w:t>
      </w:r>
      <w:r w:rsidRPr="00F4246C">
        <w:rPr>
          <w:sz w:val="28"/>
          <w:szCs w:val="28"/>
          <w:shd w:val="clear" w:color="auto" w:fill="FFFFFF"/>
        </w:rPr>
        <w:t>растных белых крыс</w:t>
      </w:r>
      <w:r>
        <w:rPr>
          <w:sz w:val="28"/>
          <w:szCs w:val="28"/>
          <w:shd w:val="clear" w:color="auto" w:fill="FFFFFF"/>
        </w:rPr>
        <w:t xml:space="preserve"> / А.С. </w:t>
      </w:r>
      <w:r w:rsidRPr="00F4246C">
        <w:rPr>
          <w:rFonts w:eastAsia="OfficinaSansC-Book"/>
          <w:sz w:val="28"/>
          <w:szCs w:val="28"/>
          <w:lang w:val="uk-UA"/>
        </w:rPr>
        <w:t xml:space="preserve">Чумакова, </w:t>
      </w:r>
      <w:r>
        <w:rPr>
          <w:rFonts w:eastAsia="OfficinaSansC-Book"/>
          <w:sz w:val="28"/>
          <w:szCs w:val="28"/>
          <w:lang w:val="uk-UA"/>
        </w:rPr>
        <w:t xml:space="preserve">Ю.В. </w:t>
      </w:r>
      <w:r w:rsidRPr="00F4246C">
        <w:rPr>
          <w:rFonts w:eastAsia="OfficinaSansC-Book"/>
          <w:sz w:val="28"/>
          <w:szCs w:val="28"/>
          <w:lang w:val="uk-UA"/>
        </w:rPr>
        <w:t xml:space="preserve">Нестеров, </w:t>
      </w:r>
      <w:r>
        <w:rPr>
          <w:rFonts w:eastAsia="OfficinaSansC-Book"/>
          <w:sz w:val="28"/>
          <w:szCs w:val="28"/>
          <w:lang w:val="uk-UA"/>
        </w:rPr>
        <w:t xml:space="preserve">Е.В. </w:t>
      </w:r>
      <w:r>
        <w:rPr>
          <w:sz w:val="28"/>
          <w:szCs w:val="28"/>
          <w:shd w:val="clear" w:color="auto" w:fill="FFFFFF"/>
        </w:rPr>
        <w:t>Курьянова</w:t>
      </w:r>
      <w:r w:rsidRPr="00F4246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А.В. </w:t>
      </w:r>
      <w:proofErr w:type="spellStart"/>
      <w:r w:rsidRPr="00F4246C">
        <w:rPr>
          <w:sz w:val="28"/>
          <w:szCs w:val="28"/>
          <w:shd w:val="clear" w:color="auto" w:fill="FFFFFF"/>
        </w:rPr>
        <w:t>Трясучев</w:t>
      </w:r>
      <w:proofErr w:type="spellEnd"/>
      <w:r>
        <w:rPr>
          <w:sz w:val="28"/>
          <w:szCs w:val="28"/>
          <w:shd w:val="clear" w:color="auto" w:fill="FFFFFF"/>
        </w:rPr>
        <w:t xml:space="preserve"> //</w:t>
      </w:r>
      <w:r w:rsidRPr="00F4246C">
        <w:rPr>
          <w:sz w:val="28"/>
          <w:szCs w:val="28"/>
          <w:shd w:val="clear" w:color="auto" w:fill="FFFFFF"/>
        </w:rPr>
        <w:t xml:space="preserve"> Фундаментальные и</w:t>
      </w:r>
      <w:r w:rsidRPr="00F4246C">
        <w:rPr>
          <w:sz w:val="28"/>
          <w:szCs w:val="28"/>
          <w:shd w:val="clear" w:color="auto" w:fill="FFFFFF"/>
        </w:rPr>
        <w:t>с</w:t>
      </w:r>
      <w:r w:rsidRPr="00F4246C">
        <w:rPr>
          <w:sz w:val="28"/>
          <w:szCs w:val="28"/>
          <w:shd w:val="clear" w:color="auto" w:fill="FFFFFF"/>
        </w:rPr>
        <w:t>следования. 2014. № 12-3. С. 537-541.</w:t>
      </w:r>
    </w:p>
    <w:p w:rsidR="00892319" w:rsidRDefault="00892319" w:rsidP="0089231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10. Нестеров Ю.В. Перекисное окисление липидов в лёгочной ткани крыс разного возраста в условиях острого эмоционально-болевого стресса // Вестник ОГУ. 2003. №6. С. 153-155.</w:t>
      </w:r>
    </w:p>
    <w:p w:rsidR="00892319" w:rsidRDefault="00892319" w:rsidP="00892319">
      <w:pPr>
        <w:autoSpaceDE w:val="0"/>
        <w:autoSpaceDN w:val="0"/>
        <w:adjustRightInd w:val="0"/>
        <w:ind w:firstLine="708"/>
        <w:jc w:val="both"/>
        <w:rPr>
          <w:rFonts w:eastAsia="OfficinaSansC-Book"/>
          <w:sz w:val="28"/>
          <w:szCs w:val="28"/>
          <w:lang w:val="uk-UA"/>
        </w:rPr>
      </w:pPr>
      <w:r w:rsidRPr="00196F08">
        <w:rPr>
          <w:sz w:val="28"/>
          <w:szCs w:val="28"/>
          <w:lang w:val="uk-UA"/>
        </w:rPr>
        <w:t>11. Пат</w:t>
      </w:r>
      <w:r w:rsidRPr="00995323">
        <w:rPr>
          <w:sz w:val="28"/>
          <w:szCs w:val="28"/>
          <w:lang w:val="uk-UA"/>
        </w:rPr>
        <w:t>. 82414 Україна МПК A61D 99/00, G09В 23/28 (2006.01) Спосіб м</w:t>
      </w:r>
      <w:r w:rsidRPr="00995323">
        <w:rPr>
          <w:sz w:val="28"/>
          <w:szCs w:val="28"/>
          <w:lang w:val="uk-UA"/>
        </w:rPr>
        <w:t>о</w:t>
      </w:r>
      <w:r w:rsidRPr="00995323">
        <w:rPr>
          <w:sz w:val="28"/>
          <w:szCs w:val="28"/>
          <w:lang w:val="uk-UA"/>
        </w:rPr>
        <w:t xml:space="preserve">делювання хронічного </w:t>
      </w:r>
      <w:proofErr w:type="spellStart"/>
      <w:r w:rsidRPr="00995323">
        <w:rPr>
          <w:sz w:val="28"/>
          <w:szCs w:val="28"/>
          <w:lang w:val="uk-UA"/>
        </w:rPr>
        <w:t>іммобілізаційного</w:t>
      </w:r>
      <w:proofErr w:type="spellEnd"/>
      <w:r w:rsidRPr="00995323">
        <w:rPr>
          <w:sz w:val="28"/>
          <w:szCs w:val="28"/>
          <w:lang w:val="uk-UA"/>
        </w:rPr>
        <w:t xml:space="preserve"> стресу / Ніколаєва О.В., Ковальцва М.В., Євтушенко Т.Г.; заявник та патентовласник Харківський національний медичний університет. – № u 2013 03868; </w:t>
      </w:r>
      <w:proofErr w:type="spellStart"/>
      <w:r w:rsidRPr="00995323">
        <w:rPr>
          <w:sz w:val="28"/>
          <w:szCs w:val="28"/>
          <w:lang w:val="uk-UA"/>
        </w:rPr>
        <w:t>заявл</w:t>
      </w:r>
      <w:proofErr w:type="spellEnd"/>
      <w:r w:rsidRPr="00995323">
        <w:rPr>
          <w:sz w:val="28"/>
          <w:szCs w:val="28"/>
          <w:lang w:val="uk-UA"/>
        </w:rPr>
        <w:t xml:space="preserve">. 29.03.2013; </w:t>
      </w:r>
      <w:proofErr w:type="spellStart"/>
      <w:r w:rsidRPr="00995323">
        <w:rPr>
          <w:sz w:val="28"/>
          <w:szCs w:val="28"/>
          <w:lang w:val="uk-UA"/>
        </w:rPr>
        <w:t>опубл</w:t>
      </w:r>
      <w:proofErr w:type="spellEnd"/>
      <w:r w:rsidRPr="00995323">
        <w:rPr>
          <w:sz w:val="28"/>
          <w:szCs w:val="28"/>
          <w:lang w:val="uk-UA"/>
        </w:rPr>
        <w:t xml:space="preserve">. 25.07.2013. </w:t>
      </w:r>
      <w:proofErr w:type="spellStart"/>
      <w:r w:rsidRPr="00995323">
        <w:rPr>
          <w:sz w:val="28"/>
          <w:szCs w:val="28"/>
          <w:lang w:val="uk-UA"/>
        </w:rPr>
        <w:t>Бюл</w:t>
      </w:r>
      <w:proofErr w:type="spellEnd"/>
      <w:r w:rsidRPr="00995323">
        <w:rPr>
          <w:sz w:val="28"/>
          <w:szCs w:val="28"/>
          <w:lang w:val="uk-UA"/>
        </w:rPr>
        <w:t>. №14.</w:t>
      </w:r>
    </w:p>
    <w:p w:rsidR="00892319" w:rsidRDefault="00892319" w:rsidP="00892319">
      <w:pPr>
        <w:shd w:val="clear" w:color="auto" w:fill="FFFFFF"/>
        <w:ind w:firstLine="70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12</w:t>
      </w:r>
      <w:r w:rsidRPr="00D5796D">
        <w:rPr>
          <w:sz w:val="28"/>
          <w:szCs w:val="28"/>
          <w:lang w:bidi="he-IL"/>
        </w:rPr>
        <w:t xml:space="preserve">. </w:t>
      </w:r>
      <w:proofErr w:type="spellStart"/>
      <w:r w:rsidRPr="00D5796D">
        <w:rPr>
          <w:sz w:val="28"/>
          <w:szCs w:val="28"/>
          <w:lang w:bidi="he-IL"/>
        </w:rPr>
        <w:t>Стомная</w:t>
      </w:r>
      <w:proofErr w:type="spellEnd"/>
      <w:r w:rsidRPr="00D5796D">
        <w:rPr>
          <w:sz w:val="28"/>
          <w:szCs w:val="28"/>
          <w:lang w:bidi="he-IL"/>
        </w:rPr>
        <w:t xml:space="preserve"> Н.Д. Методы определения некоторых продуктов перекисного окисления липидов в тканях животных / Под ред. акад. В.Н. </w:t>
      </w:r>
      <w:proofErr w:type="spellStart"/>
      <w:r w:rsidRPr="00D5796D">
        <w:rPr>
          <w:sz w:val="28"/>
          <w:szCs w:val="28"/>
          <w:lang w:bidi="he-IL"/>
        </w:rPr>
        <w:t>Ореховича</w:t>
      </w:r>
      <w:proofErr w:type="spellEnd"/>
      <w:r w:rsidRPr="00D5796D">
        <w:rPr>
          <w:sz w:val="28"/>
          <w:szCs w:val="28"/>
          <w:lang w:bidi="he-IL"/>
        </w:rPr>
        <w:t xml:space="preserve"> // Совр</w:t>
      </w:r>
      <w:r w:rsidRPr="00D5796D">
        <w:rPr>
          <w:sz w:val="28"/>
          <w:szCs w:val="28"/>
          <w:lang w:bidi="he-IL"/>
        </w:rPr>
        <w:t>е</w:t>
      </w:r>
      <w:r w:rsidRPr="00D5796D">
        <w:rPr>
          <w:sz w:val="28"/>
          <w:szCs w:val="28"/>
          <w:lang w:bidi="he-IL"/>
        </w:rPr>
        <w:t>менные методы в биохимии. М.:</w:t>
      </w:r>
      <w:r>
        <w:rPr>
          <w:sz w:val="28"/>
          <w:szCs w:val="28"/>
          <w:lang w:val="uk-UA" w:bidi="he-IL"/>
        </w:rPr>
        <w:t xml:space="preserve"> </w:t>
      </w:r>
      <w:r w:rsidRPr="00D5796D">
        <w:rPr>
          <w:sz w:val="28"/>
          <w:szCs w:val="28"/>
          <w:lang w:bidi="he-IL"/>
        </w:rPr>
        <w:t>Медицина, 1977. С. 62-65.</w:t>
      </w:r>
    </w:p>
    <w:p w:rsidR="00892319" w:rsidRDefault="00892319" w:rsidP="00892319">
      <w:pPr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13</w:t>
      </w:r>
      <w:r w:rsidRPr="00D5796D">
        <w:rPr>
          <w:sz w:val="28"/>
          <w:szCs w:val="28"/>
          <w:lang w:val="uk-UA"/>
        </w:rPr>
        <w:t xml:space="preserve">. </w:t>
      </w:r>
      <w:r w:rsidRPr="00D5796D">
        <w:rPr>
          <w:sz w:val="28"/>
          <w:szCs w:val="28"/>
          <w:lang w:bidi="he-IL"/>
        </w:rPr>
        <w:t>Костюк В.А., Потапович А.И., Ковалева Ж.В. Простой и чу</w:t>
      </w:r>
      <w:r w:rsidRPr="00D5796D">
        <w:rPr>
          <w:sz w:val="28"/>
          <w:szCs w:val="28"/>
          <w:lang w:bidi="he-IL"/>
        </w:rPr>
        <w:t>в</w:t>
      </w:r>
      <w:r w:rsidRPr="00D5796D">
        <w:rPr>
          <w:sz w:val="28"/>
          <w:szCs w:val="28"/>
          <w:lang w:bidi="he-IL"/>
        </w:rPr>
        <w:t xml:space="preserve">ствительный метод определения активности СОД, основанный на реакции окисления </w:t>
      </w:r>
      <w:proofErr w:type="spellStart"/>
      <w:r w:rsidRPr="00D5796D">
        <w:rPr>
          <w:sz w:val="28"/>
          <w:szCs w:val="28"/>
          <w:lang w:bidi="he-IL"/>
        </w:rPr>
        <w:t>кверц</w:t>
      </w:r>
      <w:r w:rsidRPr="00D5796D">
        <w:rPr>
          <w:sz w:val="28"/>
          <w:szCs w:val="28"/>
          <w:lang w:bidi="he-IL"/>
        </w:rPr>
        <w:t>и</w:t>
      </w:r>
      <w:r w:rsidRPr="00D5796D">
        <w:rPr>
          <w:sz w:val="28"/>
          <w:szCs w:val="28"/>
          <w:lang w:bidi="he-IL"/>
        </w:rPr>
        <w:t>тина</w:t>
      </w:r>
      <w:proofErr w:type="spellEnd"/>
      <w:r w:rsidRPr="00D5796D">
        <w:rPr>
          <w:sz w:val="28"/>
          <w:szCs w:val="28"/>
          <w:lang w:bidi="he-IL"/>
        </w:rPr>
        <w:t xml:space="preserve"> // Вопросы медицинской химии. 1990.  № 2. С. 88-91.</w:t>
      </w:r>
    </w:p>
    <w:p w:rsidR="00892319" w:rsidRPr="00D5796D" w:rsidRDefault="00892319" w:rsidP="0089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he-IL"/>
        </w:rPr>
        <w:t>14</w:t>
      </w:r>
      <w:r w:rsidRPr="00D5796D">
        <w:rPr>
          <w:sz w:val="28"/>
          <w:szCs w:val="28"/>
          <w:lang w:val="uk-UA" w:bidi="he-IL"/>
        </w:rPr>
        <w:t xml:space="preserve">. </w:t>
      </w:r>
      <w:r w:rsidRPr="00D5796D">
        <w:rPr>
          <w:sz w:val="28"/>
          <w:szCs w:val="28"/>
          <w:lang w:bidi="he-IL"/>
        </w:rPr>
        <w:t>Дубинина Е.Е., Ефимова Л.Ф., Сафронова Л.Н. Методы определения а</w:t>
      </w:r>
      <w:r w:rsidRPr="00D5796D">
        <w:rPr>
          <w:sz w:val="28"/>
          <w:szCs w:val="28"/>
          <w:lang w:bidi="he-IL"/>
        </w:rPr>
        <w:t>к</w:t>
      </w:r>
      <w:r w:rsidRPr="00D5796D">
        <w:rPr>
          <w:sz w:val="28"/>
          <w:szCs w:val="28"/>
          <w:lang w:bidi="he-IL"/>
        </w:rPr>
        <w:t>тивности каталазы // Лаб. Дело. 1988. № 8. С. 16-19.</w:t>
      </w:r>
    </w:p>
    <w:p w:rsidR="00892319" w:rsidRPr="008647A2" w:rsidRDefault="00892319" w:rsidP="00892319">
      <w:pPr>
        <w:autoSpaceDE w:val="0"/>
        <w:autoSpaceDN w:val="0"/>
        <w:adjustRightInd w:val="0"/>
        <w:ind w:firstLine="708"/>
        <w:jc w:val="both"/>
        <w:rPr>
          <w:rFonts w:eastAsia="OfficinaSansC-Book"/>
          <w:sz w:val="28"/>
          <w:szCs w:val="28"/>
        </w:rPr>
      </w:pPr>
      <w:r w:rsidRPr="008647A2">
        <w:rPr>
          <w:sz w:val="28"/>
          <w:szCs w:val="28"/>
        </w:rPr>
        <w:t xml:space="preserve">15. Влияние </w:t>
      </w:r>
      <w:proofErr w:type="spellStart"/>
      <w:r w:rsidRPr="008647A2">
        <w:rPr>
          <w:sz w:val="28"/>
          <w:szCs w:val="28"/>
        </w:rPr>
        <w:t>холодового</w:t>
      </w:r>
      <w:proofErr w:type="spellEnd"/>
      <w:r w:rsidRPr="008647A2">
        <w:rPr>
          <w:sz w:val="28"/>
          <w:szCs w:val="28"/>
        </w:rPr>
        <w:t xml:space="preserve"> стресса на перекисное окисление липидов и ант</w:t>
      </w:r>
      <w:r w:rsidRPr="008647A2">
        <w:rPr>
          <w:sz w:val="28"/>
          <w:szCs w:val="28"/>
        </w:rPr>
        <w:t>и</w:t>
      </w:r>
      <w:r w:rsidRPr="008647A2">
        <w:rPr>
          <w:sz w:val="28"/>
          <w:szCs w:val="28"/>
        </w:rPr>
        <w:t xml:space="preserve">оксидантную систему тканей экспериментальных животных / Н.С. Шаповаленко, В.А. </w:t>
      </w:r>
      <w:proofErr w:type="spellStart"/>
      <w:r w:rsidRPr="008647A2">
        <w:rPr>
          <w:sz w:val="28"/>
          <w:szCs w:val="28"/>
        </w:rPr>
        <w:t>Доровских</w:t>
      </w:r>
      <w:proofErr w:type="spellEnd"/>
      <w:r w:rsidRPr="008647A2">
        <w:rPr>
          <w:sz w:val="28"/>
          <w:szCs w:val="28"/>
        </w:rPr>
        <w:t>, Н.В. Коршунова [и др.] // Бю</w:t>
      </w:r>
      <w:r w:rsidRPr="008647A2">
        <w:rPr>
          <w:sz w:val="28"/>
          <w:szCs w:val="28"/>
        </w:rPr>
        <w:t>л</w:t>
      </w:r>
      <w:r w:rsidRPr="008647A2">
        <w:rPr>
          <w:sz w:val="28"/>
          <w:szCs w:val="28"/>
        </w:rPr>
        <w:t xml:space="preserve">летень. 2011. </w:t>
      </w:r>
      <w:proofErr w:type="spellStart"/>
      <w:r w:rsidRPr="008647A2">
        <w:rPr>
          <w:sz w:val="28"/>
          <w:szCs w:val="28"/>
        </w:rPr>
        <w:t>Вып</w:t>
      </w:r>
      <w:proofErr w:type="spellEnd"/>
      <w:r w:rsidRPr="008647A2">
        <w:rPr>
          <w:sz w:val="28"/>
          <w:szCs w:val="28"/>
        </w:rPr>
        <w:t>. 39. С. 24.</w:t>
      </w:r>
    </w:p>
    <w:p w:rsidR="00892319" w:rsidRPr="00B84739" w:rsidRDefault="00892319" w:rsidP="00892319">
      <w:pPr>
        <w:ind w:firstLine="708"/>
        <w:jc w:val="both"/>
        <w:rPr>
          <w:sz w:val="28"/>
          <w:szCs w:val="28"/>
        </w:rPr>
      </w:pPr>
      <w:r w:rsidRPr="00B84739">
        <w:rPr>
          <w:sz w:val="28"/>
          <w:szCs w:val="28"/>
        </w:rPr>
        <w:t>16. Владимиров Ю.А. Свобод</w:t>
      </w:r>
      <w:r>
        <w:rPr>
          <w:sz w:val="28"/>
          <w:szCs w:val="28"/>
        </w:rPr>
        <w:t>ные радикалы в биологических си</w:t>
      </w:r>
      <w:r w:rsidRPr="00B84739">
        <w:rPr>
          <w:sz w:val="28"/>
          <w:szCs w:val="28"/>
        </w:rPr>
        <w:t xml:space="preserve">стемах // </w:t>
      </w:r>
      <w:proofErr w:type="spellStart"/>
      <w:r w:rsidRPr="00B84739">
        <w:rPr>
          <w:sz w:val="28"/>
          <w:szCs w:val="28"/>
        </w:rPr>
        <w:t>Соросо</w:t>
      </w:r>
      <w:r w:rsidRPr="00B84739">
        <w:rPr>
          <w:sz w:val="28"/>
          <w:szCs w:val="28"/>
        </w:rPr>
        <w:t>в</w:t>
      </w:r>
      <w:r w:rsidRPr="00B84739">
        <w:rPr>
          <w:sz w:val="28"/>
          <w:szCs w:val="28"/>
        </w:rPr>
        <w:t>ский</w:t>
      </w:r>
      <w:proofErr w:type="spellEnd"/>
      <w:r w:rsidRPr="00B84739">
        <w:rPr>
          <w:sz w:val="28"/>
          <w:szCs w:val="28"/>
        </w:rPr>
        <w:t xml:space="preserve"> образовательный журнал. 2000. № 6 (12). С.13.</w:t>
      </w:r>
    </w:p>
    <w:p w:rsidR="00892319" w:rsidRPr="00853148" w:rsidRDefault="00892319" w:rsidP="00892319">
      <w:pPr>
        <w:pStyle w:val="a3"/>
        <w:spacing w:before="120" w:beforeAutospacing="0" w:after="0" w:afterAutospacing="0"/>
        <w:textAlignment w:val="top"/>
        <w:rPr>
          <w:b/>
          <w:i/>
          <w:color w:val="000000"/>
          <w:lang w:val="uk-UA"/>
        </w:rPr>
      </w:pPr>
      <w:r w:rsidRPr="00853148">
        <w:rPr>
          <w:b/>
          <w:i/>
          <w:color w:val="000000"/>
          <w:lang w:val="uk-UA"/>
        </w:rPr>
        <w:t>О.В. Ніколаєва, В.А. Сіренко, О.О. Павлова</w:t>
      </w:r>
    </w:p>
    <w:p w:rsidR="00892319" w:rsidRPr="00933536" w:rsidRDefault="00892319" w:rsidP="00892319">
      <w:pPr>
        <w:rPr>
          <w:b/>
          <w:caps/>
          <w:sz w:val="28"/>
          <w:szCs w:val="28"/>
        </w:rPr>
      </w:pPr>
      <w:r w:rsidRPr="00933536">
        <w:rPr>
          <w:b/>
          <w:caps/>
          <w:sz w:val="28"/>
          <w:szCs w:val="28"/>
          <w:lang w:val="uk-UA"/>
        </w:rPr>
        <w:t>СТАН ОКИСЛЮВАЛЬНО-АНТИОКСИДАНТНОГО</w:t>
      </w:r>
      <w:r w:rsidRPr="00933536">
        <w:rPr>
          <w:b/>
          <w:caps/>
          <w:sz w:val="28"/>
          <w:szCs w:val="28"/>
        </w:rPr>
        <w:t xml:space="preserve"> ГОМЕО</w:t>
      </w:r>
      <w:r>
        <w:rPr>
          <w:b/>
          <w:caps/>
          <w:sz w:val="28"/>
          <w:szCs w:val="28"/>
          <w:lang w:val="uk-UA"/>
        </w:rPr>
        <w:t>-</w:t>
      </w:r>
      <w:r w:rsidRPr="00933536">
        <w:rPr>
          <w:b/>
          <w:caps/>
          <w:sz w:val="28"/>
          <w:szCs w:val="28"/>
        </w:rPr>
        <w:t>СТАЗ</w:t>
      </w:r>
      <w:r w:rsidRPr="00933536">
        <w:rPr>
          <w:b/>
          <w:caps/>
          <w:sz w:val="28"/>
          <w:szCs w:val="28"/>
          <w:lang w:val="uk-UA"/>
        </w:rPr>
        <w:t>У</w:t>
      </w:r>
      <w:r w:rsidRPr="00933536">
        <w:rPr>
          <w:b/>
          <w:caps/>
          <w:sz w:val="28"/>
          <w:szCs w:val="28"/>
        </w:rPr>
        <w:t xml:space="preserve"> в </w:t>
      </w:r>
      <w:r w:rsidRPr="00933536">
        <w:rPr>
          <w:b/>
          <w:caps/>
          <w:sz w:val="28"/>
          <w:szCs w:val="28"/>
          <w:lang w:val="uk-UA"/>
        </w:rPr>
        <w:t>ПІДШЛУНКОВІЙ ЗАЛОЗІ ТА СИРОВАТЦІ КРОВІ ЩУРЯТ</w:t>
      </w:r>
      <w:r w:rsidRPr="00933536">
        <w:rPr>
          <w:b/>
          <w:caps/>
          <w:sz w:val="28"/>
          <w:szCs w:val="28"/>
        </w:rPr>
        <w:t xml:space="preserve">, </w:t>
      </w:r>
      <w:r w:rsidRPr="00933536">
        <w:rPr>
          <w:b/>
          <w:caps/>
          <w:sz w:val="28"/>
          <w:szCs w:val="28"/>
          <w:lang w:val="uk-UA"/>
        </w:rPr>
        <w:t xml:space="preserve">ЯКІ </w:t>
      </w:r>
      <w:r w:rsidRPr="00933536">
        <w:rPr>
          <w:b/>
          <w:caps/>
          <w:sz w:val="28"/>
          <w:szCs w:val="28"/>
        </w:rPr>
        <w:t>ПЕРЕНЕС</w:t>
      </w:r>
      <w:r w:rsidRPr="00933536">
        <w:rPr>
          <w:b/>
          <w:caps/>
          <w:sz w:val="28"/>
          <w:szCs w:val="28"/>
          <w:lang w:val="uk-UA"/>
        </w:rPr>
        <w:t>ЛИ</w:t>
      </w:r>
      <w:r w:rsidRPr="00933536">
        <w:rPr>
          <w:b/>
          <w:caps/>
          <w:sz w:val="28"/>
          <w:szCs w:val="28"/>
        </w:rPr>
        <w:t xml:space="preserve"> ХРОН</w:t>
      </w:r>
      <w:r w:rsidRPr="00933536">
        <w:rPr>
          <w:b/>
          <w:caps/>
          <w:sz w:val="28"/>
          <w:szCs w:val="28"/>
          <w:lang w:val="uk-UA"/>
        </w:rPr>
        <w:t>І</w:t>
      </w:r>
      <w:r w:rsidRPr="00933536">
        <w:rPr>
          <w:b/>
          <w:caps/>
          <w:sz w:val="28"/>
          <w:szCs w:val="28"/>
        </w:rPr>
        <w:t>Ч</w:t>
      </w:r>
      <w:r w:rsidRPr="00933536">
        <w:rPr>
          <w:b/>
          <w:caps/>
          <w:sz w:val="28"/>
          <w:szCs w:val="28"/>
          <w:lang w:val="uk-UA"/>
        </w:rPr>
        <w:t>НИЙ</w:t>
      </w:r>
      <w:r w:rsidRPr="00933536">
        <w:rPr>
          <w:b/>
          <w:caps/>
          <w:sz w:val="28"/>
          <w:szCs w:val="28"/>
        </w:rPr>
        <w:t xml:space="preserve"> ГЕСТАЦ</w:t>
      </w:r>
      <w:r w:rsidRPr="00933536">
        <w:rPr>
          <w:b/>
          <w:caps/>
          <w:sz w:val="28"/>
          <w:szCs w:val="28"/>
          <w:lang w:val="uk-UA"/>
        </w:rPr>
        <w:t>ІЙНИЙ</w:t>
      </w:r>
      <w:r w:rsidRPr="00933536">
        <w:rPr>
          <w:b/>
          <w:caps/>
          <w:sz w:val="28"/>
          <w:szCs w:val="28"/>
        </w:rPr>
        <w:t xml:space="preserve"> СТРЕС</w:t>
      </w:r>
    </w:p>
    <w:p w:rsidR="00892319" w:rsidRDefault="00892319" w:rsidP="00892319">
      <w:pPr>
        <w:pStyle w:val="a3"/>
        <w:spacing w:before="0" w:beforeAutospacing="0" w:after="0" w:afterAutospacing="0"/>
        <w:ind w:firstLine="708"/>
        <w:jc w:val="both"/>
        <w:textAlignment w:val="top"/>
        <w:rPr>
          <w:lang w:val="uk-UA"/>
        </w:rPr>
      </w:pPr>
      <w:r w:rsidRPr="00625DD9">
        <w:rPr>
          <w:lang w:val="uk-UA"/>
        </w:rPr>
        <w:t xml:space="preserve">Вивчений окислювально-антиоксидантний гомеостаз (ОАГ) у </w:t>
      </w:r>
      <w:r>
        <w:rPr>
          <w:lang w:val="uk-UA"/>
        </w:rPr>
        <w:t>66</w:t>
      </w:r>
      <w:r w:rsidRPr="00625DD9">
        <w:rPr>
          <w:lang w:val="uk-UA"/>
        </w:rPr>
        <w:t xml:space="preserve"> щурів п</w:t>
      </w:r>
      <w:r w:rsidRPr="00625DD9">
        <w:rPr>
          <w:lang w:val="uk-UA"/>
        </w:rPr>
        <w:t>о</w:t>
      </w:r>
      <w:r w:rsidRPr="00625DD9">
        <w:rPr>
          <w:lang w:val="uk-UA"/>
        </w:rPr>
        <w:t xml:space="preserve">пуляції </w:t>
      </w:r>
      <w:r w:rsidRPr="00EA2253">
        <w:t>WAG</w:t>
      </w:r>
      <w:r w:rsidRPr="00625DD9">
        <w:rPr>
          <w:lang w:val="uk-UA"/>
        </w:rPr>
        <w:t>/</w:t>
      </w:r>
      <w:r w:rsidRPr="00EA2253">
        <w:t>G</w:t>
      </w:r>
      <w:r w:rsidRPr="00625DD9">
        <w:rPr>
          <w:lang w:val="uk-UA"/>
        </w:rPr>
        <w:t xml:space="preserve"> </w:t>
      </w:r>
      <w:proofErr w:type="spellStart"/>
      <w:r w:rsidRPr="00EA2253">
        <w:t>Sto</w:t>
      </w:r>
      <w:proofErr w:type="spellEnd"/>
      <w:r w:rsidRPr="00625DD9">
        <w:rPr>
          <w:lang w:val="uk-UA"/>
        </w:rPr>
        <w:t xml:space="preserve"> на підставі визначення активності </w:t>
      </w:r>
      <w:proofErr w:type="spellStart"/>
      <w:r w:rsidRPr="00625DD9">
        <w:rPr>
          <w:lang w:val="uk-UA"/>
        </w:rPr>
        <w:t>пер</w:t>
      </w:r>
      <w:r>
        <w:rPr>
          <w:lang w:val="uk-UA"/>
        </w:rPr>
        <w:t>оксидного</w:t>
      </w:r>
      <w:proofErr w:type="spellEnd"/>
      <w:r w:rsidRPr="00625DD9">
        <w:rPr>
          <w:lang w:val="uk-UA"/>
        </w:rPr>
        <w:t xml:space="preserve"> окислення ліпідів (ПОЛ) (</w:t>
      </w:r>
      <w:proofErr w:type="spellStart"/>
      <w:r w:rsidRPr="00625DD9">
        <w:rPr>
          <w:lang w:val="uk-UA"/>
        </w:rPr>
        <w:t>д</w:t>
      </w:r>
      <w:r>
        <w:rPr>
          <w:lang w:val="uk-UA"/>
        </w:rPr>
        <w:t>і</w:t>
      </w:r>
      <w:r w:rsidRPr="00625DD9">
        <w:rPr>
          <w:lang w:val="uk-UA"/>
        </w:rPr>
        <w:t>єнових</w:t>
      </w:r>
      <w:proofErr w:type="spellEnd"/>
      <w:r w:rsidRPr="00625DD9">
        <w:rPr>
          <w:lang w:val="uk-UA"/>
        </w:rPr>
        <w:t xml:space="preserve"> </w:t>
      </w:r>
      <w:proofErr w:type="spellStart"/>
      <w:r w:rsidRPr="00625DD9">
        <w:rPr>
          <w:lang w:val="uk-UA"/>
        </w:rPr>
        <w:t>кон’югат</w:t>
      </w:r>
      <w:r>
        <w:rPr>
          <w:lang w:val="uk-UA"/>
        </w:rPr>
        <w:t>і</w:t>
      </w:r>
      <w:r w:rsidRPr="00625DD9">
        <w:rPr>
          <w:lang w:val="uk-UA"/>
        </w:rPr>
        <w:t>в</w:t>
      </w:r>
      <w:proofErr w:type="spellEnd"/>
      <w:r w:rsidRPr="00625DD9">
        <w:rPr>
          <w:lang w:val="uk-UA"/>
        </w:rPr>
        <w:t xml:space="preserve"> і </w:t>
      </w:r>
      <w:proofErr w:type="spellStart"/>
      <w:r w:rsidRPr="00625DD9">
        <w:rPr>
          <w:lang w:val="uk-UA"/>
        </w:rPr>
        <w:t>малонового</w:t>
      </w:r>
      <w:proofErr w:type="spellEnd"/>
      <w:r w:rsidRPr="00625DD9">
        <w:rPr>
          <w:lang w:val="uk-UA"/>
        </w:rPr>
        <w:t xml:space="preserve"> діальдегіду) і антиоксидантної системи (АОС) (</w:t>
      </w:r>
      <w:proofErr w:type="spellStart"/>
      <w:r w:rsidRPr="00625DD9">
        <w:rPr>
          <w:lang w:val="uk-UA"/>
        </w:rPr>
        <w:t>супероксиддисмутаз</w:t>
      </w:r>
      <w:r>
        <w:rPr>
          <w:lang w:val="uk-UA"/>
        </w:rPr>
        <w:t>и</w:t>
      </w:r>
      <w:proofErr w:type="spellEnd"/>
      <w:r w:rsidRPr="00625DD9">
        <w:rPr>
          <w:lang w:val="uk-UA"/>
        </w:rPr>
        <w:t xml:space="preserve"> і каталаз</w:t>
      </w:r>
      <w:r>
        <w:rPr>
          <w:lang w:val="uk-UA"/>
        </w:rPr>
        <w:t>и</w:t>
      </w:r>
      <w:r w:rsidRPr="00625DD9">
        <w:rPr>
          <w:lang w:val="uk-UA"/>
        </w:rPr>
        <w:t>) в П</w:t>
      </w:r>
      <w:r>
        <w:rPr>
          <w:lang w:val="uk-UA"/>
        </w:rPr>
        <w:t>З</w:t>
      </w:r>
      <w:r w:rsidRPr="00625DD9">
        <w:rPr>
          <w:lang w:val="uk-UA"/>
        </w:rPr>
        <w:t xml:space="preserve"> і сироватці крові.</w:t>
      </w:r>
      <w:r>
        <w:rPr>
          <w:lang w:val="uk-UA"/>
        </w:rPr>
        <w:t xml:space="preserve"> У </w:t>
      </w:r>
      <w:r>
        <w:rPr>
          <w:lang w:val="uk-UA"/>
        </w:rPr>
        <w:lastRenderedPageBreak/>
        <w:t>нов</w:t>
      </w:r>
      <w:r>
        <w:rPr>
          <w:lang w:val="uk-UA"/>
        </w:rPr>
        <w:t>о</w:t>
      </w:r>
      <w:r>
        <w:rPr>
          <w:lang w:val="uk-UA"/>
        </w:rPr>
        <w:t>народжених, 1-місячних і 2-мі-сячних щурят підвищена активність ПОЛ і АОС. Рівень показників ПОЛ-АОС</w:t>
      </w:r>
      <w:r w:rsidRPr="00273431">
        <w:rPr>
          <w:lang w:val="uk-UA"/>
        </w:rPr>
        <w:t xml:space="preserve"> </w:t>
      </w:r>
      <w:r>
        <w:rPr>
          <w:lang w:val="uk-UA"/>
        </w:rPr>
        <w:t>в ПЗ і сироватці крові відповідає обміну речовин, притаманному стадії резистентності загального адаптаційного синдрому. Значна різниця між високим рівнем показників ПОЛ-АОС в сироватці крові і помірним збільшенням їх в ПЗ свідчить</w:t>
      </w:r>
      <w:r w:rsidRPr="00205EBC">
        <w:rPr>
          <w:lang w:val="uk-UA"/>
        </w:rPr>
        <w:t xml:space="preserve"> </w:t>
      </w:r>
      <w:r>
        <w:rPr>
          <w:lang w:val="uk-UA"/>
        </w:rPr>
        <w:t xml:space="preserve">про наявність </w:t>
      </w:r>
      <w:proofErr w:type="spellStart"/>
      <w:r>
        <w:rPr>
          <w:lang w:val="uk-UA"/>
        </w:rPr>
        <w:t>орган</w:t>
      </w:r>
      <w:r>
        <w:rPr>
          <w:lang w:val="uk-UA"/>
        </w:rPr>
        <w:t>о</w:t>
      </w:r>
      <w:r>
        <w:rPr>
          <w:lang w:val="uk-UA"/>
        </w:rPr>
        <w:t>специфічних</w:t>
      </w:r>
      <w:proofErr w:type="spellEnd"/>
      <w:r>
        <w:rPr>
          <w:lang w:val="uk-UA"/>
        </w:rPr>
        <w:t xml:space="preserve"> стрес-індукованих особливостей ОАГ в ПЗ щурят. </w:t>
      </w:r>
      <w:r w:rsidRPr="005628D5">
        <w:rPr>
          <w:color w:val="000000"/>
          <w:lang w:val="uk-UA"/>
        </w:rPr>
        <w:t xml:space="preserve">Отримані дані </w:t>
      </w:r>
      <w:r>
        <w:rPr>
          <w:color w:val="000000"/>
          <w:lang w:val="uk-UA"/>
        </w:rPr>
        <w:t>маніфестують</w:t>
      </w:r>
      <w:r w:rsidRPr="005628D5">
        <w:rPr>
          <w:color w:val="000000"/>
          <w:lang w:val="uk-UA"/>
        </w:rPr>
        <w:t xml:space="preserve"> знач</w:t>
      </w:r>
      <w:r w:rsidRPr="005628D5">
        <w:rPr>
          <w:color w:val="000000"/>
          <w:lang w:val="uk-UA"/>
        </w:rPr>
        <w:t>у</w:t>
      </w:r>
      <w:r w:rsidRPr="005628D5">
        <w:rPr>
          <w:color w:val="000000"/>
          <w:lang w:val="uk-UA"/>
        </w:rPr>
        <w:t>щість порушень ОАГ в патогенезі ушкодження П</w:t>
      </w:r>
      <w:r>
        <w:rPr>
          <w:color w:val="000000"/>
          <w:lang w:val="uk-UA"/>
        </w:rPr>
        <w:t>З</w:t>
      </w:r>
      <w:r w:rsidRPr="005628D5">
        <w:rPr>
          <w:color w:val="000000"/>
          <w:lang w:val="uk-UA"/>
        </w:rPr>
        <w:t xml:space="preserve"> у щурів</w:t>
      </w:r>
      <w:r>
        <w:rPr>
          <w:color w:val="000000"/>
          <w:lang w:val="uk-UA"/>
        </w:rPr>
        <w:t>, що перенесли хроні</w:t>
      </w:r>
      <w:r>
        <w:rPr>
          <w:color w:val="000000"/>
          <w:lang w:val="uk-UA"/>
        </w:rPr>
        <w:t>ч</w:t>
      </w:r>
      <w:r>
        <w:rPr>
          <w:color w:val="000000"/>
          <w:lang w:val="uk-UA"/>
        </w:rPr>
        <w:t xml:space="preserve">ний </w:t>
      </w:r>
      <w:proofErr w:type="spellStart"/>
      <w:r>
        <w:rPr>
          <w:color w:val="000000"/>
          <w:lang w:val="uk-UA"/>
        </w:rPr>
        <w:t>гестаційний</w:t>
      </w:r>
      <w:proofErr w:type="spellEnd"/>
      <w:r>
        <w:rPr>
          <w:color w:val="000000"/>
          <w:lang w:val="uk-UA"/>
        </w:rPr>
        <w:t xml:space="preserve"> стрес.</w:t>
      </w:r>
    </w:p>
    <w:p w:rsidR="00892319" w:rsidRPr="00757F21" w:rsidRDefault="00892319" w:rsidP="00892319">
      <w:pPr>
        <w:pStyle w:val="a3"/>
        <w:spacing w:before="0" w:beforeAutospacing="0" w:after="0" w:afterAutospacing="0"/>
        <w:jc w:val="both"/>
        <w:textAlignment w:val="top"/>
        <w:rPr>
          <w:i/>
          <w:color w:val="000000"/>
          <w:lang w:val="uk-UA"/>
        </w:rPr>
      </w:pPr>
      <w:r w:rsidRPr="00757F21">
        <w:rPr>
          <w:b/>
          <w:i/>
          <w:color w:val="000000"/>
          <w:lang w:val="uk-UA"/>
        </w:rPr>
        <w:t>Ключові слова:</w:t>
      </w:r>
      <w:r w:rsidRPr="00757F21">
        <w:rPr>
          <w:i/>
          <w:color w:val="000000"/>
          <w:lang w:val="uk-UA"/>
        </w:rPr>
        <w:t xml:space="preserve"> окислювально-антиоксидантний гомеостаз, </w:t>
      </w:r>
      <w:proofErr w:type="spellStart"/>
      <w:r w:rsidRPr="00757F21">
        <w:rPr>
          <w:i/>
          <w:color w:val="000000"/>
          <w:lang w:val="uk-UA"/>
        </w:rPr>
        <w:t>гестаційний</w:t>
      </w:r>
      <w:proofErr w:type="spellEnd"/>
      <w:r w:rsidRPr="00757F21">
        <w:rPr>
          <w:i/>
          <w:color w:val="000000"/>
          <w:lang w:val="uk-UA"/>
        </w:rPr>
        <w:t xml:space="preserve"> стрес, підшлункова залоза, потомство щурів.</w:t>
      </w:r>
    </w:p>
    <w:p w:rsidR="00892319" w:rsidRPr="001A1896" w:rsidRDefault="00892319" w:rsidP="00892319">
      <w:pPr>
        <w:pStyle w:val="a3"/>
        <w:spacing w:before="120" w:beforeAutospacing="0" w:after="0" w:afterAutospacing="0"/>
        <w:textAlignment w:val="top"/>
        <w:rPr>
          <w:b/>
          <w:i/>
          <w:color w:val="000000"/>
        </w:rPr>
      </w:pPr>
      <w:r w:rsidRPr="001A1896">
        <w:rPr>
          <w:b/>
          <w:i/>
          <w:color w:val="000000"/>
        </w:rPr>
        <w:t>О.В. Николаева, В.А. Сиренко, Е.А. Павлова</w:t>
      </w:r>
    </w:p>
    <w:p w:rsidR="00892319" w:rsidRPr="002E3E08" w:rsidRDefault="00892319" w:rsidP="0089231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СОСТОЯНИЕ ОКИСЛИТЕЛЬНО-</w:t>
      </w:r>
      <w:r w:rsidRPr="002E3E08">
        <w:rPr>
          <w:b/>
          <w:caps/>
          <w:sz w:val="28"/>
          <w:szCs w:val="28"/>
        </w:rPr>
        <w:t xml:space="preserve">АНТИОКСИДАНТНОГО </w:t>
      </w:r>
      <w:proofErr w:type="gramStart"/>
      <w:r w:rsidRPr="002E3E08">
        <w:rPr>
          <w:b/>
          <w:caps/>
          <w:sz w:val="28"/>
          <w:szCs w:val="28"/>
        </w:rPr>
        <w:t>ГО</w:t>
      </w:r>
      <w:r>
        <w:rPr>
          <w:b/>
          <w:caps/>
          <w:sz w:val="28"/>
          <w:szCs w:val="28"/>
          <w:lang w:val="uk-UA"/>
        </w:rPr>
        <w:t>-</w:t>
      </w:r>
      <w:r w:rsidRPr="002E3E08">
        <w:rPr>
          <w:b/>
          <w:caps/>
          <w:sz w:val="28"/>
          <w:szCs w:val="28"/>
        </w:rPr>
        <w:t>МЕОСТАЗ</w:t>
      </w:r>
      <w:r>
        <w:rPr>
          <w:b/>
          <w:caps/>
          <w:sz w:val="28"/>
          <w:szCs w:val="28"/>
        </w:rPr>
        <w:t>А</w:t>
      </w:r>
      <w:proofErr w:type="gramEnd"/>
      <w:r w:rsidRPr="002E3E08">
        <w:rPr>
          <w:b/>
          <w:caps/>
          <w:sz w:val="28"/>
          <w:szCs w:val="28"/>
        </w:rPr>
        <w:t xml:space="preserve"> в </w:t>
      </w:r>
      <w:r>
        <w:rPr>
          <w:b/>
          <w:caps/>
          <w:sz w:val="28"/>
          <w:szCs w:val="28"/>
        </w:rPr>
        <w:t>ПОДЖЕЛУДОЧНОЙ ЖЕЛЕЗЕ И СЫВОРОТКЕ КРОВИ КРЫСЯТ</w:t>
      </w:r>
      <w:r w:rsidRPr="002E3E08">
        <w:rPr>
          <w:b/>
          <w:caps/>
          <w:sz w:val="28"/>
          <w:szCs w:val="28"/>
        </w:rPr>
        <w:t xml:space="preserve">, </w:t>
      </w:r>
      <w:r>
        <w:rPr>
          <w:b/>
          <w:caps/>
          <w:sz w:val="28"/>
          <w:szCs w:val="28"/>
        </w:rPr>
        <w:t>КОТОРЫЕ ПЕРЕНЕСЛИ ХРОНИЧЕСКИЙ</w:t>
      </w:r>
      <w:r w:rsidRPr="002E3E08">
        <w:rPr>
          <w:b/>
          <w:caps/>
          <w:sz w:val="28"/>
          <w:szCs w:val="28"/>
        </w:rPr>
        <w:t xml:space="preserve"> ГЕСТАЦ</w:t>
      </w:r>
      <w:r>
        <w:rPr>
          <w:b/>
          <w:caps/>
          <w:sz w:val="28"/>
          <w:szCs w:val="28"/>
        </w:rPr>
        <w:t xml:space="preserve">ИОННЫЙ </w:t>
      </w:r>
      <w:r w:rsidRPr="002E3E08">
        <w:rPr>
          <w:b/>
          <w:caps/>
          <w:sz w:val="28"/>
          <w:szCs w:val="28"/>
        </w:rPr>
        <w:t>СТРЕС</w:t>
      </w:r>
      <w:r>
        <w:rPr>
          <w:b/>
          <w:caps/>
          <w:sz w:val="28"/>
          <w:szCs w:val="28"/>
        </w:rPr>
        <w:t>С</w:t>
      </w:r>
    </w:p>
    <w:p w:rsidR="00892319" w:rsidRDefault="00892319" w:rsidP="00892319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t xml:space="preserve">Изучен </w:t>
      </w:r>
      <w:proofErr w:type="spellStart"/>
      <w:r>
        <w:t>окислительно</w:t>
      </w:r>
      <w:proofErr w:type="spellEnd"/>
      <w:r>
        <w:t>-антиоксидантный гомеостаз (ОАГ) у 66 крыс попул</w:t>
      </w:r>
      <w:r>
        <w:t>я</w:t>
      </w:r>
      <w:r>
        <w:t>ции</w:t>
      </w:r>
      <w:r w:rsidRPr="00DA69AD">
        <w:t xml:space="preserve"> </w:t>
      </w:r>
      <w:r w:rsidRPr="002E3E08">
        <w:t xml:space="preserve">WAG/G </w:t>
      </w:r>
      <w:proofErr w:type="spellStart"/>
      <w:r w:rsidRPr="002E3E08">
        <w:t>Sto</w:t>
      </w:r>
      <w:proofErr w:type="spellEnd"/>
      <w:r>
        <w:t xml:space="preserve"> на основании определения активности перекисного окисления липидов (ПОЛ) (диеновых </w:t>
      </w:r>
      <w:proofErr w:type="spellStart"/>
      <w:r>
        <w:t>конъюгатов</w:t>
      </w:r>
      <w:proofErr w:type="spellEnd"/>
      <w:r>
        <w:t xml:space="preserve"> и </w:t>
      </w:r>
      <w:proofErr w:type="spellStart"/>
      <w:r>
        <w:t>малонового</w:t>
      </w:r>
      <w:proofErr w:type="spellEnd"/>
      <w:r>
        <w:t xml:space="preserve"> </w:t>
      </w:r>
      <w:proofErr w:type="spellStart"/>
      <w:r>
        <w:t>диальдегида</w:t>
      </w:r>
      <w:proofErr w:type="spellEnd"/>
      <w:r>
        <w:t>) и антиокс</w:t>
      </w:r>
      <w:r>
        <w:t>и</w:t>
      </w:r>
      <w:r>
        <w:t>дантной системы (АОС) (</w:t>
      </w:r>
      <w:proofErr w:type="spellStart"/>
      <w:r>
        <w:t>супероксиддисмутазы</w:t>
      </w:r>
      <w:proofErr w:type="spellEnd"/>
      <w:r>
        <w:t xml:space="preserve"> и каталазы) в ПЖ и сыворотке крови. У новорождё</w:t>
      </w:r>
      <w:r>
        <w:t>н</w:t>
      </w:r>
      <w:r>
        <w:t>ных, 1-месячных и 2-месячных крысят повышена активность ПОЛ и АОС. Уровень показателей ПОЛ-АОС в ПЖ и сыворотке крови соотве</w:t>
      </w:r>
      <w:r>
        <w:t>т</w:t>
      </w:r>
      <w:r>
        <w:t>ствует обмену веществ, характерному для стадии резистентности общего адапт</w:t>
      </w:r>
      <w:r>
        <w:t>а</w:t>
      </w:r>
      <w:r>
        <w:t>ционного синдрома. Значительная разница между высоким уровнем показателей ПОЛ-АОС в сыворотке крови и умеренным увеличением их в ПЖ свидетельствует о наличии органоспец</w:t>
      </w:r>
      <w:r>
        <w:t>и</w:t>
      </w:r>
      <w:r>
        <w:t xml:space="preserve">фических стресс-индуцированных особенностей ОАГ в ПЖ крысят. Полученные данные манифестируют значимость нарушений ОАГ в патогенезе повреждения ПЖ у крыс, которые перенесли хронический </w:t>
      </w:r>
      <w:proofErr w:type="spellStart"/>
      <w:r>
        <w:t>гестацио</w:t>
      </w:r>
      <w:r>
        <w:t>н</w:t>
      </w:r>
      <w:r>
        <w:t>ный</w:t>
      </w:r>
      <w:proofErr w:type="spellEnd"/>
      <w:r>
        <w:t xml:space="preserve"> стресс.</w:t>
      </w:r>
    </w:p>
    <w:p w:rsidR="00892319" w:rsidRPr="002E3E08" w:rsidRDefault="00892319" w:rsidP="00892319">
      <w:pPr>
        <w:pStyle w:val="a3"/>
        <w:spacing w:before="0" w:beforeAutospacing="0" w:after="0" w:afterAutospacing="0"/>
        <w:textAlignment w:val="top"/>
        <w:rPr>
          <w:i/>
          <w:color w:val="000000"/>
        </w:rPr>
      </w:pPr>
      <w:r w:rsidRPr="002E3E08">
        <w:rPr>
          <w:b/>
          <w:i/>
          <w:color w:val="000000"/>
        </w:rPr>
        <w:t>Ключ</w:t>
      </w:r>
      <w:r>
        <w:rPr>
          <w:b/>
          <w:i/>
          <w:color w:val="000000"/>
        </w:rPr>
        <w:t>евые слова</w:t>
      </w:r>
      <w:r w:rsidRPr="002E3E08">
        <w:rPr>
          <w:b/>
          <w:i/>
          <w:color w:val="000000"/>
        </w:rPr>
        <w:t>:</w:t>
      </w:r>
      <w:r w:rsidRPr="002E3E08">
        <w:rPr>
          <w:i/>
          <w:color w:val="000000"/>
        </w:rPr>
        <w:t xml:space="preserve"> </w:t>
      </w:r>
      <w:proofErr w:type="spellStart"/>
      <w:r w:rsidRPr="002E3E08">
        <w:rPr>
          <w:i/>
          <w:color w:val="000000"/>
        </w:rPr>
        <w:t>окисл</w:t>
      </w:r>
      <w:r>
        <w:rPr>
          <w:i/>
          <w:color w:val="000000"/>
        </w:rPr>
        <w:t>ительно</w:t>
      </w:r>
      <w:proofErr w:type="spellEnd"/>
      <w:r w:rsidRPr="002E3E08">
        <w:rPr>
          <w:i/>
          <w:color w:val="000000"/>
        </w:rPr>
        <w:t>-антиоксидантн</w:t>
      </w:r>
      <w:r>
        <w:rPr>
          <w:i/>
          <w:color w:val="000000"/>
        </w:rPr>
        <w:t>ы</w:t>
      </w:r>
      <w:r w:rsidRPr="002E3E08">
        <w:rPr>
          <w:i/>
          <w:color w:val="000000"/>
        </w:rPr>
        <w:t xml:space="preserve">й гомеостаз, </w:t>
      </w:r>
      <w:proofErr w:type="spellStart"/>
      <w:r w:rsidRPr="002E3E08">
        <w:rPr>
          <w:i/>
          <w:color w:val="000000"/>
        </w:rPr>
        <w:t>гестац</w:t>
      </w:r>
      <w:r>
        <w:rPr>
          <w:i/>
          <w:color w:val="000000"/>
        </w:rPr>
        <w:t>ионный</w:t>
      </w:r>
      <w:proofErr w:type="spellEnd"/>
      <w:r w:rsidRPr="002E3E08">
        <w:rPr>
          <w:i/>
          <w:color w:val="000000"/>
        </w:rPr>
        <w:t xml:space="preserve"> стре</w:t>
      </w:r>
      <w:r>
        <w:rPr>
          <w:i/>
          <w:color w:val="000000"/>
        </w:rPr>
        <w:t>с</w:t>
      </w:r>
      <w:r w:rsidRPr="002E3E08">
        <w:rPr>
          <w:i/>
          <w:color w:val="000000"/>
        </w:rPr>
        <w:t>с, п</w:t>
      </w:r>
      <w:r>
        <w:rPr>
          <w:i/>
          <w:color w:val="000000"/>
        </w:rPr>
        <w:t>оджелудочная железа</w:t>
      </w:r>
      <w:r w:rsidRPr="002E3E08">
        <w:rPr>
          <w:i/>
          <w:color w:val="000000"/>
        </w:rPr>
        <w:t>, потомство</w:t>
      </w:r>
      <w:r>
        <w:rPr>
          <w:i/>
          <w:color w:val="000000"/>
        </w:rPr>
        <w:t xml:space="preserve"> крыс</w:t>
      </w:r>
      <w:r w:rsidRPr="002E3E08">
        <w:rPr>
          <w:i/>
          <w:color w:val="000000"/>
        </w:rPr>
        <w:t>.</w:t>
      </w:r>
    </w:p>
    <w:p w:rsidR="00892319" w:rsidRDefault="00892319" w:rsidP="00892319">
      <w:pPr>
        <w:rPr>
          <w:i/>
          <w:sz w:val="28"/>
          <w:szCs w:val="28"/>
        </w:rPr>
      </w:pPr>
    </w:p>
    <w:p w:rsidR="00892319" w:rsidRPr="008D7F5A" w:rsidRDefault="00892319" w:rsidP="00892319">
      <w:pPr>
        <w:rPr>
          <w:b/>
          <w:i/>
          <w:sz w:val="28"/>
          <w:szCs w:val="28"/>
        </w:rPr>
      </w:pPr>
      <w:r w:rsidRPr="001A1896">
        <w:rPr>
          <w:b/>
          <w:i/>
          <w:sz w:val="28"/>
          <w:szCs w:val="28"/>
          <w:lang w:val="en-US"/>
        </w:rPr>
        <w:t>O</w:t>
      </w:r>
      <w:r w:rsidRPr="008D7F5A">
        <w:rPr>
          <w:b/>
          <w:i/>
          <w:sz w:val="28"/>
          <w:szCs w:val="28"/>
        </w:rPr>
        <w:t>.</w:t>
      </w:r>
      <w:r w:rsidRPr="001A1896">
        <w:rPr>
          <w:b/>
          <w:i/>
          <w:sz w:val="28"/>
          <w:szCs w:val="28"/>
          <w:lang w:val="en-US"/>
        </w:rPr>
        <w:t>V</w:t>
      </w:r>
      <w:r w:rsidRPr="008D7F5A">
        <w:rPr>
          <w:b/>
          <w:i/>
          <w:sz w:val="28"/>
          <w:szCs w:val="28"/>
        </w:rPr>
        <w:t xml:space="preserve">. </w:t>
      </w:r>
      <w:proofErr w:type="spellStart"/>
      <w:r w:rsidRPr="001A1896">
        <w:rPr>
          <w:b/>
          <w:i/>
          <w:sz w:val="28"/>
          <w:szCs w:val="28"/>
          <w:lang w:val="en-US"/>
        </w:rPr>
        <w:t>Nikolayeva</w:t>
      </w:r>
      <w:proofErr w:type="spellEnd"/>
      <w:r w:rsidRPr="008D7F5A">
        <w:rPr>
          <w:b/>
          <w:i/>
          <w:sz w:val="28"/>
          <w:szCs w:val="28"/>
        </w:rPr>
        <w:t xml:space="preserve">, </w:t>
      </w:r>
      <w:r w:rsidRPr="001A1896">
        <w:rPr>
          <w:b/>
          <w:i/>
          <w:sz w:val="28"/>
          <w:szCs w:val="28"/>
          <w:lang w:val="en-US"/>
        </w:rPr>
        <w:t>V</w:t>
      </w:r>
      <w:r w:rsidRPr="008D7F5A">
        <w:rPr>
          <w:b/>
          <w:i/>
          <w:sz w:val="28"/>
          <w:szCs w:val="28"/>
        </w:rPr>
        <w:t>.</w:t>
      </w:r>
      <w:r w:rsidRPr="001A1896">
        <w:rPr>
          <w:b/>
          <w:i/>
          <w:sz w:val="28"/>
          <w:szCs w:val="28"/>
          <w:lang w:val="en-US"/>
        </w:rPr>
        <w:t>A</w:t>
      </w:r>
      <w:r w:rsidRPr="008D7F5A">
        <w:rPr>
          <w:b/>
          <w:i/>
          <w:sz w:val="28"/>
          <w:szCs w:val="28"/>
        </w:rPr>
        <w:t xml:space="preserve">. </w:t>
      </w:r>
      <w:proofErr w:type="spellStart"/>
      <w:r w:rsidRPr="001A1896">
        <w:rPr>
          <w:b/>
          <w:i/>
          <w:sz w:val="28"/>
          <w:szCs w:val="28"/>
          <w:lang w:val="en-US"/>
        </w:rPr>
        <w:t>Sirenko</w:t>
      </w:r>
      <w:proofErr w:type="spellEnd"/>
      <w:r w:rsidRPr="008D7F5A">
        <w:rPr>
          <w:b/>
          <w:i/>
          <w:sz w:val="28"/>
          <w:szCs w:val="28"/>
        </w:rPr>
        <w:t xml:space="preserve">, </w:t>
      </w:r>
      <w:r w:rsidRPr="001A1896">
        <w:rPr>
          <w:b/>
          <w:i/>
          <w:sz w:val="28"/>
          <w:szCs w:val="28"/>
          <w:lang w:val="en-US"/>
        </w:rPr>
        <w:t>E</w:t>
      </w:r>
      <w:r w:rsidRPr="008D7F5A">
        <w:rPr>
          <w:b/>
          <w:i/>
          <w:sz w:val="28"/>
          <w:szCs w:val="28"/>
        </w:rPr>
        <w:t>.</w:t>
      </w:r>
      <w:r w:rsidRPr="001A1896">
        <w:rPr>
          <w:b/>
          <w:i/>
          <w:sz w:val="28"/>
          <w:szCs w:val="28"/>
          <w:lang w:val="en-US"/>
        </w:rPr>
        <w:t>A</w:t>
      </w:r>
      <w:r w:rsidRPr="008D7F5A">
        <w:rPr>
          <w:b/>
          <w:i/>
          <w:sz w:val="28"/>
          <w:szCs w:val="28"/>
        </w:rPr>
        <w:t xml:space="preserve">. </w:t>
      </w:r>
      <w:proofErr w:type="spellStart"/>
      <w:r w:rsidRPr="001A1896">
        <w:rPr>
          <w:b/>
          <w:i/>
          <w:sz w:val="28"/>
          <w:szCs w:val="28"/>
          <w:lang w:val="en-US"/>
        </w:rPr>
        <w:t>Pavlova</w:t>
      </w:r>
      <w:proofErr w:type="spellEnd"/>
    </w:p>
    <w:p w:rsidR="00892319" w:rsidRDefault="00892319" w:rsidP="00892319">
      <w:pPr>
        <w:rPr>
          <w:b/>
          <w:sz w:val="28"/>
          <w:szCs w:val="28"/>
          <w:lang w:val="en-US"/>
        </w:rPr>
      </w:pPr>
      <w:r w:rsidRPr="00D277CE">
        <w:rPr>
          <w:b/>
          <w:sz w:val="28"/>
          <w:szCs w:val="28"/>
          <w:lang w:val="en-US"/>
        </w:rPr>
        <w:t>CONDITION OF OXID</w:t>
      </w:r>
      <w:r>
        <w:rPr>
          <w:b/>
          <w:sz w:val="28"/>
          <w:szCs w:val="28"/>
          <w:lang w:val="en-US"/>
        </w:rPr>
        <w:t>ATIVE</w:t>
      </w:r>
      <w:r w:rsidRPr="00D277CE">
        <w:rPr>
          <w:b/>
          <w:sz w:val="28"/>
          <w:szCs w:val="28"/>
          <w:lang w:val="en-US"/>
        </w:rPr>
        <w:t xml:space="preserve"> AND ANTIOXIDATI</w:t>
      </w:r>
      <w:r>
        <w:rPr>
          <w:b/>
          <w:sz w:val="28"/>
          <w:szCs w:val="28"/>
          <w:lang w:val="en-US"/>
        </w:rPr>
        <w:t>VE</w:t>
      </w:r>
      <w:r w:rsidRPr="00D277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</w:t>
      </w:r>
      <w:r w:rsidRPr="00D277CE">
        <w:rPr>
          <w:b/>
          <w:sz w:val="28"/>
          <w:szCs w:val="28"/>
          <w:lang w:val="en-US"/>
        </w:rPr>
        <w:t>OMEO</w:t>
      </w:r>
      <w:r>
        <w:rPr>
          <w:b/>
          <w:sz w:val="28"/>
          <w:szCs w:val="28"/>
          <w:lang w:val="uk-UA"/>
        </w:rPr>
        <w:t>-</w:t>
      </w:r>
      <w:r w:rsidRPr="00D277CE">
        <w:rPr>
          <w:b/>
          <w:sz w:val="28"/>
          <w:szCs w:val="28"/>
          <w:lang w:val="en-US"/>
        </w:rPr>
        <w:t>STA</w:t>
      </w:r>
      <w:r>
        <w:rPr>
          <w:b/>
          <w:sz w:val="28"/>
          <w:szCs w:val="28"/>
          <w:lang w:val="en-US"/>
        </w:rPr>
        <w:t>SIS</w:t>
      </w:r>
      <w:r w:rsidRPr="00D277CE">
        <w:rPr>
          <w:b/>
          <w:sz w:val="28"/>
          <w:szCs w:val="28"/>
          <w:lang w:val="en-US"/>
        </w:rPr>
        <w:t xml:space="preserve"> IN THE PANCREAS AN</w:t>
      </w:r>
      <w:r>
        <w:rPr>
          <w:b/>
          <w:sz w:val="28"/>
          <w:szCs w:val="28"/>
          <w:lang w:val="en-US"/>
        </w:rPr>
        <w:t xml:space="preserve"> </w:t>
      </w:r>
      <w:r w:rsidRPr="00D277CE">
        <w:rPr>
          <w:b/>
          <w:sz w:val="28"/>
          <w:szCs w:val="28"/>
          <w:lang w:val="en-US"/>
        </w:rPr>
        <w:t xml:space="preserve">D THE BLOOD OF </w:t>
      </w:r>
      <w:r>
        <w:rPr>
          <w:b/>
          <w:sz w:val="28"/>
          <w:szCs w:val="28"/>
          <w:lang w:val="en-US"/>
        </w:rPr>
        <w:t xml:space="preserve">THE </w:t>
      </w:r>
      <w:r w:rsidRPr="00D277CE">
        <w:rPr>
          <w:b/>
          <w:sz w:val="28"/>
          <w:szCs w:val="28"/>
          <w:lang w:val="en-US"/>
        </w:rPr>
        <w:t>INFANT RATS</w:t>
      </w:r>
      <w:r w:rsidRPr="00C6152E">
        <w:rPr>
          <w:b/>
          <w:sz w:val="28"/>
          <w:szCs w:val="28"/>
          <w:lang w:val="en-US"/>
        </w:rPr>
        <w:t xml:space="preserve"> WHICH</w:t>
      </w:r>
      <w:r>
        <w:rPr>
          <w:b/>
          <w:sz w:val="28"/>
          <w:szCs w:val="28"/>
          <w:lang w:val="en-US"/>
        </w:rPr>
        <w:t xml:space="preserve"> </w:t>
      </w:r>
      <w:r w:rsidRPr="00C6152E">
        <w:rPr>
          <w:b/>
          <w:sz w:val="28"/>
          <w:szCs w:val="28"/>
          <w:lang w:val="en-US"/>
        </w:rPr>
        <w:t>RECEIVED</w:t>
      </w:r>
      <w:r w:rsidRPr="006E436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THE </w:t>
      </w:r>
      <w:r w:rsidRPr="00C6152E">
        <w:rPr>
          <w:b/>
          <w:sz w:val="28"/>
          <w:szCs w:val="28"/>
          <w:lang w:val="en-US"/>
        </w:rPr>
        <w:t>CHRONIC GESTATIONAL STRESS</w:t>
      </w:r>
    </w:p>
    <w:p w:rsidR="00892319" w:rsidRPr="006E4369" w:rsidRDefault="00892319" w:rsidP="0089231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A97DBE">
        <w:rPr>
          <w:sz w:val="28"/>
          <w:szCs w:val="28"/>
          <w:lang w:val="en-US"/>
        </w:rPr>
        <w:t xml:space="preserve"> study</w:t>
      </w:r>
      <w:r w:rsidRPr="00A92BA1">
        <w:rPr>
          <w:lang w:val="en-US"/>
        </w:rPr>
        <w:t xml:space="preserve"> </w:t>
      </w:r>
      <w:r w:rsidRPr="00A97DBE">
        <w:rPr>
          <w:sz w:val="28"/>
          <w:szCs w:val="28"/>
          <w:lang w:val="en-US"/>
        </w:rPr>
        <w:t>oxid</w:t>
      </w:r>
      <w:r>
        <w:rPr>
          <w:sz w:val="28"/>
          <w:szCs w:val="28"/>
          <w:lang w:val="en-US"/>
        </w:rPr>
        <w:t>ative -antioxidant homeostasis (OAH</w:t>
      </w:r>
      <w:r w:rsidRPr="00A92BA1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A97DBE">
        <w:rPr>
          <w:sz w:val="28"/>
          <w:szCs w:val="28"/>
          <w:lang w:val="en-US"/>
        </w:rPr>
        <w:t xml:space="preserve">on </w:t>
      </w:r>
      <w:r w:rsidRPr="00A92BA1">
        <w:rPr>
          <w:sz w:val="28"/>
          <w:szCs w:val="28"/>
          <w:lang w:val="en-US"/>
        </w:rPr>
        <w:t>66</w:t>
      </w:r>
      <w:r w:rsidRPr="00A97DBE">
        <w:rPr>
          <w:sz w:val="28"/>
          <w:szCs w:val="28"/>
          <w:lang w:val="en-US"/>
        </w:rPr>
        <w:t xml:space="preserve"> nonlinear white rats of WAG/G </w:t>
      </w:r>
      <w:proofErr w:type="spellStart"/>
      <w:r w:rsidRPr="00A97DBE">
        <w:rPr>
          <w:sz w:val="28"/>
          <w:szCs w:val="28"/>
          <w:lang w:val="en-US"/>
        </w:rPr>
        <w:t>Sto</w:t>
      </w:r>
      <w:proofErr w:type="spellEnd"/>
      <w:r>
        <w:rPr>
          <w:sz w:val="28"/>
          <w:szCs w:val="28"/>
          <w:lang w:val="en-US"/>
        </w:rPr>
        <w:t xml:space="preserve"> on the grounds </w:t>
      </w:r>
      <w:r w:rsidRPr="00F25999">
        <w:rPr>
          <w:sz w:val="28"/>
          <w:szCs w:val="28"/>
          <w:lang w:val="en-US"/>
        </w:rPr>
        <w:t>determining the activity of lipid peroxidation (LPO)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diene</w:t>
      </w:r>
      <w:proofErr w:type="spellEnd"/>
      <w:r>
        <w:rPr>
          <w:sz w:val="28"/>
          <w:szCs w:val="28"/>
          <w:lang w:val="en-US"/>
        </w:rPr>
        <w:t xml:space="preserve"> </w:t>
      </w:r>
      <w:r w:rsidRPr="00F25999">
        <w:rPr>
          <w:sz w:val="28"/>
          <w:szCs w:val="28"/>
          <w:lang w:val="en-US"/>
        </w:rPr>
        <w:t xml:space="preserve">conjugates and </w:t>
      </w:r>
      <w:proofErr w:type="spellStart"/>
      <w:r w:rsidRPr="00F25999">
        <w:rPr>
          <w:sz w:val="28"/>
          <w:szCs w:val="28"/>
          <w:lang w:val="en-US"/>
        </w:rPr>
        <w:t>malonic</w:t>
      </w:r>
      <w:proofErr w:type="spellEnd"/>
      <w:r w:rsidRPr="00F25999">
        <w:rPr>
          <w:sz w:val="28"/>
          <w:szCs w:val="28"/>
          <w:lang w:val="en-US"/>
        </w:rPr>
        <w:t xml:space="preserve"> </w:t>
      </w:r>
      <w:proofErr w:type="spellStart"/>
      <w:r w:rsidRPr="00F25999">
        <w:rPr>
          <w:sz w:val="28"/>
          <w:szCs w:val="28"/>
          <w:lang w:val="en-US"/>
        </w:rPr>
        <w:t>dialdehyde</w:t>
      </w:r>
      <w:proofErr w:type="spellEnd"/>
      <w:r w:rsidRPr="00F25999">
        <w:rPr>
          <w:sz w:val="28"/>
          <w:szCs w:val="28"/>
          <w:lang w:val="en-US"/>
        </w:rPr>
        <w:t>) and antioxidant system (AOS) (superoxide dismutase and catalase)</w:t>
      </w:r>
      <w:r>
        <w:rPr>
          <w:sz w:val="28"/>
          <w:szCs w:val="28"/>
          <w:lang w:val="en-US"/>
        </w:rPr>
        <w:t xml:space="preserve"> </w:t>
      </w:r>
      <w:r w:rsidRPr="00A97DBE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the </w:t>
      </w:r>
      <w:r w:rsidRPr="00A97DBE">
        <w:rPr>
          <w:sz w:val="28"/>
          <w:szCs w:val="28"/>
          <w:lang w:val="en-US"/>
        </w:rPr>
        <w:t>tissue</w:t>
      </w:r>
      <w:r>
        <w:rPr>
          <w:sz w:val="28"/>
          <w:szCs w:val="28"/>
          <w:lang w:val="en-US"/>
        </w:rPr>
        <w:t xml:space="preserve"> of the</w:t>
      </w:r>
      <w:r w:rsidRPr="00A97D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pancreas </w:t>
      </w:r>
      <w:r w:rsidRPr="00F25999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 </w:t>
      </w:r>
      <w:r w:rsidRPr="00A97DBE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the </w:t>
      </w:r>
      <w:r w:rsidRPr="00A97DBE">
        <w:rPr>
          <w:sz w:val="28"/>
          <w:szCs w:val="28"/>
          <w:lang w:val="en-US"/>
        </w:rPr>
        <w:t>blood serum</w:t>
      </w:r>
      <w:r>
        <w:rPr>
          <w:sz w:val="28"/>
          <w:szCs w:val="28"/>
          <w:lang w:val="en-US"/>
        </w:rPr>
        <w:t>. In</w:t>
      </w:r>
      <w:r w:rsidRPr="00670E0B">
        <w:rPr>
          <w:sz w:val="28"/>
          <w:szCs w:val="28"/>
          <w:lang w:val="en-US"/>
        </w:rPr>
        <w:t xml:space="preserve"> 1-month</w:t>
      </w:r>
      <w:r>
        <w:rPr>
          <w:sz w:val="28"/>
          <w:szCs w:val="28"/>
          <w:lang w:val="en-US"/>
        </w:rPr>
        <w:t xml:space="preserve">-old and 2-month-old </w:t>
      </w:r>
      <w:r w:rsidRPr="00173A4A">
        <w:rPr>
          <w:sz w:val="28"/>
          <w:szCs w:val="28"/>
          <w:lang w:val="en-US"/>
        </w:rPr>
        <w:t>newborn</w:t>
      </w:r>
      <w:r>
        <w:rPr>
          <w:sz w:val="28"/>
          <w:szCs w:val="28"/>
          <w:lang w:val="en-US"/>
        </w:rPr>
        <w:t xml:space="preserve"> </w:t>
      </w:r>
      <w:r w:rsidRPr="00A97DBE">
        <w:rPr>
          <w:sz w:val="28"/>
          <w:szCs w:val="28"/>
          <w:lang w:val="en-US"/>
        </w:rPr>
        <w:t>infant rats</w:t>
      </w:r>
      <w:r w:rsidRPr="00670E0B">
        <w:rPr>
          <w:sz w:val="28"/>
          <w:szCs w:val="28"/>
          <w:lang w:val="en-US"/>
        </w:rPr>
        <w:t>, the activity of LPO and AOS is i</w:t>
      </w:r>
      <w:r w:rsidRPr="00670E0B">
        <w:rPr>
          <w:sz w:val="28"/>
          <w:szCs w:val="28"/>
          <w:lang w:val="en-US"/>
        </w:rPr>
        <w:t>n</w:t>
      </w:r>
      <w:r w:rsidRPr="00670E0B">
        <w:rPr>
          <w:sz w:val="28"/>
          <w:szCs w:val="28"/>
          <w:lang w:val="en-US"/>
        </w:rPr>
        <w:t>creased. The level of indicators of POL-AOS in the pancreas and serum</w:t>
      </w:r>
      <w:r>
        <w:rPr>
          <w:sz w:val="28"/>
          <w:szCs w:val="28"/>
          <w:lang w:val="en-US"/>
        </w:rPr>
        <w:t xml:space="preserve"> </w:t>
      </w:r>
      <w:r w:rsidRPr="00670E0B">
        <w:rPr>
          <w:sz w:val="28"/>
          <w:szCs w:val="28"/>
          <w:lang w:val="en-US"/>
        </w:rPr>
        <w:t>  corresponds to the metabolism,</w:t>
      </w:r>
      <w:r>
        <w:rPr>
          <w:sz w:val="28"/>
          <w:szCs w:val="28"/>
          <w:lang w:val="en-US"/>
        </w:rPr>
        <w:t xml:space="preserve"> </w:t>
      </w:r>
      <w:r w:rsidRPr="00670E0B">
        <w:rPr>
          <w:sz w:val="28"/>
          <w:szCs w:val="28"/>
          <w:lang w:val="en-US"/>
        </w:rPr>
        <w:t>which is characteristic for the resistance</w:t>
      </w:r>
      <w:r>
        <w:rPr>
          <w:sz w:val="28"/>
          <w:szCs w:val="28"/>
          <w:lang w:val="en-US"/>
        </w:rPr>
        <w:t xml:space="preserve"> </w:t>
      </w:r>
      <w:r w:rsidRPr="00670E0B">
        <w:rPr>
          <w:sz w:val="28"/>
          <w:szCs w:val="28"/>
          <w:lang w:val="en-US"/>
        </w:rPr>
        <w:t>stage</w:t>
      </w:r>
      <w:r>
        <w:rPr>
          <w:sz w:val="28"/>
          <w:szCs w:val="28"/>
          <w:lang w:val="en-US"/>
        </w:rPr>
        <w:t xml:space="preserve"> </w:t>
      </w:r>
      <w:r w:rsidRPr="00670E0B">
        <w:rPr>
          <w:sz w:val="28"/>
          <w:szCs w:val="28"/>
          <w:lang w:val="en-US"/>
        </w:rPr>
        <w:t>of general adaptation syndrome.</w:t>
      </w:r>
      <w:r>
        <w:rPr>
          <w:sz w:val="28"/>
          <w:szCs w:val="28"/>
          <w:lang w:val="en-US"/>
        </w:rPr>
        <w:t xml:space="preserve"> </w:t>
      </w:r>
      <w:r w:rsidRPr="00670E0B">
        <w:rPr>
          <w:sz w:val="28"/>
          <w:szCs w:val="28"/>
          <w:lang w:val="en-US"/>
        </w:rPr>
        <w:t>The significant difference between the high level of indic</w:t>
      </w:r>
      <w:r w:rsidRPr="00670E0B">
        <w:rPr>
          <w:sz w:val="28"/>
          <w:szCs w:val="28"/>
          <w:lang w:val="en-US"/>
        </w:rPr>
        <w:t>a</w:t>
      </w:r>
      <w:r w:rsidRPr="00670E0B">
        <w:rPr>
          <w:sz w:val="28"/>
          <w:szCs w:val="28"/>
          <w:lang w:val="en-US"/>
        </w:rPr>
        <w:t>tors of POL-AOS</w:t>
      </w:r>
      <w:r>
        <w:rPr>
          <w:sz w:val="28"/>
          <w:szCs w:val="28"/>
          <w:lang w:val="en-US"/>
        </w:rPr>
        <w:t xml:space="preserve"> </w:t>
      </w:r>
      <w:r w:rsidRPr="00670E0B">
        <w:rPr>
          <w:sz w:val="28"/>
          <w:szCs w:val="28"/>
          <w:lang w:val="en-US"/>
        </w:rPr>
        <w:t>in the serum and moderate increase</w:t>
      </w:r>
      <w:r>
        <w:rPr>
          <w:sz w:val="28"/>
          <w:szCs w:val="28"/>
          <w:lang w:val="en-US"/>
        </w:rPr>
        <w:t xml:space="preserve"> of </w:t>
      </w:r>
      <w:r w:rsidRPr="00670E0B">
        <w:rPr>
          <w:sz w:val="28"/>
          <w:szCs w:val="28"/>
          <w:lang w:val="en-US"/>
        </w:rPr>
        <w:t>them in the pa</w:t>
      </w:r>
      <w:r w:rsidRPr="00670E0B">
        <w:rPr>
          <w:sz w:val="28"/>
          <w:szCs w:val="28"/>
          <w:lang w:val="en-US"/>
        </w:rPr>
        <w:t>n</w:t>
      </w:r>
      <w:r w:rsidRPr="00670E0B">
        <w:rPr>
          <w:sz w:val="28"/>
          <w:szCs w:val="28"/>
          <w:lang w:val="en-US"/>
        </w:rPr>
        <w:t>creas</w:t>
      </w:r>
      <w:r>
        <w:rPr>
          <w:sz w:val="28"/>
          <w:szCs w:val="28"/>
          <w:lang w:val="en-US"/>
        </w:rPr>
        <w:t xml:space="preserve"> is</w:t>
      </w:r>
      <w:r w:rsidRPr="00670E0B">
        <w:rPr>
          <w:sz w:val="28"/>
          <w:szCs w:val="28"/>
          <w:lang w:val="en-US"/>
        </w:rPr>
        <w:t xml:space="preserve"> indicates the presence of </w:t>
      </w:r>
      <w:r w:rsidRPr="00670E0B">
        <w:rPr>
          <w:sz w:val="28"/>
          <w:szCs w:val="28"/>
          <w:lang w:val="en-US"/>
        </w:rPr>
        <w:lastRenderedPageBreak/>
        <w:t>organ-specific stress-ind</w:t>
      </w:r>
      <w:r>
        <w:rPr>
          <w:sz w:val="28"/>
          <w:szCs w:val="28"/>
          <w:lang w:val="en-US"/>
        </w:rPr>
        <w:t>uced features of OAH</w:t>
      </w:r>
      <w:r w:rsidRPr="00670E0B">
        <w:rPr>
          <w:sz w:val="28"/>
          <w:szCs w:val="28"/>
          <w:lang w:val="en-US"/>
        </w:rPr>
        <w:t xml:space="preserve"> in pancreas</w:t>
      </w:r>
      <w:r>
        <w:rPr>
          <w:sz w:val="28"/>
          <w:szCs w:val="28"/>
          <w:lang w:val="en-US"/>
        </w:rPr>
        <w:t xml:space="preserve"> of </w:t>
      </w:r>
      <w:r w:rsidRPr="00670E0B">
        <w:rPr>
          <w:sz w:val="28"/>
          <w:szCs w:val="28"/>
          <w:lang w:val="en-US"/>
        </w:rPr>
        <w:t>rat.</w:t>
      </w:r>
      <w:r>
        <w:rPr>
          <w:sz w:val="28"/>
          <w:szCs w:val="28"/>
          <w:lang w:val="en-US"/>
        </w:rPr>
        <w:t xml:space="preserve"> </w:t>
      </w:r>
      <w:r w:rsidRPr="00E92DBE">
        <w:rPr>
          <w:sz w:val="28"/>
          <w:szCs w:val="28"/>
          <w:lang w:val="en-US"/>
        </w:rPr>
        <w:t>The obtained data manifest</w:t>
      </w:r>
      <w:r>
        <w:rPr>
          <w:sz w:val="28"/>
          <w:szCs w:val="28"/>
          <w:lang w:val="en-US"/>
        </w:rPr>
        <w:t xml:space="preserve"> the significance of OAH</w:t>
      </w:r>
      <w:r w:rsidRPr="00E92DBE">
        <w:rPr>
          <w:sz w:val="28"/>
          <w:szCs w:val="28"/>
          <w:lang w:val="en-US"/>
        </w:rPr>
        <w:t xml:space="preserve"> disorders in the pathogenesis of pancreatic damage in rats,</w:t>
      </w:r>
      <w:r w:rsidRPr="006E4369">
        <w:rPr>
          <w:b/>
          <w:sz w:val="28"/>
          <w:szCs w:val="28"/>
          <w:lang w:val="en-US"/>
        </w:rPr>
        <w:t xml:space="preserve"> </w:t>
      </w:r>
      <w:r w:rsidRPr="006E4369">
        <w:rPr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Pr="006E4369">
        <w:rPr>
          <w:sz w:val="28"/>
          <w:szCs w:val="28"/>
          <w:lang w:val="en-US"/>
        </w:rPr>
        <w:t>r</w:t>
      </w:r>
      <w:r w:rsidRPr="006E4369">
        <w:rPr>
          <w:sz w:val="28"/>
          <w:szCs w:val="28"/>
          <w:lang w:val="en-US"/>
        </w:rPr>
        <w:t>e</w:t>
      </w:r>
      <w:r w:rsidRPr="006E4369">
        <w:rPr>
          <w:sz w:val="28"/>
          <w:szCs w:val="28"/>
          <w:lang w:val="en-US"/>
        </w:rPr>
        <w:t>ceived the chronic</w:t>
      </w:r>
      <w:r>
        <w:rPr>
          <w:sz w:val="28"/>
          <w:szCs w:val="28"/>
          <w:lang w:val="en-US"/>
        </w:rPr>
        <w:t>.</w:t>
      </w:r>
    </w:p>
    <w:p w:rsidR="00892319" w:rsidRPr="006E4369" w:rsidRDefault="00892319" w:rsidP="00892319">
      <w:pPr>
        <w:ind w:firstLine="708"/>
        <w:jc w:val="both"/>
        <w:rPr>
          <w:i/>
          <w:sz w:val="28"/>
          <w:szCs w:val="28"/>
          <w:lang w:val="en-US"/>
        </w:rPr>
      </w:pPr>
      <w:r w:rsidRPr="006E4369">
        <w:rPr>
          <w:b/>
          <w:i/>
          <w:sz w:val="28"/>
          <w:szCs w:val="28"/>
          <w:lang w:val="en-US"/>
        </w:rPr>
        <w:t>Key words:</w:t>
      </w:r>
      <w:r w:rsidRPr="006E4369">
        <w:rPr>
          <w:i/>
          <w:sz w:val="28"/>
          <w:szCs w:val="28"/>
          <w:lang w:val="en-US"/>
        </w:rPr>
        <w:t xml:space="preserve"> oxidative and antioxidant homeostasis, gestational stress, pancreas, posterity of rats.</w:t>
      </w:r>
    </w:p>
    <w:p w:rsidR="00892319" w:rsidRPr="007B248E" w:rsidRDefault="00892319" w:rsidP="00892319">
      <w:pPr>
        <w:rPr>
          <w:sz w:val="28"/>
          <w:szCs w:val="28"/>
          <w:lang w:val="uk-UA"/>
        </w:rPr>
      </w:pPr>
    </w:p>
    <w:p w:rsidR="0056200D" w:rsidRPr="00892319" w:rsidRDefault="0056200D">
      <w:pPr>
        <w:rPr>
          <w:lang w:val="uk-UA"/>
        </w:rPr>
      </w:pPr>
      <w:bookmarkStart w:id="0" w:name="_GoBack"/>
      <w:bookmarkEnd w:id="0"/>
    </w:p>
    <w:sectPr w:rsidR="0056200D" w:rsidRPr="00892319" w:rsidSect="00BC7E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F2"/>
    <w:rsid w:val="0056200D"/>
    <w:rsid w:val="00892319"/>
    <w:rsid w:val="00D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319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31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3373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2018-11-26T11:59:00Z</dcterms:created>
  <dcterms:modified xsi:type="dcterms:W3CDTF">2018-11-26T11:59:00Z</dcterms:modified>
</cp:coreProperties>
</file>