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11" w:rsidRPr="008D7F5A" w:rsidRDefault="006B5A11" w:rsidP="006B5A11">
      <w:pPr>
        <w:rPr>
          <w:sz w:val="28"/>
          <w:szCs w:val="28"/>
          <w:lang w:val="uk-UA"/>
        </w:rPr>
      </w:pPr>
      <w:r w:rsidRPr="008D7F5A">
        <w:rPr>
          <w:sz w:val="28"/>
          <w:szCs w:val="28"/>
          <w:lang w:val="uk-UA"/>
        </w:rPr>
        <w:t>УДК [616.37-005.3:612.015.11:613.24]-092.9</w:t>
      </w:r>
    </w:p>
    <w:p w:rsidR="006B5A11" w:rsidRPr="004D6C0F" w:rsidRDefault="006B5A11" w:rsidP="006B5A11">
      <w:pPr>
        <w:rPr>
          <w:rFonts w:ascii="Arial" w:hAnsi="Arial" w:cs="Arial"/>
          <w:sz w:val="28"/>
          <w:szCs w:val="28"/>
          <w:lang w:val="uk-UA"/>
        </w:rPr>
      </w:pPr>
      <w:r w:rsidRPr="004D6C0F">
        <w:rPr>
          <w:rFonts w:ascii="Arial" w:hAnsi="Arial" w:cs="Arial"/>
          <w:sz w:val="28"/>
          <w:szCs w:val="28"/>
          <w:lang w:val="uk-UA"/>
        </w:rPr>
        <w:t>О.В. Ніколаєва, В. А. Сіренко, О.О. Павлова</w:t>
      </w:r>
    </w:p>
    <w:p w:rsidR="006B5A11" w:rsidRPr="004D6C0F" w:rsidRDefault="006B5A11" w:rsidP="006B5A11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D6C0F">
        <w:rPr>
          <w:rFonts w:ascii="Arial" w:hAnsi="Arial" w:cs="Arial"/>
          <w:b/>
          <w:sz w:val="28"/>
          <w:szCs w:val="28"/>
          <w:lang w:val="uk-UA"/>
        </w:rPr>
        <w:t xml:space="preserve">СТАН ОКИСЛЮВАЛЬНО-АНТИОКСИДАНТНОГО ГОМЕОСТАЗУ </w:t>
      </w:r>
    </w:p>
    <w:p w:rsidR="006B5A11" w:rsidRPr="004D6C0F" w:rsidRDefault="006B5A11" w:rsidP="006B5A11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D6C0F">
        <w:rPr>
          <w:rFonts w:ascii="Arial" w:hAnsi="Arial" w:cs="Arial"/>
          <w:b/>
          <w:sz w:val="28"/>
          <w:szCs w:val="28"/>
          <w:lang w:val="uk-UA"/>
        </w:rPr>
        <w:t>В ПІДШЛУНКОВІЙ ЗАЛОЗІ ТА КРОВІ У ЩУРЯТ, МАТЕРІ ЯКИХ ПРОТЯГОМ ВАГІТНОСТІ ОТРИМУВАЛИ НЕЗБАЛАНСОВАНЕ ХАРЧУВАННЯ З ДЕФІЦИТОМ ПОЖИВНИХ РЕЧОВИН</w:t>
      </w:r>
    </w:p>
    <w:p w:rsidR="006B5A11" w:rsidRPr="004D6C0F" w:rsidRDefault="006B5A11" w:rsidP="006B5A11">
      <w:pPr>
        <w:spacing w:before="120"/>
        <w:jc w:val="center"/>
        <w:rPr>
          <w:rFonts w:ascii="Arial" w:hAnsi="Arial" w:cs="Arial"/>
          <w:sz w:val="28"/>
          <w:szCs w:val="28"/>
          <w:lang w:val="uk-UA"/>
        </w:rPr>
      </w:pPr>
      <w:r w:rsidRPr="004D6C0F">
        <w:rPr>
          <w:rFonts w:ascii="Arial" w:hAnsi="Arial" w:cs="Arial"/>
          <w:sz w:val="28"/>
          <w:szCs w:val="28"/>
          <w:lang w:val="uk-UA"/>
        </w:rPr>
        <w:t>Харківський національний медичний університет (м. Харків)</w:t>
      </w:r>
    </w:p>
    <w:p w:rsidR="006B5A11" w:rsidRPr="004D6C0F" w:rsidRDefault="006B5A11" w:rsidP="006B5A11">
      <w:pPr>
        <w:spacing w:before="120"/>
        <w:jc w:val="both"/>
        <w:rPr>
          <w:spacing w:val="-6"/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uk-UA"/>
        </w:rPr>
        <w:tab/>
        <w:t>Робота є фрагментом НДР «Патогенез впливу екзогенних шкідливих факт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 xml:space="preserve">рів на </w:t>
      </w:r>
      <w:proofErr w:type="spellStart"/>
      <w:r w:rsidRPr="004D6C0F">
        <w:rPr>
          <w:sz w:val="28"/>
          <w:szCs w:val="28"/>
          <w:lang w:val="uk-UA"/>
        </w:rPr>
        <w:t>морфофункціональний</w:t>
      </w:r>
      <w:proofErr w:type="spellEnd"/>
      <w:r w:rsidRPr="004D6C0F">
        <w:rPr>
          <w:sz w:val="28"/>
          <w:szCs w:val="28"/>
          <w:lang w:val="uk-UA"/>
        </w:rPr>
        <w:t xml:space="preserve"> стан підшлункової залози» (</w:t>
      </w:r>
      <w:r w:rsidRPr="004D6C0F">
        <w:rPr>
          <w:spacing w:val="-6"/>
          <w:sz w:val="28"/>
          <w:szCs w:val="28"/>
          <w:lang w:val="uk-UA"/>
        </w:rPr>
        <w:t xml:space="preserve">№ </w:t>
      </w:r>
      <w:proofErr w:type="spellStart"/>
      <w:r w:rsidRPr="004D6C0F">
        <w:rPr>
          <w:spacing w:val="-6"/>
          <w:sz w:val="28"/>
          <w:szCs w:val="28"/>
          <w:lang w:val="uk-UA"/>
        </w:rPr>
        <w:t>держ</w:t>
      </w:r>
      <w:proofErr w:type="spellEnd"/>
      <w:r w:rsidRPr="004D6C0F">
        <w:rPr>
          <w:sz w:val="28"/>
          <w:szCs w:val="28"/>
          <w:lang w:val="uk-UA"/>
        </w:rPr>
        <w:t>. реєстрації</w:t>
      </w:r>
      <w:r w:rsidRPr="004D6C0F">
        <w:rPr>
          <w:i/>
          <w:sz w:val="28"/>
          <w:szCs w:val="28"/>
          <w:lang w:val="uk-UA"/>
        </w:rPr>
        <w:t xml:space="preserve"> </w:t>
      </w:r>
      <w:r w:rsidRPr="004D6C0F">
        <w:rPr>
          <w:spacing w:val="-6"/>
          <w:sz w:val="28"/>
          <w:szCs w:val="28"/>
          <w:lang w:val="uk-UA"/>
        </w:rPr>
        <w:t xml:space="preserve">012U002381) і «Патогенез </w:t>
      </w:r>
      <w:proofErr w:type="spellStart"/>
      <w:r w:rsidRPr="004D6C0F">
        <w:rPr>
          <w:spacing w:val="-6"/>
          <w:sz w:val="28"/>
          <w:szCs w:val="28"/>
          <w:lang w:val="uk-UA"/>
        </w:rPr>
        <w:t>ушкоджуючої</w:t>
      </w:r>
      <w:proofErr w:type="spellEnd"/>
      <w:r w:rsidRPr="004D6C0F">
        <w:rPr>
          <w:spacing w:val="-6"/>
          <w:sz w:val="28"/>
          <w:szCs w:val="28"/>
          <w:lang w:val="uk-UA"/>
        </w:rPr>
        <w:t xml:space="preserve"> дії на організм екзогенних факторів в сучасних умовах </w:t>
      </w:r>
      <w:r w:rsidRPr="004D6C0F">
        <w:rPr>
          <w:sz w:val="28"/>
          <w:szCs w:val="28"/>
          <w:lang w:val="uk-UA"/>
        </w:rPr>
        <w:t>(</w:t>
      </w:r>
      <w:r w:rsidRPr="004D6C0F">
        <w:rPr>
          <w:spacing w:val="-6"/>
          <w:sz w:val="28"/>
          <w:szCs w:val="28"/>
          <w:lang w:val="uk-UA"/>
        </w:rPr>
        <w:t xml:space="preserve">№ </w:t>
      </w:r>
      <w:proofErr w:type="spellStart"/>
      <w:r w:rsidRPr="004D6C0F">
        <w:rPr>
          <w:spacing w:val="-6"/>
          <w:sz w:val="28"/>
          <w:szCs w:val="28"/>
          <w:lang w:val="uk-UA"/>
        </w:rPr>
        <w:t>держ</w:t>
      </w:r>
      <w:proofErr w:type="spellEnd"/>
      <w:r w:rsidRPr="004D6C0F">
        <w:rPr>
          <w:sz w:val="28"/>
          <w:szCs w:val="28"/>
          <w:lang w:val="uk-UA"/>
        </w:rPr>
        <w:t>. р</w:t>
      </w:r>
      <w:r w:rsidRPr="004D6C0F">
        <w:rPr>
          <w:sz w:val="28"/>
          <w:szCs w:val="28"/>
          <w:lang w:val="uk-UA"/>
        </w:rPr>
        <w:t>е</w:t>
      </w:r>
      <w:r w:rsidRPr="004D6C0F">
        <w:rPr>
          <w:sz w:val="28"/>
          <w:szCs w:val="28"/>
          <w:lang w:val="uk-UA"/>
        </w:rPr>
        <w:t>єстрації</w:t>
      </w:r>
      <w:r w:rsidRPr="004D6C0F">
        <w:rPr>
          <w:i/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uk-UA"/>
        </w:rPr>
        <w:t>0115U000991</w:t>
      </w:r>
      <w:r w:rsidRPr="004D6C0F">
        <w:rPr>
          <w:spacing w:val="-6"/>
          <w:sz w:val="28"/>
          <w:szCs w:val="28"/>
          <w:lang w:val="uk-UA"/>
        </w:rPr>
        <w:t>).</w:t>
      </w:r>
    </w:p>
    <w:p w:rsidR="006B5A11" w:rsidRPr="004D6C0F" w:rsidRDefault="006B5A11" w:rsidP="006B5A11">
      <w:pPr>
        <w:jc w:val="both"/>
        <w:rPr>
          <w:spacing w:val="-6"/>
          <w:sz w:val="28"/>
          <w:szCs w:val="28"/>
          <w:lang w:val="uk-UA"/>
        </w:rPr>
      </w:pPr>
      <w:r w:rsidRPr="004D6C0F">
        <w:rPr>
          <w:color w:val="FF0000"/>
          <w:spacing w:val="-6"/>
          <w:sz w:val="28"/>
          <w:szCs w:val="28"/>
          <w:lang w:val="uk-UA"/>
        </w:rPr>
        <w:tab/>
      </w:r>
      <w:r w:rsidRPr="004D6C0F">
        <w:rPr>
          <w:spacing w:val="-6"/>
          <w:sz w:val="28"/>
          <w:szCs w:val="28"/>
          <w:lang w:val="uk-UA"/>
        </w:rPr>
        <w:t xml:space="preserve">Серед актуальних проблем сучасної клінічної  та експериментальної </w:t>
      </w:r>
      <w:proofErr w:type="spellStart"/>
      <w:r w:rsidRPr="004D6C0F">
        <w:rPr>
          <w:spacing w:val="-6"/>
          <w:sz w:val="28"/>
          <w:szCs w:val="28"/>
          <w:lang w:val="uk-UA"/>
        </w:rPr>
        <w:t>ме-дицини</w:t>
      </w:r>
      <w:proofErr w:type="spellEnd"/>
      <w:r w:rsidRPr="004D6C0F">
        <w:rPr>
          <w:spacing w:val="-6"/>
          <w:sz w:val="28"/>
          <w:szCs w:val="28"/>
          <w:lang w:val="uk-UA"/>
        </w:rPr>
        <w:t xml:space="preserve"> суттєву питому вагу мають захворювання підшлункової залози (ПЗ), поширеність яких невпинно зростає [1,2]. Традиційно основна увага дослідників зосереджена на вивченні різних аспектів гострого і хронічного панкре</w:t>
      </w:r>
      <w:r w:rsidRPr="004D6C0F">
        <w:rPr>
          <w:spacing w:val="-6"/>
          <w:sz w:val="28"/>
          <w:szCs w:val="28"/>
          <w:lang w:val="uk-UA"/>
        </w:rPr>
        <w:t>а</w:t>
      </w:r>
      <w:r w:rsidRPr="004D6C0F">
        <w:rPr>
          <w:spacing w:val="-6"/>
          <w:sz w:val="28"/>
          <w:szCs w:val="28"/>
          <w:lang w:val="uk-UA"/>
        </w:rPr>
        <w:t>титу та їх грізних ускладнень у дорослих і дітей [3</w:t>
      </w:r>
      <w:r w:rsidRPr="004D6C0F">
        <w:rPr>
          <w:spacing w:val="-6"/>
          <w:sz w:val="28"/>
          <w:szCs w:val="28"/>
        </w:rPr>
        <w:t>,4,5,6,7</w:t>
      </w:r>
      <w:r w:rsidRPr="004D6C0F">
        <w:rPr>
          <w:spacing w:val="-6"/>
          <w:sz w:val="28"/>
          <w:szCs w:val="28"/>
          <w:lang w:val="uk-UA"/>
        </w:rPr>
        <w:t>]. Але функціональним порушенням ПЗ, які трансформ</w:t>
      </w:r>
      <w:r w:rsidRPr="004D6C0F">
        <w:rPr>
          <w:spacing w:val="-6"/>
          <w:sz w:val="28"/>
          <w:szCs w:val="28"/>
          <w:lang w:val="uk-UA"/>
        </w:rPr>
        <w:t>у</w:t>
      </w:r>
      <w:r w:rsidRPr="004D6C0F">
        <w:rPr>
          <w:spacing w:val="-6"/>
          <w:sz w:val="28"/>
          <w:szCs w:val="28"/>
          <w:lang w:val="uk-UA"/>
        </w:rPr>
        <w:t>ються в органічну патологію, приділяється значно менше уваги, хоча саме вони м</w:t>
      </w:r>
      <w:r w:rsidRPr="004D6C0F">
        <w:rPr>
          <w:spacing w:val="-6"/>
          <w:sz w:val="28"/>
          <w:szCs w:val="28"/>
          <w:lang w:val="uk-UA"/>
        </w:rPr>
        <w:t>о</w:t>
      </w:r>
      <w:r w:rsidRPr="004D6C0F">
        <w:rPr>
          <w:spacing w:val="-6"/>
          <w:sz w:val="28"/>
          <w:szCs w:val="28"/>
          <w:lang w:val="uk-UA"/>
        </w:rPr>
        <w:t>жуть бути підставою для визначення груп ризику осіб щодо розвитку захворювань ПЗ. Зокрема недостатньо вивченими залишаються питання, що стосуються функці</w:t>
      </w:r>
      <w:r w:rsidRPr="004D6C0F">
        <w:rPr>
          <w:spacing w:val="-6"/>
          <w:sz w:val="28"/>
          <w:szCs w:val="28"/>
          <w:lang w:val="uk-UA"/>
        </w:rPr>
        <w:t>о</w:t>
      </w:r>
      <w:r w:rsidRPr="004D6C0F">
        <w:rPr>
          <w:spacing w:val="-6"/>
          <w:sz w:val="28"/>
          <w:szCs w:val="28"/>
          <w:lang w:val="uk-UA"/>
        </w:rPr>
        <w:t>нального стану та механізмів ураження ПЗ у дітей, внутрішньоутробний розвиток яких відбувався в умовах дії несприятливих чинників зовнішнього середовища на м</w:t>
      </w:r>
      <w:r w:rsidRPr="004D6C0F">
        <w:rPr>
          <w:spacing w:val="-6"/>
          <w:sz w:val="28"/>
          <w:szCs w:val="28"/>
          <w:lang w:val="uk-UA"/>
        </w:rPr>
        <w:t>а</w:t>
      </w:r>
      <w:r w:rsidRPr="004D6C0F">
        <w:rPr>
          <w:spacing w:val="-6"/>
          <w:sz w:val="28"/>
          <w:szCs w:val="28"/>
          <w:lang w:val="uk-UA"/>
        </w:rPr>
        <w:t>тір під час вагітності. Одним з таких чинників є незбалансоване харчування вагітної з д</w:t>
      </w:r>
      <w:r w:rsidRPr="004D6C0F">
        <w:rPr>
          <w:spacing w:val="-6"/>
          <w:sz w:val="28"/>
          <w:szCs w:val="28"/>
          <w:lang w:val="uk-UA"/>
        </w:rPr>
        <w:t>е</w:t>
      </w:r>
      <w:r w:rsidRPr="004D6C0F">
        <w:rPr>
          <w:spacing w:val="-6"/>
          <w:sz w:val="28"/>
          <w:szCs w:val="28"/>
          <w:lang w:val="uk-UA"/>
        </w:rPr>
        <w:t>фіцитом білку та інших поживних речовин.</w:t>
      </w:r>
    </w:p>
    <w:p w:rsidR="006B5A11" w:rsidRPr="004D6C0F" w:rsidRDefault="006B5A11" w:rsidP="006B5A11">
      <w:pPr>
        <w:jc w:val="both"/>
        <w:rPr>
          <w:spacing w:val="-6"/>
          <w:sz w:val="28"/>
          <w:szCs w:val="28"/>
          <w:lang w:val="uk-UA"/>
        </w:rPr>
      </w:pPr>
      <w:r w:rsidRPr="004D6C0F">
        <w:rPr>
          <w:spacing w:val="-6"/>
          <w:sz w:val="28"/>
          <w:szCs w:val="28"/>
          <w:lang w:val="uk-UA"/>
        </w:rPr>
        <w:tab/>
        <w:t xml:space="preserve">Відомо, що серед механізмів ушкодження </w:t>
      </w:r>
      <w:proofErr w:type="spellStart"/>
      <w:r w:rsidRPr="004D6C0F">
        <w:rPr>
          <w:spacing w:val="-6"/>
          <w:sz w:val="28"/>
          <w:szCs w:val="28"/>
          <w:lang w:val="uk-UA"/>
        </w:rPr>
        <w:t>панкреацитів</w:t>
      </w:r>
      <w:proofErr w:type="spellEnd"/>
      <w:r w:rsidRPr="004D6C0F">
        <w:rPr>
          <w:spacing w:val="-6"/>
          <w:sz w:val="28"/>
          <w:szCs w:val="28"/>
          <w:lang w:val="uk-UA"/>
        </w:rPr>
        <w:t xml:space="preserve"> при різній патології ПЗ суттєве зн</w:t>
      </w:r>
      <w:r w:rsidRPr="004D6C0F">
        <w:rPr>
          <w:spacing w:val="-6"/>
          <w:sz w:val="28"/>
          <w:szCs w:val="28"/>
          <w:lang w:val="uk-UA"/>
        </w:rPr>
        <w:t>а</w:t>
      </w:r>
      <w:r w:rsidRPr="004D6C0F">
        <w:rPr>
          <w:spacing w:val="-6"/>
          <w:sz w:val="28"/>
          <w:szCs w:val="28"/>
          <w:lang w:val="uk-UA"/>
        </w:rPr>
        <w:t xml:space="preserve">чення має </w:t>
      </w:r>
      <w:proofErr w:type="spellStart"/>
      <w:r w:rsidRPr="004D6C0F">
        <w:rPr>
          <w:spacing w:val="-6"/>
          <w:sz w:val="28"/>
          <w:szCs w:val="28"/>
          <w:lang w:val="uk-UA"/>
        </w:rPr>
        <w:t>оксидативний</w:t>
      </w:r>
      <w:proofErr w:type="spellEnd"/>
      <w:r w:rsidRPr="004D6C0F">
        <w:rPr>
          <w:spacing w:val="-6"/>
          <w:sz w:val="28"/>
          <w:szCs w:val="28"/>
          <w:lang w:val="uk-UA"/>
        </w:rPr>
        <w:t xml:space="preserve"> стрес внаслідок порушення окислювально-антиоксидантного гомеостазу (ОАГ) [8,9,10]. Проте роль порушень ОАГ в патогенезі ушкодження ПЗ при дії негативних екзогенних факторів на систему мати-плід вивч</w:t>
      </w:r>
      <w:r w:rsidRPr="004D6C0F">
        <w:rPr>
          <w:spacing w:val="-6"/>
          <w:sz w:val="28"/>
          <w:szCs w:val="28"/>
          <w:lang w:val="uk-UA"/>
        </w:rPr>
        <w:t>е</w:t>
      </w:r>
      <w:r w:rsidRPr="004D6C0F">
        <w:rPr>
          <w:spacing w:val="-6"/>
          <w:sz w:val="28"/>
          <w:szCs w:val="28"/>
          <w:lang w:val="uk-UA"/>
        </w:rPr>
        <w:t>на недостатньо. Це обумовлює актуальність експериментальних досліджень з даної наукової проблеми.</w:t>
      </w:r>
    </w:p>
    <w:p w:rsidR="006B5A11" w:rsidRPr="004D6C0F" w:rsidRDefault="006B5A11" w:rsidP="006B5A11">
      <w:pPr>
        <w:ind w:firstLine="709"/>
        <w:jc w:val="both"/>
        <w:rPr>
          <w:sz w:val="28"/>
          <w:szCs w:val="28"/>
          <w:lang w:val="uk-UA"/>
        </w:rPr>
      </w:pPr>
      <w:r w:rsidRPr="004D6C0F">
        <w:rPr>
          <w:b/>
          <w:sz w:val="28"/>
          <w:szCs w:val="28"/>
          <w:lang w:val="uk-UA"/>
        </w:rPr>
        <w:t>Мета дослідження:</w:t>
      </w:r>
      <w:r w:rsidRPr="004D6C0F">
        <w:rPr>
          <w:sz w:val="28"/>
          <w:szCs w:val="28"/>
          <w:lang w:val="uk-UA"/>
        </w:rPr>
        <w:t xml:space="preserve"> вивчення особливостей ОАГ в ПЗ і сироватці крові новонародженого, одном</w:t>
      </w:r>
      <w:r w:rsidRPr="004D6C0F">
        <w:rPr>
          <w:sz w:val="28"/>
          <w:szCs w:val="28"/>
          <w:lang w:val="uk-UA"/>
        </w:rPr>
        <w:t>і</w:t>
      </w:r>
      <w:r w:rsidRPr="004D6C0F">
        <w:rPr>
          <w:sz w:val="28"/>
          <w:szCs w:val="28"/>
          <w:lang w:val="uk-UA"/>
        </w:rPr>
        <w:t xml:space="preserve">сячного і двомісячного потомства щурів-матерів, що </w:t>
      </w:r>
      <w:proofErr w:type="spellStart"/>
      <w:r w:rsidRPr="004D6C0F">
        <w:rPr>
          <w:sz w:val="28"/>
          <w:szCs w:val="28"/>
          <w:lang w:val="uk-UA"/>
        </w:rPr>
        <w:t>отри</w:t>
      </w:r>
      <w:r>
        <w:rPr>
          <w:sz w:val="28"/>
          <w:szCs w:val="28"/>
          <w:lang w:val="uk-UA"/>
        </w:rPr>
        <w:t>-</w:t>
      </w:r>
      <w:r w:rsidRPr="004D6C0F">
        <w:rPr>
          <w:sz w:val="28"/>
          <w:szCs w:val="28"/>
          <w:lang w:val="uk-UA"/>
        </w:rPr>
        <w:t>мували</w:t>
      </w:r>
      <w:proofErr w:type="spellEnd"/>
      <w:r w:rsidRPr="004D6C0F">
        <w:rPr>
          <w:sz w:val="28"/>
          <w:szCs w:val="28"/>
          <w:lang w:val="uk-UA"/>
        </w:rPr>
        <w:t xml:space="preserve"> впродовж вагітності незбалансоване харчування з дефіцитом поживних речовин. </w:t>
      </w:r>
    </w:p>
    <w:p w:rsidR="006B5A11" w:rsidRPr="004D6C0F" w:rsidRDefault="006B5A11" w:rsidP="006B5A11">
      <w:pPr>
        <w:ind w:firstLine="709"/>
        <w:jc w:val="both"/>
        <w:rPr>
          <w:sz w:val="28"/>
          <w:szCs w:val="28"/>
          <w:lang w:val="uk-UA"/>
        </w:rPr>
      </w:pPr>
      <w:r w:rsidRPr="004D6C0F">
        <w:rPr>
          <w:b/>
          <w:sz w:val="28"/>
          <w:szCs w:val="28"/>
          <w:lang w:val="uk-UA"/>
        </w:rPr>
        <w:t>Об’єкт і методи дослідження</w:t>
      </w:r>
      <w:r w:rsidRPr="004D6C0F">
        <w:rPr>
          <w:sz w:val="28"/>
          <w:szCs w:val="28"/>
          <w:lang w:val="uk-UA"/>
        </w:rPr>
        <w:t>. Проведене експериментальне дослідження на 42 нел</w:t>
      </w:r>
      <w:r w:rsidRPr="004D6C0F">
        <w:rPr>
          <w:sz w:val="28"/>
          <w:szCs w:val="28"/>
          <w:lang w:val="uk-UA"/>
        </w:rPr>
        <w:t>і</w:t>
      </w:r>
      <w:r w:rsidRPr="004D6C0F">
        <w:rPr>
          <w:sz w:val="28"/>
          <w:szCs w:val="28"/>
          <w:lang w:val="uk-UA"/>
        </w:rPr>
        <w:t xml:space="preserve">нійних білих щурах WAG/G </w:t>
      </w:r>
      <w:proofErr w:type="spellStart"/>
      <w:r w:rsidRPr="004D6C0F">
        <w:rPr>
          <w:sz w:val="28"/>
          <w:szCs w:val="28"/>
          <w:lang w:val="uk-UA"/>
        </w:rPr>
        <w:t>Sto</w:t>
      </w:r>
      <w:proofErr w:type="spellEnd"/>
      <w:r w:rsidRPr="004D6C0F">
        <w:rPr>
          <w:sz w:val="28"/>
          <w:szCs w:val="28"/>
          <w:lang w:val="uk-UA"/>
        </w:rPr>
        <w:t>. Стан ОАГ в тканині ПЗ досліджений у 37 щурів (18-ти новонароджених, 9-ти одномісячних і 10-ти двомісячних), в сир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>ватці крові – у 23 (10-ти одномісячних і 13-ти двомісячних щурят). Вплив аліме</w:t>
      </w:r>
      <w:r w:rsidRPr="004D6C0F">
        <w:rPr>
          <w:sz w:val="28"/>
          <w:szCs w:val="28"/>
          <w:lang w:val="uk-UA"/>
        </w:rPr>
        <w:t>н</w:t>
      </w:r>
      <w:r w:rsidRPr="004D6C0F">
        <w:rPr>
          <w:sz w:val="28"/>
          <w:szCs w:val="28"/>
          <w:lang w:val="uk-UA"/>
        </w:rPr>
        <w:t>тарного чинника на щурів здійснювався згідно експериментальній моделі, розр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 xml:space="preserve">бленій на кафедрі патологічної фізіології ім. Д. О. </w:t>
      </w:r>
      <w:proofErr w:type="spellStart"/>
      <w:r w:rsidRPr="004D6C0F">
        <w:rPr>
          <w:sz w:val="28"/>
          <w:szCs w:val="28"/>
          <w:lang w:val="uk-UA"/>
        </w:rPr>
        <w:t>Альперна</w:t>
      </w:r>
      <w:proofErr w:type="spellEnd"/>
      <w:r w:rsidRPr="004D6C0F">
        <w:rPr>
          <w:sz w:val="28"/>
          <w:szCs w:val="28"/>
          <w:lang w:val="uk-UA"/>
        </w:rPr>
        <w:t xml:space="preserve"> ХНМУ [11]. Акти</w:t>
      </w:r>
      <w:r w:rsidRPr="004D6C0F">
        <w:rPr>
          <w:sz w:val="28"/>
          <w:szCs w:val="28"/>
          <w:lang w:val="uk-UA"/>
        </w:rPr>
        <w:t>в</w:t>
      </w:r>
      <w:r w:rsidRPr="004D6C0F">
        <w:rPr>
          <w:sz w:val="28"/>
          <w:szCs w:val="28"/>
          <w:lang w:val="uk-UA"/>
        </w:rPr>
        <w:t xml:space="preserve">ність ПОЛ визначали за вмістом </w:t>
      </w:r>
      <w:proofErr w:type="spellStart"/>
      <w:r w:rsidRPr="004D6C0F">
        <w:rPr>
          <w:sz w:val="28"/>
          <w:szCs w:val="28"/>
          <w:lang w:val="uk-UA"/>
        </w:rPr>
        <w:t>дієнових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кон’югатів</w:t>
      </w:r>
      <w:proofErr w:type="spellEnd"/>
      <w:r w:rsidRPr="004D6C0F">
        <w:rPr>
          <w:sz w:val="28"/>
          <w:szCs w:val="28"/>
          <w:lang w:val="uk-UA"/>
        </w:rPr>
        <w:t xml:space="preserve"> (ДК) і </w:t>
      </w:r>
      <w:proofErr w:type="spellStart"/>
      <w:r w:rsidRPr="004D6C0F">
        <w:rPr>
          <w:sz w:val="28"/>
          <w:szCs w:val="28"/>
          <w:lang w:val="uk-UA"/>
        </w:rPr>
        <w:t>малонового</w:t>
      </w:r>
      <w:proofErr w:type="spellEnd"/>
      <w:r w:rsidRPr="004D6C0F">
        <w:rPr>
          <w:sz w:val="28"/>
          <w:szCs w:val="28"/>
          <w:lang w:val="uk-UA"/>
        </w:rPr>
        <w:t xml:space="preserve"> діальдег</w:t>
      </w:r>
      <w:r w:rsidRPr="004D6C0F">
        <w:rPr>
          <w:sz w:val="28"/>
          <w:szCs w:val="28"/>
          <w:lang w:val="uk-UA"/>
        </w:rPr>
        <w:t>і</w:t>
      </w:r>
      <w:r w:rsidRPr="004D6C0F">
        <w:rPr>
          <w:sz w:val="28"/>
          <w:szCs w:val="28"/>
          <w:lang w:val="uk-UA"/>
        </w:rPr>
        <w:t xml:space="preserve">ду (МДА), активність АОС - за активністю </w:t>
      </w:r>
      <w:proofErr w:type="spellStart"/>
      <w:r w:rsidRPr="004D6C0F">
        <w:rPr>
          <w:sz w:val="28"/>
          <w:szCs w:val="28"/>
          <w:lang w:val="uk-UA"/>
        </w:rPr>
        <w:t>супероксиддисмутази</w:t>
      </w:r>
      <w:proofErr w:type="spellEnd"/>
      <w:r w:rsidRPr="004D6C0F">
        <w:rPr>
          <w:sz w:val="28"/>
          <w:szCs w:val="28"/>
          <w:lang w:val="uk-UA"/>
        </w:rPr>
        <w:t xml:space="preserve"> (СОД) на біох</w:t>
      </w:r>
      <w:r w:rsidRPr="004D6C0F">
        <w:rPr>
          <w:sz w:val="28"/>
          <w:szCs w:val="28"/>
          <w:lang w:val="uk-UA"/>
        </w:rPr>
        <w:t>і</w:t>
      </w:r>
      <w:r w:rsidRPr="004D6C0F">
        <w:rPr>
          <w:sz w:val="28"/>
          <w:szCs w:val="28"/>
          <w:lang w:val="uk-UA"/>
        </w:rPr>
        <w:t xml:space="preserve">мічному аналізаторі </w:t>
      </w:r>
      <w:proofErr w:type="spellStart"/>
      <w:r w:rsidRPr="004D6C0F">
        <w:rPr>
          <w:sz w:val="28"/>
          <w:szCs w:val="28"/>
          <w:lang w:val="uk-UA"/>
        </w:rPr>
        <w:t>Stat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Fax</w:t>
      </w:r>
      <w:proofErr w:type="spellEnd"/>
      <w:r w:rsidRPr="004D6C0F">
        <w:rPr>
          <w:sz w:val="28"/>
          <w:szCs w:val="28"/>
          <w:lang w:val="uk-UA"/>
        </w:rPr>
        <w:t xml:space="preserve"> 303 </w:t>
      </w:r>
      <w:proofErr w:type="spellStart"/>
      <w:r w:rsidRPr="004D6C0F">
        <w:rPr>
          <w:sz w:val="28"/>
          <w:szCs w:val="28"/>
          <w:lang w:val="uk-UA"/>
        </w:rPr>
        <w:t>Plus</w:t>
      </w:r>
      <w:proofErr w:type="spellEnd"/>
      <w:r w:rsidRPr="004D6C0F">
        <w:rPr>
          <w:sz w:val="28"/>
          <w:szCs w:val="28"/>
          <w:lang w:val="uk-UA"/>
        </w:rPr>
        <w:t xml:space="preserve"> і каталази (КАТ) на спектрофотометрі СФ- 46 </w:t>
      </w:r>
      <w:r w:rsidRPr="004D6C0F">
        <w:rPr>
          <w:sz w:val="28"/>
          <w:szCs w:val="28"/>
          <w:lang w:val="uk-UA"/>
        </w:rPr>
        <w:lastRenderedPageBreak/>
        <w:t>[12,13, 14]. Експериментальне дослідження проводили відповідно до націон</w:t>
      </w:r>
      <w:r w:rsidRPr="004D6C0F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  <w:lang w:val="uk-UA"/>
        </w:rPr>
        <w:t>льних «Загальних етичних принципів досліджень на тваринах» (Україна, 2001), які узгоджуються з положеннями «Європейської конвенції про захист хребетних тварин, що використовуються для експериментальних та інших наукових цілей» (Страсбург, 18.03.86), а також Гельсінської декларації, прийнятої Генеральною асамблеєю Всесвітньої медичної асоціації (1964-2000), Статутом Української ас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>ціації з біоетики та нормами GLP (1992). Виведення тварин із експерименту пр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 xml:space="preserve">водили шляхом </w:t>
      </w:r>
      <w:proofErr w:type="spellStart"/>
      <w:r w:rsidRPr="004D6C0F">
        <w:rPr>
          <w:sz w:val="28"/>
          <w:szCs w:val="28"/>
          <w:lang w:val="uk-UA"/>
        </w:rPr>
        <w:t>декапітації</w:t>
      </w:r>
      <w:proofErr w:type="spellEnd"/>
      <w:r w:rsidRPr="004D6C0F">
        <w:rPr>
          <w:sz w:val="28"/>
          <w:szCs w:val="28"/>
          <w:lang w:val="uk-UA"/>
        </w:rPr>
        <w:t xml:space="preserve"> під анестезією з використанням інгаляційного введе</w:t>
      </w:r>
      <w:r w:rsidRPr="004D6C0F">
        <w:rPr>
          <w:sz w:val="28"/>
          <w:szCs w:val="28"/>
          <w:lang w:val="uk-UA"/>
        </w:rPr>
        <w:t>н</w:t>
      </w:r>
      <w:r w:rsidRPr="004D6C0F">
        <w:rPr>
          <w:sz w:val="28"/>
          <w:szCs w:val="28"/>
          <w:lang w:val="uk-UA"/>
        </w:rPr>
        <w:t>ня вуглекислого газу. Для статистичної обробки результатів використовувалася програма STATI</w:t>
      </w:r>
      <w:r>
        <w:rPr>
          <w:sz w:val="28"/>
          <w:szCs w:val="28"/>
          <w:lang w:val="uk-UA"/>
        </w:rPr>
        <w:t>STI</w:t>
      </w:r>
      <w:r w:rsidRPr="004D6C0F">
        <w:rPr>
          <w:sz w:val="28"/>
          <w:szCs w:val="28"/>
          <w:lang w:val="uk-UA"/>
        </w:rPr>
        <w:t xml:space="preserve">CA-10. Оцінка достовірності відмінностей здійснювалася за критерієм U </w:t>
      </w:r>
      <w:proofErr w:type="spellStart"/>
      <w:r w:rsidRPr="004D6C0F">
        <w:rPr>
          <w:sz w:val="28"/>
          <w:szCs w:val="28"/>
          <w:lang w:val="uk-UA"/>
        </w:rPr>
        <w:t>Манна-Уїтні</w:t>
      </w:r>
      <w:proofErr w:type="spellEnd"/>
      <w:r w:rsidRPr="004D6C0F">
        <w:rPr>
          <w:sz w:val="28"/>
          <w:szCs w:val="28"/>
          <w:lang w:val="uk-UA"/>
        </w:rPr>
        <w:t xml:space="preserve">. </w:t>
      </w:r>
    </w:p>
    <w:p w:rsidR="006B5A11" w:rsidRPr="004D6C0F" w:rsidRDefault="006B5A11" w:rsidP="006B5A11">
      <w:pPr>
        <w:ind w:firstLine="709"/>
        <w:jc w:val="both"/>
        <w:rPr>
          <w:sz w:val="28"/>
          <w:szCs w:val="28"/>
          <w:lang w:val="uk-UA"/>
        </w:rPr>
      </w:pPr>
      <w:r w:rsidRPr="004D6C0F">
        <w:rPr>
          <w:b/>
          <w:sz w:val="28"/>
          <w:szCs w:val="28"/>
          <w:lang w:val="uk-UA"/>
        </w:rPr>
        <w:t>Результати досліджень та їх обговорення</w:t>
      </w:r>
      <w:r w:rsidRPr="004D6C0F">
        <w:rPr>
          <w:sz w:val="28"/>
          <w:szCs w:val="28"/>
          <w:lang w:val="uk-UA"/>
        </w:rPr>
        <w:t>. Дослідження показників ОАГ у ПЗ новон</w:t>
      </w:r>
      <w:r w:rsidRPr="004D6C0F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  <w:lang w:val="uk-UA"/>
        </w:rPr>
        <w:t xml:space="preserve">роджених щурят (табл. 1) показало наявність активізації </w:t>
      </w:r>
    </w:p>
    <w:p w:rsidR="006B5A11" w:rsidRPr="004D6C0F" w:rsidRDefault="006B5A11" w:rsidP="006B5A11">
      <w:pPr>
        <w:spacing w:line="360" w:lineRule="auto"/>
        <w:jc w:val="right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>Таблиця 1</w:t>
      </w:r>
    </w:p>
    <w:p w:rsidR="006B5A11" w:rsidRPr="004D6C0F" w:rsidRDefault="006B5A11" w:rsidP="006B5A11">
      <w:pPr>
        <w:jc w:val="center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>Показники активності ПОЛ і АОС (</w:t>
      </w:r>
      <w:proofErr w:type="spellStart"/>
      <w:r w:rsidRPr="004D6C0F">
        <w:rPr>
          <w:sz w:val="28"/>
          <w:szCs w:val="28"/>
          <w:lang w:val="uk-UA"/>
        </w:rPr>
        <w:t>М±m</w:t>
      </w:r>
      <w:proofErr w:type="spellEnd"/>
      <w:r w:rsidRPr="004D6C0F">
        <w:rPr>
          <w:sz w:val="28"/>
          <w:szCs w:val="28"/>
          <w:lang w:val="uk-UA"/>
        </w:rPr>
        <w:t>) у тканині ПЗ і сироватці крові у пото</w:t>
      </w:r>
      <w:r w:rsidRPr="004D6C0F">
        <w:rPr>
          <w:sz w:val="28"/>
          <w:szCs w:val="28"/>
          <w:lang w:val="uk-UA"/>
        </w:rPr>
        <w:t>м</w:t>
      </w:r>
      <w:r w:rsidRPr="004D6C0F">
        <w:rPr>
          <w:sz w:val="28"/>
          <w:szCs w:val="28"/>
          <w:lang w:val="uk-UA"/>
        </w:rPr>
        <w:t xml:space="preserve">ства щурів-матерів, які отримували незбалансоване харчування </w:t>
      </w:r>
    </w:p>
    <w:p w:rsidR="006B5A11" w:rsidRPr="004D6C0F" w:rsidRDefault="006B5A11" w:rsidP="006B5A11">
      <w:pPr>
        <w:spacing w:after="120"/>
        <w:jc w:val="center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>з дефіцитом поживних речовин протягом вагітності (в % від н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>рмативу)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620"/>
        <w:gridCol w:w="1800"/>
        <w:gridCol w:w="1800"/>
        <w:gridCol w:w="1800"/>
      </w:tblGrid>
      <w:tr w:rsidR="006B5A11" w:rsidRPr="008D7F5A" w:rsidTr="00912C5F">
        <w:trPr>
          <w:trHeight w:val="141"/>
        </w:trPr>
        <w:tc>
          <w:tcPr>
            <w:tcW w:w="1368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Показн</w:t>
            </w:r>
            <w:r w:rsidRPr="008D7F5A">
              <w:rPr>
                <w:lang w:val="uk-UA"/>
              </w:rPr>
              <w:t>и</w:t>
            </w:r>
            <w:r w:rsidRPr="008D7F5A">
              <w:rPr>
                <w:lang w:val="uk-UA"/>
              </w:rPr>
              <w:t>ки</w:t>
            </w:r>
          </w:p>
        </w:tc>
        <w:tc>
          <w:tcPr>
            <w:tcW w:w="8640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Групи щурят</w:t>
            </w:r>
          </w:p>
        </w:tc>
      </w:tr>
      <w:tr w:rsidR="006B5A11" w:rsidRPr="008D7F5A" w:rsidTr="00912C5F">
        <w:trPr>
          <w:trHeight w:val="140"/>
        </w:trPr>
        <w:tc>
          <w:tcPr>
            <w:tcW w:w="136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lang w:val="uk-UA"/>
              </w:rPr>
              <w:t>Новона-р</w:t>
            </w:r>
            <w:r w:rsidRPr="008D7F5A">
              <w:rPr>
                <w:lang w:val="uk-UA"/>
              </w:rPr>
              <w:t>о</w:t>
            </w:r>
            <w:r w:rsidRPr="008D7F5A">
              <w:rPr>
                <w:lang w:val="uk-UA"/>
              </w:rPr>
              <w:t>джені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1-місячні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2 місячні</w:t>
            </w:r>
          </w:p>
        </w:tc>
      </w:tr>
      <w:tr w:rsidR="006B5A11" w:rsidRPr="008D7F5A" w:rsidTr="00912C5F">
        <w:trPr>
          <w:trHeight w:val="205"/>
        </w:trPr>
        <w:tc>
          <w:tcPr>
            <w:tcW w:w="136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ПЗ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(n=18)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ПЗ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(n=9)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Кров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(n=10)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ПЗ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(n=10)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Кров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(n=13)</w:t>
            </w:r>
          </w:p>
        </w:tc>
      </w:tr>
      <w:tr w:rsidR="006B5A11" w:rsidRPr="008D7F5A" w:rsidTr="00912C5F">
        <w:trPr>
          <w:trHeight w:val="205"/>
        </w:trPr>
        <w:tc>
          <w:tcPr>
            <w:tcW w:w="13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ДК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109,3±0,7**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104,5±0,8**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124,1±1,1**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98,3±0,9*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vertAlign w:val="subscript"/>
                <w:lang w:val="uk-UA"/>
              </w:rPr>
              <w:t>,1</w:t>
            </w:r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114,4±1,0**</w:t>
            </w:r>
          </w:p>
          <w:p w:rsidR="006B5A11" w:rsidRPr="008D7F5A" w:rsidRDefault="006B5A11" w:rsidP="00912C5F">
            <w:pPr>
              <w:jc w:val="center"/>
              <w:rPr>
                <w:i/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6B5A11" w:rsidRPr="008D7F5A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spacing w:before="60" w:after="60"/>
              <w:rPr>
                <w:lang w:val="uk-UA"/>
              </w:rPr>
            </w:pPr>
            <w:proofErr w:type="spellStart"/>
            <w:r w:rsidRPr="008D7F5A">
              <w:rPr>
                <w:lang w:val="uk-UA"/>
              </w:rPr>
              <w:t>ДК</w:t>
            </w:r>
            <w:r w:rsidRPr="008D7F5A">
              <w:rPr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vertAlign w:val="subscript"/>
                <w:lang w:val="uk-UA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 xml:space="preserve">83,9±1,2** 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85,8±0,8**</w:t>
            </w:r>
            <w:r w:rsidRPr="008D7F5A">
              <w:rPr>
                <w:i/>
                <w:lang w:val="uk-UA"/>
              </w:rPr>
              <w:t xml:space="preserve"> (</w:t>
            </w:r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1</w:t>
            </w:r>
            <w:r w:rsidRPr="008D7F5A">
              <w:rPr>
                <w:b/>
                <w:i/>
                <w:lang w:val="uk-UA"/>
              </w:rPr>
              <w:t>&gt;0,05)</w:t>
            </w:r>
          </w:p>
        </w:tc>
      </w:tr>
      <w:tr w:rsidR="006B5A11" w:rsidRPr="008D7F5A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МДА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169,2±2,2**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95,7±0,85*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115,7±1,8**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107,47±3,2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vertAlign w:val="subscript"/>
                <w:lang w:val="uk-UA"/>
              </w:rPr>
              <w:t>,1</w:t>
            </w:r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134,5±2,5**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6B5A11" w:rsidRPr="008D7F5A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spacing w:before="60" w:after="60"/>
              <w:rPr>
                <w:lang w:val="uk-UA"/>
              </w:rPr>
            </w:pPr>
            <w:proofErr w:type="spellStart"/>
            <w:r w:rsidRPr="008D7F5A">
              <w:rPr>
                <w:lang w:val="uk-UA"/>
              </w:rPr>
              <w:t>МДА</w:t>
            </w:r>
            <w:r w:rsidRPr="008D7F5A">
              <w:rPr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vertAlign w:val="subscript"/>
                <w:lang w:val="uk-UA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 xml:space="preserve">82,96±1,72** 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 xml:space="preserve">78,04±2,6** </w:t>
            </w:r>
            <w:r w:rsidRPr="008D7F5A">
              <w:rPr>
                <w:i/>
                <w:lang w:val="uk-UA"/>
              </w:rPr>
              <w:t xml:space="preserve">( </w:t>
            </w:r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1</w:t>
            </w:r>
            <w:r w:rsidRPr="008D7F5A">
              <w:rPr>
                <w:b/>
                <w:i/>
                <w:lang w:val="uk-UA"/>
              </w:rPr>
              <w:t>&gt;0,05)</w:t>
            </w:r>
          </w:p>
        </w:tc>
      </w:tr>
      <w:tr w:rsidR="006B5A11" w:rsidRPr="008D7F5A" w:rsidTr="00912C5F">
        <w:trPr>
          <w:trHeight w:val="205"/>
        </w:trPr>
        <w:tc>
          <w:tcPr>
            <w:tcW w:w="13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ДК/МДА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63,1±0,65**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107,6±1,1**</w:t>
            </w:r>
          </w:p>
          <w:p w:rsidR="006B5A11" w:rsidRPr="008D7F5A" w:rsidRDefault="006B5A11" w:rsidP="00912C5F">
            <w:pPr>
              <w:spacing w:after="60"/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104,04±1,49</w:t>
            </w:r>
          </w:p>
          <w:p w:rsidR="006B5A11" w:rsidRPr="008D7F5A" w:rsidRDefault="006B5A11" w:rsidP="00912C5F">
            <w:pPr>
              <w:jc w:val="center"/>
              <w:rPr>
                <w:i/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м</w:t>
            </w:r>
            <w:proofErr w:type="spellEnd"/>
            <w:r w:rsidRPr="008D7F5A">
              <w:rPr>
                <w:i/>
                <w:lang w:val="uk-UA"/>
              </w:rPr>
              <w:t>&lt;0,01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&lt;0,05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95,7±2,55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vertAlign w:val="subscript"/>
                <w:lang w:val="uk-UA"/>
              </w:rPr>
              <w:t>,1</w:t>
            </w:r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85,5±1,77**</w:t>
            </w:r>
          </w:p>
          <w:p w:rsidR="006B5A11" w:rsidRPr="008D7F5A" w:rsidRDefault="006B5A11" w:rsidP="00912C5F">
            <w:pPr>
              <w:jc w:val="center"/>
              <w:rPr>
                <w:i/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6B5A11" w:rsidRPr="008D7F5A" w:rsidTr="00912C5F">
        <w:trPr>
          <w:trHeight w:val="205"/>
        </w:trPr>
        <w:tc>
          <w:tcPr>
            <w:tcW w:w="13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СОД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86,7±0,4**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139,3±0,5**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89,58±0,6**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92,5±2,5*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 xml:space="preserve">&lt;0,05; </w:t>
            </w: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lang w:val="uk-UA"/>
              </w:rPr>
              <w:t>&gt;0,05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102,4±1,33*</w:t>
            </w:r>
          </w:p>
          <w:p w:rsidR="006B5A11" w:rsidRPr="008D7F5A" w:rsidRDefault="006B5A11" w:rsidP="00912C5F">
            <w:pPr>
              <w:jc w:val="center"/>
              <w:rPr>
                <w:i/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6B5A11" w:rsidRPr="008D7F5A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spacing w:before="60" w:after="60"/>
              <w:rPr>
                <w:lang w:val="uk-UA"/>
              </w:rPr>
            </w:pPr>
            <w:proofErr w:type="spellStart"/>
            <w:r w:rsidRPr="008D7F5A">
              <w:rPr>
                <w:lang w:val="uk-UA"/>
              </w:rPr>
              <w:t>СОД</w:t>
            </w:r>
            <w:r w:rsidRPr="008D7F5A">
              <w:rPr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vertAlign w:val="subscript"/>
                <w:lang w:val="uk-UA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 xml:space="preserve">155,17±1,69** 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 xml:space="preserve">89,8±2,3** </w:t>
            </w:r>
            <w:r w:rsidRPr="008D7F5A">
              <w:rPr>
                <w:i/>
                <w:lang w:val="uk-UA"/>
              </w:rPr>
              <w:t>( 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&lt;0,01)</w:t>
            </w:r>
          </w:p>
        </w:tc>
      </w:tr>
      <w:tr w:rsidR="006B5A11" w:rsidRPr="008D7F5A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КАТ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86,4±0,79**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82,06±0,3**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79,1±0,69**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108,1±2,3**</w:t>
            </w:r>
          </w:p>
          <w:p w:rsidR="006B5A11" w:rsidRPr="008D7F5A" w:rsidRDefault="006B5A11" w:rsidP="00912C5F">
            <w:pPr>
              <w:spacing w:after="60"/>
              <w:jc w:val="center"/>
              <w:rPr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 xml:space="preserve"> н,1</w:t>
            </w:r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90,82±1,8**</w:t>
            </w:r>
          </w:p>
          <w:p w:rsidR="006B5A11" w:rsidRPr="008D7F5A" w:rsidRDefault="006B5A11" w:rsidP="00912C5F">
            <w:pPr>
              <w:jc w:val="center"/>
              <w:rPr>
                <w:i/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6B5A11" w:rsidRPr="008D7F5A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spacing w:before="60" w:after="60"/>
              <w:rPr>
                <w:lang w:val="uk-UA"/>
              </w:rPr>
            </w:pPr>
            <w:proofErr w:type="spellStart"/>
            <w:r w:rsidRPr="008D7F5A">
              <w:rPr>
                <w:lang w:val="uk-UA"/>
              </w:rPr>
              <w:t>КАТ</w:t>
            </w:r>
            <w:r w:rsidRPr="008D7F5A">
              <w:rPr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vertAlign w:val="subscript"/>
                <w:lang w:val="uk-UA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 xml:space="preserve">103,41±0,83* 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 xml:space="preserve">120,6±3,69**  </w:t>
            </w:r>
            <w:r w:rsidRPr="008D7F5A">
              <w:rPr>
                <w:i/>
                <w:lang w:val="uk-UA"/>
              </w:rPr>
              <w:t>(р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&lt;0,01)</w:t>
            </w:r>
          </w:p>
        </w:tc>
      </w:tr>
      <w:tr w:rsidR="006B5A11" w:rsidRPr="008D7F5A" w:rsidTr="00912C5F">
        <w:trPr>
          <w:trHeight w:val="205"/>
        </w:trPr>
        <w:tc>
          <w:tcPr>
            <w:tcW w:w="13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СОД/КАТ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100,17±0,1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172,5±0,9**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112,3±1,3**</w:t>
            </w:r>
          </w:p>
          <w:p w:rsidR="006B5A11" w:rsidRPr="008D7F5A" w:rsidRDefault="006B5A11" w:rsidP="00912C5F">
            <w:pPr>
              <w:jc w:val="center"/>
              <w:rPr>
                <w:b/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87,04±1,5**</w:t>
            </w:r>
          </w:p>
          <w:p w:rsidR="006B5A11" w:rsidRPr="008D7F5A" w:rsidRDefault="006B5A11" w:rsidP="00912C5F">
            <w:pPr>
              <w:spacing w:after="60"/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vertAlign w:val="subscript"/>
                <w:lang w:val="uk-UA"/>
              </w:rPr>
              <w:t>,1</w:t>
            </w:r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113,8±3,3**</w:t>
            </w:r>
          </w:p>
          <w:p w:rsidR="006B5A11" w:rsidRPr="008D7F5A" w:rsidRDefault="006B5A11" w:rsidP="00912C5F">
            <w:pPr>
              <w:jc w:val="center"/>
              <w:rPr>
                <w:b/>
                <w:i/>
                <w:lang w:val="uk-UA"/>
              </w:rPr>
            </w:pPr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1</w:t>
            </w:r>
            <w:r w:rsidRPr="008D7F5A">
              <w:rPr>
                <w:b/>
                <w:i/>
                <w:lang w:val="uk-UA"/>
              </w:rPr>
              <w:t>&gt;0,05</w:t>
            </w:r>
          </w:p>
          <w:p w:rsidR="006B5A11" w:rsidRPr="008D7F5A" w:rsidRDefault="006B5A11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</w:tbl>
    <w:p w:rsidR="006B5A11" w:rsidRPr="004D6C0F" w:rsidRDefault="006B5A11" w:rsidP="006B5A11">
      <w:pPr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>Примітки: 1. **- р&lt;0,01; * - р&lt;0,05 – порівняння з групою контр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>лю.</w:t>
      </w:r>
    </w:p>
    <w:p w:rsidR="006B5A11" w:rsidRPr="004D6C0F" w:rsidRDefault="006B5A11" w:rsidP="006B5A11">
      <w:pPr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lastRenderedPageBreak/>
        <w:t xml:space="preserve">                   2. </w:t>
      </w:r>
      <w:proofErr w:type="spellStart"/>
      <w:r w:rsidRPr="004D6C0F">
        <w:rPr>
          <w:sz w:val="28"/>
          <w:szCs w:val="28"/>
          <w:lang w:val="uk-UA"/>
        </w:rPr>
        <w:t>р</w:t>
      </w:r>
      <w:r w:rsidRPr="004D6C0F">
        <w:rPr>
          <w:sz w:val="28"/>
          <w:szCs w:val="28"/>
          <w:vertAlign w:val="subscript"/>
          <w:lang w:val="uk-UA"/>
        </w:rPr>
        <w:t>н</w:t>
      </w:r>
      <w:proofErr w:type="spellEnd"/>
      <w:r w:rsidRPr="004D6C0F">
        <w:rPr>
          <w:sz w:val="28"/>
          <w:szCs w:val="28"/>
          <w:lang w:val="uk-UA"/>
        </w:rPr>
        <w:t xml:space="preserve">   – порівняння з показниками у новонароджених щурят.</w:t>
      </w:r>
    </w:p>
    <w:p w:rsidR="006B5A11" w:rsidRPr="004D6C0F" w:rsidRDefault="006B5A11" w:rsidP="006B5A11">
      <w:pPr>
        <w:tabs>
          <w:tab w:val="left" w:pos="1440"/>
        </w:tabs>
        <w:ind w:left="1800" w:hanging="1800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 xml:space="preserve">                   3. р</w:t>
      </w:r>
      <w:r w:rsidRPr="004D6C0F">
        <w:rPr>
          <w:sz w:val="28"/>
          <w:szCs w:val="28"/>
          <w:vertAlign w:val="subscript"/>
          <w:lang w:val="uk-UA"/>
        </w:rPr>
        <w:t>1</w:t>
      </w:r>
      <w:r w:rsidRPr="004D6C0F">
        <w:rPr>
          <w:sz w:val="28"/>
          <w:szCs w:val="28"/>
          <w:lang w:val="uk-UA"/>
        </w:rPr>
        <w:t xml:space="preserve">   – порівняння з показниками у 1-місячних щурят.     </w:t>
      </w:r>
    </w:p>
    <w:p w:rsidR="006B5A11" w:rsidRPr="004D6C0F" w:rsidRDefault="006B5A11" w:rsidP="006B5A11">
      <w:pPr>
        <w:tabs>
          <w:tab w:val="left" w:pos="1440"/>
        </w:tabs>
        <w:ind w:left="1800" w:hanging="1800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 xml:space="preserve">                   4. </w:t>
      </w:r>
      <w:proofErr w:type="spellStart"/>
      <w:r w:rsidRPr="004D6C0F">
        <w:rPr>
          <w:sz w:val="28"/>
          <w:szCs w:val="28"/>
          <w:lang w:val="uk-UA"/>
        </w:rPr>
        <w:t>р</w:t>
      </w:r>
      <w:r w:rsidRPr="004D6C0F">
        <w:rPr>
          <w:sz w:val="28"/>
          <w:szCs w:val="28"/>
          <w:vertAlign w:val="subscript"/>
          <w:lang w:val="uk-UA"/>
        </w:rPr>
        <w:t>пз</w:t>
      </w:r>
      <w:proofErr w:type="spellEnd"/>
      <w:r w:rsidRPr="004D6C0F">
        <w:rPr>
          <w:sz w:val="28"/>
          <w:szCs w:val="28"/>
          <w:lang w:val="uk-UA"/>
        </w:rPr>
        <w:t xml:space="preserve"> – порівняння з показниками в ПЗ. </w:t>
      </w:r>
    </w:p>
    <w:p w:rsidR="006B5A11" w:rsidRPr="004D6C0F" w:rsidRDefault="006B5A11" w:rsidP="006B5A11">
      <w:pPr>
        <w:spacing w:line="360" w:lineRule="auto"/>
        <w:rPr>
          <w:sz w:val="28"/>
          <w:szCs w:val="28"/>
          <w:lang w:val="uk-UA"/>
        </w:rPr>
      </w:pPr>
    </w:p>
    <w:p w:rsidR="006B5A11" w:rsidRPr="004D6C0F" w:rsidRDefault="006B5A11" w:rsidP="006B5A11">
      <w:pPr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>ПОЛ: в порівнянні із показниками групи контролю має місце підвищення вмісту ДК і МДА. Співвідношення цих показників знижене на 36,9% (р&lt;0,01), що маніфестує переважне накоп</w:t>
      </w:r>
      <w:r w:rsidRPr="004D6C0F">
        <w:rPr>
          <w:sz w:val="28"/>
          <w:szCs w:val="28"/>
          <w:lang w:val="uk-UA"/>
        </w:rPr>
        <w:t>и</w:t>
      </w:r>
      <w:r w:rsidRPr="004D6C0F">
        <w:rPr>
          <w:sz w:val="28"/>
          <w:szCs w:val="28"/>
          <w:lang w:val="uk-UA"/>
        </w:rPr>
        <w:t>чення вторинних продуктів ПОЛ, тобто високий ступінь ендогенної інтоксикації внаслідок активації ПОЛ [15]. Рівень показників АОС (СОД і КАТ) виявився суттєво нижчим за такі у тварин групи контролю, а їх спі</w:t>
      </w:r>
      <w:r w:rsidRPr="004D6C0F">
        <w:rPr>
          <w:sz w:val="28"/>
          <w:szCs w:val="28"/>
          <w:lang w:val="uk-UA"/>
        </w:rPr>
        <w:t>в</w:t>
      </w:r>
      <w:r w:rsidRPr="004D6C0F">
        <w:rPr>
          <w:sz w:val="28"/>
          <w:szCs w:val="28"/>
          <w:lang w:val="uk-UA"/>
        </w:rPr>
        <w:t>відношення не відрізняється від нормативного значення (+0,17%, р&gt;0,05), що св</w:t>
      </w:r>
      <w:r w:rsidRPr="004D6C0F">
        <w:rPr>
          <w:sz w:val="28"/>
          <w:szCs w:val="28"/>
          <w:lang w:val="uk-UA"/>
        </w:rPr>
        <w:t>і</w:t>
      </w:r>
      <w:r w:rsidRPr="004D6C0F">
        <w:rPr>
          <w:sz w:val="28"/>
          <w:szCs w:val="28"/>
          <w:lang w:val="uk-UA"/>
        </w:rPr>
        <w:t>дчить про однаковий ступінь їх зменшення. Зниження активності АОС відбиває недостатність захисних механізмів, спрямованих на збереження і підтримку гом</w:t>
      </w:r>
      <w:r w:rsidRPr="004D6C0F">
        <w:rPr>
          <w:sz w:val="28"/>
          <w:szCs w:val="28"/>
          <w:lang w:val="uk-UA"/>
        </w:rPr>
        <w:t>е</w:t>
      </w:r>
      <w:r w:rsidRPr="004D6C0F">
        <w:rPr>
          <w:sz w:val="28"/>
          <w:szCs w:val="28"/>
          <w:lang w:val="uk-UA"/>
        </w:rPr>
        <w:t>остазу в організмі. В цілому рівень показників ПОЛ і АОС свідчить, що у новон</w:t>
      </w:r>
      <w:r w:rsidRPr="004D6C0F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  <w:lang w:val="uk-UA"/>
        </w:rPr>
        <w:t xml:space="preserve">роджених щурят при </w:t>
      </w:r>
      <w:proofErr w:type="spellStart"/>
      <w:r w:rsidRPr="004D6C0F">
        <w:rPr>
          <w:sz w:val="28"/>
          <w:szCs w:val="28"/>
          <w:lang w:val="uk-UA"/>
        </w:rPr>
        <w:t>гіпокалорійному</w:t>
      </w:r>
      <w:proofErr w:type="spellEnd"/>
      <w:r w:rsidRPr="004D6C0F">
        <w:rPr>
          <w:sz w:val="28"/>
          <w:szCs w:val="28"/>
          <w:lang w:val="uk-UA"/>
        </w:rPr>
        <w:t xml:space="preserve"> харчуванні їх матерів протягом вагітності відбувається порушення ОАГ в ПЗ за рахунок активації ПОЛ при зниженні акти</w:t>
      </w:r>
      <w:r w:rsidRPr="004D6C0F">
        <w:rPr>
          <w:sz w:val="28"/>
          <w:szCs w:val="28"/>
          <w:lang w:val="uk-UA"/>
        </w:rPr>
        <w:t>в</w:t>
      </w:r>
      <w:r w:rsidRPr="004D6C0F">
        <w:rPr>
          <w:sz w:val="28"/>
          <w:szCs w:val="28"/>
          <w:lang w:val="uk-UA"/>
        </w:rPr>
        <w:t xml:space="preserve">ності АОС, що обумовлює розвиток </w:t>
      </w:r>
      <w:proofErr w:type="spellStart"/>
      <w:r w:rsidRPr="004D6C0F">
        <w:rPr>
          <w:sz w:val="28"/>
          <w:szCs w:val="28"/>
          <w:lang w:val="uk-UA"/>
        </w:rPr>
        <w:t>оксидативного</w:t>
      </w:r>
      <w:proofErr w:type="spellEnd"/>
      <w:r w:rsidRPr="004D6C0F">
        <w:rPr>
          <w:sz w:val="28"/>
          <w:szCs w:val="28"/>
          <w:lang w:val="uk-UA"/>
        </w:rPr>
        <w:t xml:space="preserve"> стресу, який, спричиняючи ушкодження клітинних мембран і внутрішньоклітинних структур, може бути о</w:t>
      </w:r>
      <w:r w:rsidRPr="004D6C0F">
        <w:rPr>
          <w:sz w:val="28"/>
          <w:szCs w:val="28"/>
          <w:lang w:val="uk-UA"/>
        </w:rPr>
        <w:t>д</w:t>
      </w:r>
      <w:r w:rsidRPr="004D6C0F">
        <w:rPr>
          <w:sz w:val="28"/>
          <w:szCs w:val="28"/>
          <w:lang w:val="uk-UA"/>
        </w:rPr>
        <w:t>нією із важливих ланок патогенезу пренатального ушкодження ПЗ, потенційно небезпечного щодо розвитку в постнатальному періоді не тільки її функціональних розладів, а й органічної пат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>логії.</w:t>
      </w:r>
    </w:p>
    <w:p w:rsidR="006B5A11" w:rsidRPr="004D6C0F" w:rsidRDefault="006B5A11" w:rsidP="006B5A11">
      <w:pPr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ab/>
        <w:t xml:space="preserve">У 1-місячних щурят в ПЗ всі показники ОАГ достовірно </w:t>
      </w:r>
      <w:proofErr w:type="spellStart"/>
      <w:r w:rsidRPr="004D6C0F">
        <w:rPr>
          <w:sz w:val="28"/>
          <w:szCs w:val="28"/>
          <w:lang w:val="uk-UA"/>
        </w:rPr>
        <w:t>відрізняють-ся</w:t>
      </w:r>
      <w:proofErr w:type="spellEnd"/>
      <w:r w:rsidRPr="004D6C0F">
        <w:rPr>
          <w:sz w:val="28"/>
          <w:szCs w:val="28"/>
          <w:lang w:val="uk-UA"/>
        </w:rPr>
        <w:t xml:space="preserve"> як від нормативних, так і від таких у новонароджених (див. табл.1). В порівнянні з останніми активація ПОЛ більш помірна і характеризується накопиченням пе</w:t>
      </w:r>
      <w:r w:rsidRPr="004D6C0F">
        <w:rPr>
          <w:sz w:val="28"/>
          <w:szCs w:val="28"/>
          <w:lang w:val="uk-UA"/>
        </w:rPr>
        <w:t>р</w:t>
      </w:r>
      <w:r w:rsidRPr="004D6C0F">
        <w:rPr>
          <w:sz w:val="28"/>
          <w:szCs w:val="28"/>
          <w:lang w:val="uk-UA"/>
        </w:rPr>
        <w:t>винних продуктів ПОЛ і зменшення вмісту вторинних (рівень ДК вищий за но</w:t>
      </w:r>
      <w:r w:rsidRPr="004D6C0F">
        <w:rPr>
          <w:sz w:val="28"/>
          <w:szCs w:val="28"/>
          <w:lang w:val="uk-UA"/>
        </w:rPr>
        <w:t>р</w:t>
      </w:r>
      <w:r w:rsidRPr="004D6C0F">
        <w:rPr>
          <w:sz w:val="28"/>
          <w:szCs w:val="28"/>
          <w:lang w:val="uk-UA"/>
        </w:rPr>
        <w:t xml:space="preserve">матив, але нижчий, ніж у новонароджених (на 4,8%, </w:t>
      </w:r>
      <w:proofErr w:type="spellStart"/>
      <w:r w:rsidRPr="004D6C0F">
        <w:rPr>
          <w:sz w:val="28"/>
          <w:szCs w:val="28"/>
          <w:lang w:val="uk-UA"/>
        </w:rPr>
        <w:t>р</w:t>
      </w:r>
      <w:r w:rsidRPr="004D6C0F">
        <w:rPr>
          <w:sz w:val="28"/>
          <w:szCs w:val="28"/>
          <w:vertAlign w:val="subscript"/>
          <w:lang w:val="uk-UA"/>
        </w:rPr>
        <w:t>н</w:t>
      </w:r>
      <w:proofErr w:type="spellEnd"/>
      <w:r w:rsidRPr="004D6C0F">
        <w:rPr>
          <w:sz w:val="28"/>
          <w:szCs w:val="28"/>
          <w:lang w:val="uk-UA"/>
        </w:rPr>
        <w:t>&lt;0,01), а вміст МДА ни</w:t>
      </w:r>
      <w:r w:rsidRPr="004D6C0F">
        <w:rPr>
          <w:sz w:val="28"/>
          <w:szCs w:val="28"/>
          <w:lang w:val="uk-UA"/>
        </w:rPr>
        <w:t>ж</w:t>
      </w:r>
      <w:r w:rsidRPr="004D6C0F">
        <w:rPr>
          <w:sz w:val="28"/>
          <w:szCs w:val="28"/>
          <w:lang w:val="uk-UA"/>
        </w:rPr>
        <w:t xml:space="preserve">чий за норматив і суттєво нижчий, ніж у новонароджених (на 73,5%, </w:t>
      </w:r>
      <w:proofErr w:type="spellStart"/>
      <w:r w:rsidRPr="004D6C0F">
        <w:rPr>
          <w:sz w:val="28"/>
          <w:szCs w:val="28"/>
          <w:lang w:val="uk-UA"/>
        </w:rPr>
        <w:t>р</w:t>
      </w:r>
      <w:r w:rsidRPr="004D6C0F">
        <w:rPr>
          <w:sz w:val="28"/>
          <w:szCs w:val="28"/>
          <w:vertAlign w:val="subscript"/>
          <w:lang w:val="uk-UA"/>
        </w:rPr>
        <w:t>н</w:t>
      </w:r>
      <w:proofErr w:type="spellEnd"/>
      <w:r w:rsidRPr="004D6C0F">
        <w:rPr>
          <w:sz w:val="28"/>
          <w:szCs w:val="28"/>
          <w:lang w:val="uk-UA"/>
        </w:rPr>
        <w:t>&lt;0,01). Про зсув показників ПОЛ в бік накопичення первинних продуктів свідчить збільше</w:t>
      </w:r>
      <w:r w:rsidRPr="004D6C0F">
        <w:rPr>
          <w:sz w:val="28"/>
          <w:szCs w:val="28"/>
          <w:lang w:val="uk-UA"/>
        </w:rPr>
        <w:t>н</w:t>
      </w:r>
      <w:r w:rsidRPr="004D6C0F">
        <w:rPr>
          <w:sz w:val="28"/>
          <w:szCs w:val="28"/>
          <w:lang w:val="uk-UA"/>
        </w:rPr>
        <w:t>ня співвідношення ДК/МДА в порівнянні з тваринами групи контролю (на 7,6%, р&lt;0,01) і нов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 xml:space="preserve">народженими (на 44,5%, </w:t>
      </w:r>
      <w:proofErr w:type="spellStart"/>
      <w:r w:rsidRPr="004D6C0F">
        <w:rPr>
          <w:sz w:val="28"/>
          <w:szCs w:val="28"/>
          <w:lang w:val="uk-UA"/>
        </w:rPr>
        <w:t>р</w:t>
      </w:r>
      <w:r w:rsidRPr="004D6C0F">
        <w:rPr>
          <w:sz w:val="28"/>
          <w:szCs w:val="28"/>
          <w:vertAlign w:val="subscript"/>
          <w:lang w:val="uk-UA"/>
        </w:rPr>
        <w:t>н</w:t>
      </w:r>
      <w:proofErr w:type="spellEnd"/>
      <w:r w:rsidRPr="004D6C0F">
        <w:rPr>
          <w:sz w:val="28"/>
          <w:szCs w:val="28"/>
          <w:lang w:val="uk-UA"/>
        </w:rPr>
        <w:t xml:space="preserve">&lt;0,01). Активність АОС в ПЗ у 1-місячних щурят дещо вища, ніж у новонароджених, в першу чергу за рахунок збільшення активності СОД (+52,6%, </w:t>
      </w:r>
      <w:proofErr w:type="spellStart"/>
      <w:r w:rsidRPr="004D6C0F">
        <w:rPr>
          <w:sz w:val="28"/>
          <w:szCs w:val="28"/>
          <w:lang w:val="uk-UA"/>
        </w:rPr>
        <w:t>р</w:t>
      </w:r>
      <w:r w:rsidRPr="004D6C0F">
        <w:rPr>
          <w:sz w:val="28"/>
          <w:szCs w:val="28"/>
          <w:vertAlign w:val="subscript"/>
          <w:lang w:val="uk-UA"/>
        </w:rPr>
        <w:t>н</w:t>
      </w:r>
      <w:proofErr w:type="spellEnd"/>
      <w:r w:rsidRPr="004D6C0F">
        <w:rPr>
          <w:sz w:val="28"/>
          <w:szCs w:val="28"/>
          <w:lang w:val="uk-UA"/>
        </w:rPr>
        <w:t>&lt;0,01); при цьому активність КАТ ни</w:t>
      </w:r>
      <w:r w:rsidRPr="004D6C0F">
        <w:rPr>
          <w:sz w:val="28"/>
          <w:szCs w:val="28"/>
          <w:lang w:val="uk-UA"/>
        </w:rPr>
        <w:t>ж</w:t>
      </w:r>
      <w:r w:rsidRPr="004D6C0F">
        <w:rPr>
          <w:sz w:val="28"/>
          <w:szCs w:val="28"/>
          <w:lang w:val="uk-UA"/>
        </w:rPr>
        <w:t xml:space="preserve">ча (-4,3%, </w:t>
      </w:r>
      <w:proofErr w:type="spellStart"/>
      <w:r w:rsidRPr="004D6C0F">
        <w:rPr>
          <w:sz w:val="28"/>
          <w:szCs w:val="28"/>
          <w:lang w:val="uk-UA"/>
        </w:rPr>
        <w:t>р</w:t>
      </w:r>
      <w:r w:rsidRPr="004D6C0F">
        <w:rPr>
          <w:sz w:val="28"/>
          <w:szCs w:val="28"/>
          <w:vertAlign w:val="subscript"/>
          <w:lang w:val="uk-UA"/>
        </w:rPr>
        <w:t>н</w:t>
      </w:r>
      <w:proofErr w:type="spellEnd"/>
      <w:r w:rsidRPr="004D6C0F">
        <w:rPr>
          <w:sz w:val="28"/>
          <w:szCs w:val="28"/>
          <w:lang w:val="uk-UA"/>
        </w:rPr>
        <w:t>&lt;0,01). Відповідно співвідношення СОД/КАТ значно підвищене (див. табл. 1), що свідчить про недостатню активність КАТ для дезактивації тої кільк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 xml:space="preserve">сті пероксиду водню </w:t>
      </w:r>
      <w:r w:rsidRPr="004D6C0F">
        <w:rPr>
          <w:sz w:val="28"/>
          <w:szCs w:val="28"/>
        </w:rPr>
        <w:t>(Н</w:t>
      </w:r>
      <w:r w:rsidRPr="004D6C0F">
        <w:rPr>
          <w:sz w:val="28"/>
          <w:szCs w:val="28"/>
          <w:vertAlign w:val="subscript"/>
        </w:rPr>
        <w:t>2</w:t>
      </w:r>
      <w:r w:rsidRPr="004D6C0F">
        <w:rPr>
          <w:sz w:val="28"/>
          <w:szCs w:val="28"/>
        </w:rPr>
        <w:t>О</w:t>
      </w:r>
      <w:r w:rsidRPr="004D6C0F">
        <w:rPr>
          <w:sz w:val="28"/>
          <w:szCs w:val="28"/>
          <w:vertAlign w:val="subscript"/>
        </w:rPr>
        <w:t>2</w:t>
      </w:r>
      <w:r w:rsidRPr="004D6C0F">
        <w:rPr>
          <w:sz w:val="28"/>
          <w:szCs w:val="28"/>
        </w:rPr>
        <w:t>),</w:t>
      </w:r>
      <w:r w:rsidRPr="004D6C0F">
        <w:rPr>
          <w:sz w:val="28"/>
          <w:szCs w:val="28"/>
          <w:lang w:val="uk-UA"/>
        </w:rPr>
        <w:t xml:space="preserve"> яка утворюється в результаті каталітичної активності СОД в р</w:t>
      </w:r>
      <w:r w:rsidRPr="004D6C0F">
        <w:rPr>
          <w:sz w:val="28"/>
          <w:szCs w:val="28"/>
          <w:lang w:val="uk-UA"/>
        </w:rPr>
        <w:t>е</w:t>
      </w:r>
      <w:r w:rsidRPr="004D6C0F">
        <w:rPr>
          <w:sz w:val="28"/>
          <w:szCs w:val="28"/>
          <w:lang w:val="uk-UA"/>
        </w:rPr>
        <w:t xml:space="preserve">акції </w:t>
      </w:r>
      <w:proofErr w:type="spellStart"/>
      <w:r w:rsidRPr="004D6C0F">
        <w:rPr>
          <w:sz w:val="28"/>
          <w:szCs w:val="28"/>
          <w:lang w:val="uk-UA"/>
        </w:rPr>
        <w:t>дисмутації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супероксидних</w:t>
      </w:r>
      <w:proofErr w:type="spellEnd"/>
      <w:r w:rsidRPr="004D6C0F">
        <w:rPr>
          <w:sz w:val="28"/>
          <w:szCs w:val="28"/>
          <w:lang w:val="uk-UA"/>
        </w:rPr>
        <w:t xml:space="preserve"> аніонних радикалів </w:t>
      </w:r>
      <w:r w:rsidRPr="004D6C0F">
        <w:rPr>
          <w:sz w:val="28"/>
          <w:szCs w:val="28"/>
        </w:rPr>
        <w:t>(О</w:t>
      </w:r>
      <w:r w:rsidRPr="004D6C0F">
        <w:rPr>
          <w:sz w:val="28"/>
          <w:szCs w:val="28"/>
          <w:vertAlign w:val="subscript"/>
        </w:rPr>
        <w:t>2</w:t>
      </w:r>
      <w:r w:rsidRPr="004D6C0F">
        <w:rPr>
          <w:sz w:val="28"/>
          <w:szCs w:val="28"/>
          <w:vertAlign w:val="superscript"/>
        </w:rPr>
        <w:t>-</w:t>
      </w:r>
      <w:r w:rsidRPr="004D6C0F">
        <w:rPr>
          <w:sz w:val="28"/>
          <w:szCs w:val="28"/>
        </w:rPr>
        <w:t>).</w:t>
      </w:r>
      <w:r w:rsidRPr="004D6C0F">
        <w:rPr>
          <w:sz w:val="28"/>
          <w:szCs w:val="28"/>
          <w:lang w:val="uk-UA"/>
        </w:rPr>
        <w:t xml:space="preserve"> </w:t>
      </w:r>
    </w:p>
    <w:p w:rsidR="006B5A11" w:rsidRPr="004D6C0F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>В сироватці крові у 1-місячних щурят показники ПОЛ достовірно збільшені в порівнянні із контрольними, а також із показниками у тканині ПЗ (на 19,6% і 20% (</w:t>
      </w:r>
      <w:proofErr w:type="spellStart"/>
      <w:r w:rsidRPr="004D6C0F">
        <w:rPr>
          <w:sz w:val="28"/>
          <w:szCs w:val="28"/>
          <w:lang w:val="uk-UA"/>
        </w:rPr>
        <w:t>р</w:t>
      </w:r>
      <w:r w:rsidRPr="004D6C0F">
        <w:rPr>
          <w:sz w:val="28"/>
          <w:szCs w:val="28"/>
          <w:vertAlign w:val="subscript"/>
          <w:lang w:val="uk-UA"/>
        </w:rPr>
        <w:t>ПЗ</w:t>
      </w:r>
      <w:proofErr w:type="spellEnd"/>
      <w:r w:rsidRPr="004D6C0F">
        <w:rPr>
          <w:sz w:val="28"/>
          <w:szCs w:val="28"/>
          <w:lang w:val="uk-UA"/>
        </w:rPr>
        <w:t>&lt;0,01) відповідно ДК і МДА); співвідношення ДК/МДА підвищене, тобто має місце переважання накопичення пе</w:t>
      </w:r>
      <w:r w:rsidRPr="004D6C0F">
        <w:rPr>
          <w:sz w:val="28"/>
          <w:szCs w:val="28"/>
          <w:lang w:val="uk-UA"/>
        </w:rPr>
        <w:t>р</w:t>
      </w:r>
      <w:r w:rsidRPr="004D6C0F">
        <w:rPr>
          <w:sz w:val="28"/>
          <w:szCs w:val="28"/>
          <w:lang w:val="uk-UA"/>
        </w:rPr>
        <w:t>винних продуктів ПОЛ. Активність АОС в сироватці крові зменшена, оскільки спостерігається достовірне зниження акти</w:t>
      </w:r>
      <w:r w:rsidRPr="004D6C0F">
        <w:rPr>
          <w:sz w:val="28"/>
          <w:szCs w:val="28"/>
          <w:lang w:val="uk-UA"/>
        </w:rPr>
        <w:t>в</w:t>
      </w:r>
      <w:r w:rsidRPr="004D6C0F">
        <w:rPr>
          <w:sz w:val="28"/>
          <w:szCs w:val="28"/>
          <w:lang w:val="uk-UA"/>
        </w:rPr>
        <w:t xml:space="preserve">ності СОД і КАТ не тільки в порівнянні з </w:t>
      </w:r>
      <w:r w:rsidRPr="004D6C0F">
        <w:rPr>
          <w:sz w:val="28"/>
          <w:szCs w:val="28"/>
          <w:lang w:val="uk-UA"/>
        </w:rPr>
        <w:lastRenderedPageBreak/>
        <w:t>показниками у тварин гр</w:t>
      </w:r>
      <w:r w:rsidRPr="004D6C0F">
        <w:rPr>
          <w:sz w:val="28"/>
          <w:szCs w:val="28"/>
          <w:lang w:val="uk-UA"/>
        </w:rPr>
        <w:t>у</w:t>
      </w:r>
      <w:r w:rsidRPr="004D6C0F">
        <w:rPr>
          <w:sz w:val="28"/>
          <w:szCs w:val="28"/>
          <w:lang w:val="uk-UA"/>
        </w:rPr>
        <w:t>пи контролю, а й з такими у тканині ПЗ (див. табл. 1). Слід відзначити, що низький рівень СОД і КАТ сполучається з непропорційністю їх зрушень, про що свідчить підвищення пока</w:t>
      </w:r>
      <w:r w:rsidRPr="004D6C0F">
        <w:rPr>
          <w:sz w:val="28"/>
          <w:szCs w:val="28"/>
          <w:lang w:val="uk-UA"/>
        </w:rPr>
        <w:t>з</w:t>
      </w:r>
      <w:r w:rsidRPr="004D6C0F">
        <w:rPr>
          <w:sz w:val="28"/>
          <w:szCs w:val="28"/>
          <w:lang w:val="uk-UA"/>
        </w:rPr>
        <w:t>ника співвідношення СОД/КАТ (на 12,3%, р&lt;0,01), тобто ступінь зниження активності КАТ вищий, а значить відбувається накопичення токсичного Н</w:t>
      </w:r>
      <w:r w:rsidRPr="004D6C0F">
        <w:rPr>
          <w:sz w:val="28"/>
          <w:szCs w:val="28"/>
          <w:vertAlign w:val="subscript"/>
          <w:lang w:val="uk-UA"/>
        </w:rPr>
        <w:t>2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vertAlign w:val="subscript"/>
          <w:lang w:val="uk-UA"/>
        </w:rPr>
        <w:t xml:space="preserve">2 </w:t>
      </w:r>
      <w:r w:rsidRPr="004D6C0F">
        <w:rPr>
          <w:sz w:val="28"/>
          <w:szCs w:val="28"/>
          <w:lang w:val="uk-UA"/>
        </w:rPr>
        <w:t>, що, як відомо, небезпечно щодо поруше</w:t>
      </w:r>
      <w:r w:rsidRPr="004D6C0F">
        <w:rPr>
          <w:sz w:val="28"/>
          <w:szCs w:val="28"/>
          <w:lang w:val="uk-UA"/>
        </w:rPr>
        <w:t>н</w:t>
      </w:r>
      <w:r w:rsidRPr="004D6C0F">
        <w:rPr>
          <w:sz w:val="28"/>
          <w:szCs w:val="28"/>
          <w:lang w:val="uk-UA"/>
        </w:rPr>
        <w:t xml:space="preserve">ня </w:t>
      </w:r>
      <w:proofErr w:type="spellStart"/>
      <w:r w:rsidRPr="004D6C0F">
        <w:rPr>
          <w:sz w:val="28"/>
          <w:szCs w:val="28"/>
          <w:lang w:val="uk-UA"/>
        </w:rPr>
        <w:t>біомембран</w:t>
      </w:r>
      <w:proofErr w:type="spellEnd"/>
      <w:r w:rsidRPr="004D6C0F">
        <w:rPr>
          <w:sz w:val="28"/>
          <w:szCs w:val="28"/>
          <w:lang w:val="uk-UA"/>
        </w:rPr>
        <w:t xml:space="preserve"> [16]. </w:t>
      </w:r>
    </w:p>
    <w:p w:rsidR="006B5A11" w:rsidRPr="004D6C0F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>Таким чином, у 1-місячних щурят, пренатальний розвиток яких відбувався в умовах дефіциту поживних речовин, як і у новонароджених щурят, має місце п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>рушення АОГ в сироватці крові і тканині ПЗ. Ступінь його порушення у ПЗ 1-місячних щурят дещо менший, ніж у новонароджених, за рахунок більш низької активності ПОЛ і збільшення активності АОС, але фізі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 xml:space="preserve">логічний резерв останньої є недостатнім для призупинення процесів ПОЛ, що </w:t>
      </w:r>
      <w:proofErr w:type="spellStart"/>
      <w:r w:rsidRPr="004D6C0F">
        <w:rPr>
          <w:sz w:val="28"/>
          <w:szCs w:val="28"/>
          <w:lang w:val="uk-UA"/>
        </w:rPr>
        <w:t>розвинулися</w:t>
      </w:r>
      <w:proofErr w:type="spellEnd"/>
      <w:r w:rsidRPr="004D6C0F">
        <w:rPr>
          <w:sz w:val="28"/>
          <w:szCs w:val="28"/>
          <w:lang w:val="uk-UA"/>
        </w:rPr>
        <w:t xml:space="preserve"> у пренатальному періоді, а значить і для попередження структурних змін в </w:t>
      </w:r>
      <w:proofErr w:type="spellStart"/>
      <w:r w:rsidRPr="004D6C0F">
        <w:rPr>
          <w:sz w:val="28"/>
          <w:szCs w:val="28"/>
          <w:lang w:val="uk-UA"/>
        </w:rPr>
        <w:t>панкреацитах</w:t>
      </w:r>
      <w:proofErr w:type="spellEnd"/>
      <w:r w:rsidRPr="004D6C0F">
        <w:rPr>
          <w:sz w:val="28"/>
          <w:szCs w:val="28"/>
          <w:lang w:val="uk-UA"/>
        </w:rPr>
        <w:t>.</w:t>
      </w:r>
    </w:p>
    <w:p w:rsidR="006B5A11" w:rsidRPr="004D6C0F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>У 2-місячніх щурят показники ПОЛ (ДК, МДА та їх співвідношення) в тк</w:t>
      </w:r>
      <w:r w:rsidRPr="004D6C0F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  <w:lang w:val="uk-UA"/>
        </w:rPr>
        <w:t>нині ПЗ у порівнянні із новонародженими і 1-місячними щурятами найменше ві</w:t>
      </w:r>
      <w:r w:rsidRPr="004D6C0F">
        <w:rPr>
          <w:sz w:val="28"/>
          <w:szCs w:val="28"/>
          <w:lang w:val="uk-UA"/>
        </w:rPr>
        <w:t>д</w:t>
      </w:r>
      <w:r w:rsidRPr="004D6C0F">
        <w:rPr>
          <w:sz w:val="28"/>
          <w:szCs w:val="28"/>
          <w:lang w:val="uk-UA"/>
        </w:rPr>
        <w:t>різняються від таких у тварин групи контролю (див. табл. 1), що свідчить про ві</w:t>
      </w:r>
      <w:r w:rsidRPr="004D6C0F">
        <w:rPr>
          <w:sz w:val="28"/>
          <w:szCs w:val="28"/>
          <w:lang w:val="uk-UA"/>
        </w:rPr>
        <w:t>д</w:t>
      </w:r>
      <w:r w:rsidRPr="004D6C0F">
        <w:rPr>
          <w:sz w:val="28"/>
          <w:szCs w:val="28"/>
          <w:lang w:val="uk-UA"/>
        </w:rPr>
        <w:t>сутність суттєвої активізації ПОЛ. При цьому має місце помірне зменшення акт</w:t>
      </w:r>
      <w:r w:rsidRPr="004D6C0F">
        <w:rPr>
          <w:sz w:val="28"/>
          <w:szCs w:val="28"/>
          <w:lang w:val="uk-UA"/>
        </w:rPr>
        <w:t>и</w:t>
      </w:r>
      <w:r w:rsidRPr="004D6C0F">
        <w:rPr>
          <w:sz w:val="28"/>
          <w:szCs w:val="28"/>
          <w:lang w:val="uk-UA"/>
        </w:rPr>
        <w:t>вності СОД при підвищенні активності КАТ, внаслідок чого показник їх співві</w:t>
      </w:r>
      <w:r w:rsidRPr="004D6C0F">
        <w:rPr>
          <w:sz w:val="28"/>
          <w:szCs w:val="28"/>
          <w:lang w:val="uk-UA"/>
        </w:rPr>
        <w:t>д</w:t>
      </w:r>
      <w:r w:rsidRPr="004D6C0F">
        <w:rPr>
          <w:sz w:val="28"/>
          <w:szCs w:val="28"/>
          <w:lang w:val="uk-UA"/>
        </w:rPr>
        <w:t>ношення (СОД/КАТ), на відміну від нього у новонароджених і 1-місячних щурят знижений (на 13,0%, р&lt;0,01). Тобто, у щурят цієї групи активність КАТ достатня для попередження н</w:t>
      </w:r>
      <w:r w:rsidRPr="004D6C0F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  <w:lang w:val="uk-UA"/>
        </w:rPr>
        <w:t xml:space="preserve">копичення токсичного </w:t>
      </w:r>
      <w:r w:rsidRPr="004D6C0F">
        <w:rPr>
          <w:sz w:val="28"/>
          <w:szCs w:val="28"/>
        </w:rPr>
        <w:t>Н</w:t>
      </w:r>
      <w:r w:rsidRPr="004D6C0F">
        <w:rPr>
          <w:sz w:val="28"/>
          <w:szCs w:val="28"/>
          <w:vertAlign w:val="subscript"/>
        </w:rPr>
        <w:t>2</w:t>
      </w:r>
      <w:r w:rsidRPr="004D6C0F">
        <w:rPr>
          <w:sz w:val="28"/>
          <w:szCs w:val="28"/>
        </w:rPr>
        <w:t>О</w:t>
      </w:r>
      <w:r w:rsidRPr="004D6C0F">
        <w:rPr>
          <w:sz w:val="28"/>
          <w:szCs w:val="28"/>
          <w:vertAlign w:val="subscript"/>
        </w:rPr>
        <w:t>2</w:t>
      </w:r>
      <w:r w:rsidRPr="004D6C0F">
        <w:rPr>
          <w:sz w:val="28"/>
          <w:szCs w:val="28"/>
          <w:lang w:val="uk-UA"/>
        </w:rPr>
        <w:t xml:space="preserve"> у тканині ПЗ. У сироватці крові 2-місячних щурят встановлене достовірне підвищення показників ПОЛ з перев</w:t>
      </w:r>
      <w:r w:rsidRPr="004D6C0F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  <w:lang w:val="uk-UA"/>
        </w:rPr>
        <w:t>жанням накопичення вторинних продуктів ПОЛ (МДА), проявом якого є зме</w:t>
      </w:r>
      <w:r w:rsidRPr="004D6C0F">
        <w:rPr>
          <w:sz w:val="28"/>
          <w:szCs w:val="28"/>
          <w:lang w:val="uk-UA"/>
        </w:rPr>
        <w:t>н</w:t>
      </w:r>
      <w:r w:rsidRPr="004D6C0F">
        <w:rPr>
          <w:sz w:val="28"/>
          <w:szCs w:val="28"/>
          <w:lang w:val="uk-UA"/>
        </w:rPr>
        <w:t xml:space="preserve">шення співвідношення ДК/МДА (на 14,5%, р&lt;0,01), показники </w:t>
      </w:r>
      <w:proofErr w:type="spellStart"/>
      <w:r w:rsidRPr="004D6C0F">
        <w:rPr>
          <w:sz w:val="28"/>
          <w:szCs w:val="28"/>
          <w:lang w:val="uk-UA"/>
        </w:rPr>
        <w:t>співвідно-шення</w:t>
      </w:r>
      <w:proofErr w:type="spellEnd"/>
      <w:r w:rsidRPr="004D6C0F">
        <w:rPr>
          <w:sz w:val="28"/>
          <w:szCs w:val="28"/>
          <w:lang w:val="uk-UA"/>
        </w:rPr>
        <w:t xml:space="preserve"> ДК і МДА у ПЗ і сироватці крові виявилися зниженими (на 14,2% і 22,0% відпов</w:t>
      </w:r>
      <w:r w:rsidRPr="004D6C0F">
        <w:rPr>
          <w:sz w:val="28"/>
          <w:szCs w:val="28"/>
          <w:lang w:val="uk-UA"/>
        </w:rPr>
        <w:t>і</w:t>
      </w:r>
      <w:r w:rsidRPr="004D6C0F">
        <w:rPr>
          <w:sz w:val="28"/>
          <w:szCs w:val="28"/>
          <w:lang w:val="uk-UA"/>
        </w:rPr>
        <w:t xml:space="preserve">дно </w:t>
      </w:r>
      <w:proofErr w:type="spellStart"/>
      <w:r w:rsidRPr="004D6C0F">
        <w:rPr>
          <w:sz w:val="28"/>
          <w:szCs w:val="28"/>
          <w:lang w:val="uk-UA"/>
        </w:rPr>
        <w:t>ДК</w:t>
      </w:r>
      <w:r w:rsidRPr="004D6C0F">
        <w:rPr>
          <w:sz w:val="28"/>
          <w:szCs w:val="28"/>
          <w:vertAlign w:val="subscript"/>
          <w:lang w:val="uk-UA"/>
        </w:rPr>
        <w:t>пз</w:t>
      </w:r>
      <w:proofErr w:type="spellEnd"/>
      <w:r w:rsidRPr="004D6C0F">
        <w:rPr>
          <w:sz w:val="28"/>
          <w:szCs w:val="28"/>
          <w:vertAlign w:val="subscript"/>
          <w:lang w:val="uk-UA"/>
        </w:rPr>
        <w:t>/с</w:t>
      </w:r>
      <w:r w:rsidRPr="004D6C0F">
        <w:rPr>
          <w:sz w:val="28"/>
          <w:szCs w:val="28"/>
          <w:lang w:val="uk-UA"/>
        </w:rPr>
        <w:t xml:space="preserve"> і </w:t>
      </w:r>
      <w:proofErr w:type="spellStart"/>
      <w:r w:rsidRPr="004D6C0F">
        <w:rPr>
          <w:sz w:val="28"/>
          <w:szCs w:val="28"/>
          <w:lang w:val="uk-UA"/>
        </w:rPr>
        <w:t>МДА</w:t>
      </w:r>
      <w:r w:rsidRPr="004D6C0F">
        <w:rPr>
          <w:sz w:val="28"/>
          <w:szCs w:val="28"/>
          <w:vertAlign w:val="subscript"/>
          <w:lang w:val="uk-UA"/>
        </w:rPr>
        <w:t>пз</w:t>
      </w:r>
      <w:proofErr w:type="spellEnd"/>
      <w:r w:rsidRPr="004D6C0F">
        <w:rPr>
          <w:sz w:val="28"/>
          <w:szCs w:val="28"/>
          <w:vertAlign w:val="subscript"/>
          <w:lang w:val="uk-UA"/>
        </w:rPr>
        <w:t>/с</w:t>
      </w:r>
      <w:r w:rsidRPr="004D6C0F">
        <w:rPr>
          <w:sz w:val="28"/>
          <w:szCs w:val="28"/>
          <w:lang w:val="uk-UA"/>
        </w:rPr>
        <w:t>) (див. табл.1). Зміна показників АОС в сироватці крові має</w:t>
      </w:r>
      <w:r w:rsidRPr="004D6C0F">
        <w:rPr>
          <w:sz w:val="28"/>
          <w:szCs w:val="28"/>
        </w:rPr>
        <w:t xml:space="preserve"> </w:t>
      </w:r>
      <w:r w:rsidRPr="004D6C0F">
        <w:rPr>
          <w:sz w:val="28"/>
          <w:szCs w:val="28"/>
          <w:lang w:val="uk-UA"/>
        </w:rPr>
        <w:t>протилежну тенденцію такій у ПЗ: в порівнянні з контрольними значеннями акт</w:t>
      </w:r>
      <w:r w:rsidRPr="004D6C0F">
        <w:rPr>
          <w:sz w:val="28"/>
          <w:szCs w:val="28"/>
          <w:lang w:val="uk-UA"/>
        </w:rPr>
        <w:t>и</w:t>
      </w:r>
      <w:r w:rsidRPr="004D6C0F">
        <w:rPr>
          <w:sz w:val="28"/>
          <w:szCs w:val="28"/>
          <w:lang w:val="uk-UA"/>
        </w:rPr>
        <w:t xml:space="preserve">вність СОД помірно (р&lt;0,05) підвищена, активність КАТ – зменшена (р&lt;0,01). Це обумовлює зменшення показника </w:t>
      </w:r>
      <w:proofErr w:type="spellStart"/>
      <w:r w:rsidRPr="004D6C0F">
        <w:rPr>
          <w:sz w:val="28"/>
          <w:szCs w:val="28"/>
          <w:lang w:val="uk-UA"/>
        </w:rPr>
        <w:t>СОД</w:t>
      </w:r>
      <w:r w:rsidRPr="004D6C0F">
        <w:rPr>
          <w:sz w:val="28"/>
          <w:szCs w:val="28"/>
          <w:vertAlign w:val="subscript"/>
          <w:lang w:val="uk-UA"/>
        </w:rPr>
        <w:t>пз</w:t>
      </w:r>
      <w:proofErr w:type="spellEnd"/>
      <w:r w:rsidRPr="004D6C0F">
        <w:rPr>
          <w:sz w:val="28"/>
          <w:szCs w:val="28"/>
          <w:vertAlign w:val="subscript"/>
          <w:lang w:val="uk-UA"/>
        </w:rPr>
        <w:t>/с</w:t>
      </w:r>
      <w:r w:rsidRPr="004D6C0F">
        <w:rPr>
          <w:sz w:val="28"/>
          <w:szCs w:val="28"/>
          <w:lang w:val="uk-UA"/>
        </w:rPr>
        <w:t xml:space="preserve"> і на 10,2% (р&lt;0,01) збільшення показн</w:t>
      </w:r>
      <w:r w:rsidRPr="004D6C0F">
        <w:rPr>
          <w:sz w:val="28"/>
          <w:szCs w:val="28"/>
          <w:lang w:val="uk-UA"/>
        </w:rPr>
        <w:t>и</w:t>
      </w:r>
      <w:r w:rsidRPr="004D6C0F">
        <w:rPr>
          <w:sz w:val="28"/>
          <w:szCs w:val="28"/>
          <w:lang w:val="uk-UA"/>
        </w:rPr>
        <w:t xml:space="preserve">ка </w:t>
      </w:r>
      <w:proofErr w:type="spellStart"/>
      <w:r w:rsidRPr="004D6C0F">
        <w:rPr>
          <w:sz w:val="28"/>
          <w:szCs w:val="28"/>
          <w:lang w:val="uk-UA"/>
        </w:rPr>
        <w:t>КАТ</w:t>
      </w:r>
      <w:r w:rsidRPr="004D6C0F">
        <w:rPr>
          <w:sz w:val="28"/>
          <w:szCs w:val="28"/>
          <w:vertAlign w:val="subscript"/>
          <w:lang w:val="uk-UA"/>
        </w:rPr>
        <w:t>пз</w:t>
      </w:r>
      <w:proofErr w:type="spellEnd"/>
      <w:r w:rsidRPr="004D6C0F">
        <w:rPr>
          <w:sz w:val="28"/>
          <w:szCs w:val="28"/>
          <w:vertAlign w:val="subscript"/>
          <w:lang w:val="uk-UA"/>
        </w:rPr>
        <w:t>/с</w:t>
      </w:r>
      <w:r w:rsidRPr="004D6C0F">
        <w:rPr>
          <w:sz w:val="28"/>
          <w:szCs w:val="28"/>
          <w:lang w:val="uk-UA"/>
        </w:rPr>
        <w:t xml:space="preserve"> і на 20,6% (р&lt;0,01). Співвідношення СОД і КАТ в сироватці крові 2-місячних тварин, як і у 1-місячних щурят, виявилося збільшеним (на 13,6%, р&lt;0,01) в порівнянні із нормативними зн</w:t>
      </w:r>
      <w:r w:rsidRPr="004D6C0F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  <w:lang w:val="uk-UA"/>
        </w:rPr>
        <w:t>ченнями та несуттєво відмінним від його значення в останніх. Тобто, як і у 1-місячних щурят, визначена невідповідність низької активності КАТ рівню активності СОД, яка спричиняє накопичення то</w:t>
      </w:r>
      <w:r w:rsidRPr="004D6C0F">
        <w:rPr>
          <w:sz w:val="28"/>
          <w:szCs w:val="28"/>
          <w:lang w:val="uk-UA"/>
        </w:rPr>
        <w:t>к</w:t>
      </w:r>
      <w:r w:rsidRPr="004D6C0F">
        <w:rPr>
          <w:sz w:val="28"/>
          <w:szCs w:val="28"/>
          <w:lang w:val="uk-UA"/>
        </w:rPr>
        <w:t xml:space="preserve">сичного для клітин </w:t>
      </w:r>
      <w:r w:rsidRPr="004D6C0F">
        <w:rPr>
          <w:sz w:val="28"/>
          <w:szCs w:val="28"/>
        </w:rPr>
        <w:t>Н</w:t>
      </w:r>
      <w:r w:rsidRPr="004D6C0F">
        <w:rPr>
          <w:sz w:val="28"/>
          <w:szCs w:val="28"/>
          <w:vertAlign w:val="subscript"/>
        </w:rPr>
        <w:t>2</w:t>
      </w:r>
      <w:r w:rsidRPr="004D6C0F">
        <w:rPr>
          <w:sz w:val="28"/>
          <w:szCs w:val="28"/>
        </w:rPr>
        <w:t>О</w:t>
      </w:r>
      <w:r w:rsidRPr="004D6C0F">
        <w:rPr>
          <w:sz w:val="28"/>
          <w:szCs w:val="28"/>
          <w:vertAlign w:val="subscript"/>
        </w:rPr>
        <w:t>2</w:t>
      </w:r>
      <w:r w:rsidRPr="004D6C0F">
        <w:rPr>
          <w:sz w:val="28"/>
          <w:szCs w:val="28"/>
          <w:lang w:val="uk-UA"/>
        </w:rPr>
        <w:t xml:space="preserve">. </w:t>
      </w:r>
    </w:p>
    <w:p w:rsidR="006B5A11" w:rsidRPr="004D6C0F" w:rsidRDefault="006B5A11" w:rsidP="006B5A11">
      <w:pPr>
        <w:rPr>
          <w:b/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ab/>
      </w:r>
      <w:r w:rsidRPr="004D6C0F">
        <w:rPr>
          <w:b/>
          <w:sz w:val="28"/>
          <w:szCs w:val="28"/>
          <w:lang w:val="uk-UA"/>
        </w:rPr>
        <w:t>Висновки</w:t>
      </w:r>
    </w:p>
    <w:p w:rsidR="006B5A11" w:rsidRPr="004D6C0F" w:rsidRDefault="006B5A11" w:rsidP="006B5A11">
      <w:pPr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ab/>
        <w:t>1. При дефіциті поживних речовин в раціоні годування вагітних щурів найбільший ст</w:t>
      </w:r>
      <w:r w:rsidRPr="004D6C0F">
        <w:rPr>
          <w:sz w:val="28"/>
          <w:szCs w:val="28"/>
          <w:lang w:val="uk-UA"/>
        </w:rPr>
        <w:t>у</w:t>
      </w:r>
      <w:r w:rsidRPr="004D6C0F">
        <w:rPr>
          <w:sz w:val="28"/>
          <w:szCs w:val="28"/>
          <w:lang w:val="uk-UA"/>
        </w:rPr>
        <w:t>пінь розладів ОАГ в ПЗ виникає у їх новонародженого потомства, які полягають у виразній активації ПОЛ при зниженні активності АОС, що обумо</w:t>
      </w:r>
      <w:r w:rsidRPr="004D6C0F">
        <w:rPr>
          <w:sz w:val="28"/>
          <w:szCs w:val="28"/>
          <w:lang w:val="uk-UA"/>
        </w:rPr>
        <w:t>в</w:t>
      </w:r>
      <w:r w:rsidRPr="004D6C0F">
        <w:rPr>
          <w:sz w:val="28"/>
          <w:szCs w:val="28"/>
          <w:lang w:val="uk-UA"/>
        </w:rPr>
        <w:t xml:space="preserve">лює розвиток </w:t>
      </w:r>
      <w:proofErr w:type="spellStart"/>
      <w:r w:rsidRPr="004D6C0F">
        <w:rPr>
          <w:sz w:val="28"/>
          <w:szCs w:val="28"/>
          <w:lang w:val="uk-UA"/>
        </w:rPr>
        <w:t>оксидативного</w:t>
      </w:r>
      <w:proofErr w:type="spellEnd"/>
      <w:r w:rsidRPr="004D6C0F">
        <w:rPr>
          <w:sz w:val="28"/>
          <w:szCs w:val="28"/>
          <w:lang w:val="uk-UA"/>
        </w:rPr>
        <w:t xml:space="preserve"> стресу.</w:t>
      </w:r>
    </w:p>
    <w:p w:rsidR="006B5A11" w:rsidRPr="004D6C0F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 xml:space="preserve">2. У 1-місячних щурят ступінь порушення ОАГ в ПЗ дещо менший, ніж у новонароджених, за рахунок більш низької активності ПОЛ і збільшення </w:t>
      </w:r>
      <w:r w:rsidRPr="004D6C0F">
        <w:rPr>
          <w:sz w:val="28"/>
          <w:szCs w:val="28"/>
          <w:lang w:val="uk-UA"/>
        </w:rPr>
        <w:lastRenderedPageBreak/>
        <w:t>активн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>сті АОС, але фізіологічний резерв останньої є недостатнім для призупинення пр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 xml:space="preserve">цесів ПОЛ, що </w:t>
      </w:r>
      <w:proofErr w:type="spellStart"/>
      <w:r w:rsidRPr="004D6C0F">
        <w:rPr>
          <w:sz w:val="28"/>
          <w:szCs w:val="28"/>
          <w:lang w:val="uk-UA"/>
        </w:rPr>
        <w:t>розвинулися</w:t>
      </w:r>
      <w:proofErr w:type="spellEnd"/>
      <w:r w:rsidRPr="004D6C0F">
        <w:rPr>
          <w:sz w:val="28"/>
          <w:szCs w:val="28"/>
          <w:lang w:val="uk-UA"/>
        </w:rPr>
        <w:t xml:space="preserve"> у пренатальному періоді, а значить і для попередження структурних змін в </w:t>
      </w:r>
      <w:proofErr w:type="spellStart"/>
      <w:r w:rsidRPr="004D6C0F">
        <w:rPr>
          <w:sz w:val="28"/>
          <w:szCs w:val="28"/>
          <w:lang w:val="uk-UA"/>
        </w:rPr>
        <w:t>панкре</w:t>
      </w:r>
      <w:r w:rsidRPr="004D6C0F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  <w:lang w:val="uk-UA"/>
        </w:rPr>
        <w:t>цитах</w:t>
      </w:r>
      <w:proofErr w:type="spellEnd"/>
      <w:r w:rsidRPr="004D6C0F">
        <w:rPr>
          <w:sz w:val="28"/>
          <w:szCs w:val="28"/>
          <w:lang w:val="uk-UA"/>
        </w:rPr>
        <w:t>.</w:t>
      </w:r>
    </w:p>
    <w:p w:rsidR="006B5A11" w:rsidRPr="004D6C0F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 xml:space="preserve">3. У 2-місячніх щурят показники ПОЛ у порівнянні із новонародженими і 1-місячними щурятами найменше відрізняються від таких у тварин групи контролю. При цьому має місце помірна активація АОС за рахунок підвищення активності КАТ, достатньої для попередження накопичення токсичного </w:t>
      </w:r>
      <w:r w:rsidRPr="004D6C0F">
        <w:rPr>
          <w:sz w:val="28"/>
          <w:szCs w:val="28"/>
        </w:rPr>
        <w:t>Н</w:t>
      </w:r>
      <w:r w:rsidRPr="004D6C0F">
        <w:rPr>
          <w:sz w:val="28"/>
          <w:szCs w:val="28"/>
          <w:vertAlign w:val="subscript"/>
        </w:rPr>
        <w:t>2</w:t>
      </w:r>
      <w:r w:rsidRPr="004D6C0F">
        <w:rPr>
          <w:sz w:val="28"/>
          <w:szCs w:val="28"/>
        </w:rPr>
        <w:t>О</w:t>
      </w:r>
      <w:r w:rsidRPr="004D6C0F">
        <w:rPr>
          <w:sz w:val="28"/>
          <w:szCs w:val="28"/>
          <w:vertAlign w:val="subscript"/>
        </w:rPr>
        <w:t>2</w:t>
      </w:r>
      <w:r w:rsidRPr="004D6C0F">
        <w:rPr>
          <w:sz w:val="28"/>
          <w:szCs w:val="28"/>
          <w:lang w:val="uk-UA"/>
        </w:rPr>
        <w:t xml:space="preserve"> у тканині ПЗ.</w:t>
      </w:r>
    </w:p>
    <w:p w:rsidR="006B5A11" w:rsidRPr="004D6C0F" w:rsidRDefault="006B5A11" w:rsidP="006B5A11">
      <w:pPr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ab/>
        <w:t>4. В сироватці крові ступінь порушення ОАГ як у 1-місячних, так і у 2-місячних щурят більший, ніж в ПЗ, за рахунок більшої активації ПОЛ і зменше</w:t>
      </w:r>
      <w:r w:rsidRPr="004D6C0F">
        <w:rPr>
          <w:sz w:val="28"/>
          <w:szCs w:val="28"/>
          <w:lang w:val="uk-UA"/>
        </w:rPr>
        <w:t>н</w:t>
      </w:r>
      <w:r w:rsidRPr="004D6C0F">
        <w:rPr>
          <w:sz w:val="28"/>
          <w:szCs w:val="28"/>
          <w:lang w:val="uk-UA"/>
        </w:rPr>
        <w:t xml:space="preserve">ня активності АОС, що обумовлює розвиток системного </w:t>
      </w:r>
      <w:proofErr w:type="spellStart"/>
      <w:r w:rsidRPr="004D6C0F">
        <w:rPr>
          <w:sz w:val="28"/>
          <w:szCs w:val="28"/>
          <w:lang w:val="uk-UA"/>
        </w:rPr>
        <w:t>оксидативного</w:t>
      </w:r>
      <w:proofErr w:type="spellEnd"/>
      <w:r w:rsidRPr="004D6C0F">
        <w:rPr>
          <w:sz w:val="28"/>
          <w:szCs w:val="28"/>
          <w:lang w:val="uk-UA"/>
        </w:rPr>
        <w:t xml:space="preserve"> стресу. Такі дані свідчать про те, що аліментарний дефіцит енергетичних субстратів пр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>тягом вагітності щурів-матерів спричиняє у потомства ур</w:t>
      </w:r>
      <w:r w:rsidRPr="004D6C0F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  <w:lang w:val="uk-UA"/>
        </w:rPr>
        <w:t>ження не тільки ПЗ, а й інших органів.</w:t>
      </w:r>
    </w:p>
    <w:p w:rsidR="006B5A11" w:rsidRPr="004D6C0F" w:rsidRDefault="006B5A11" w:rsidP="006B5A11">
      <w:pPr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ab/>
        <w:t xml:space="preserve">5. </w:t>
      </w:r>
      <w:proofErr w:type="spellStart"/>
      <w:r w:rsidRPr="004D6C0F">
        <w:rPr>
          <w:sz w:val="28"/>
          <w:szCs w:val="28"/>
          <w:lang w:val="uk-UA"/>
        </w:rPr>
        <w:t>Гіпокалорійна</w:t>
      </w:r>
      <w:proofErr w:type="spellEnd"/>
      <w:r w:rsidRPr="004D6C0F">
        <w:rPr>
          <w:sz w:val="28"/>
          <w:szCs w:val="28"/>
          <w:lang w:val="uk-UA"/>
        </w:rPr>
        <w:t xml:space="preserve"> дієта вагітних щурів з дефіцитом поживних речовин нег</w:t>
      </w:r>
      <w:r w:rsidRPr="004D6C0F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  <w:lang w:val="uk-UA"/>
        </w:rPr>
        <w:t>тивно впливає на ОАГ у ПЗ і сироватці крові їх потомства, який обумовлює ушкодження клітинних мембран і внутрішньоклітинних структур, може бути о</w:t>
      </w:r>
      <w:r w:rsidRPr="004D6C0F">
        <w:rPr>
          <w:sz w:val="28"/>
          <w:szCs w:val="28"/>
          <w:lang w:val="uk-UA"/>
        </w:rPr>
        <w:t>д</w:t>
      </w:r>
      <w:r w:rsidRPr="004D6C0F">
        <w:rPr>
          <w:sz w:val="28"/>
          <w:szCs w:val="28"/>
          <w:lang w:val="uk-UA"/>
        </w:rPr>
        <w:t>нією із важливих ланок патогенезу пренатального ушкодження ПЗ, потенційно небезпечного щодо розвитку в постнатальному періоді не тільки її функціональних розладів, а й органічної пат</w:t>
      </w:r>
      <w:r w:rsidRPr="004D6C0F">
        <w:rPr>
          <w:sz w:val="28"/>
          <w:szCs w:val="28"/>
          <w:lang w:val="uk-UA"/>
        </w:rPr>
        <w:t>о</w:t>
      </w:r>
      <w:r w:rsidRPr="004D6C0F">
        <w:rPr>
          <w:sz w:val="28"/>
          <w:szCs w:val="28"/>
          <w:lang w:val="uk-UA"/>
        </w:rPr>
        <w:t>логії.</w:t>
      </w:r>
    </w:p>
    <w:p w:rsidR="006B5A11" w:rsidRPr="004D6C0F" w:rsidRDefault="006B5A11" w:rsidP="006B5A11">
      <w:pPr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ab/>
      </w:r>
      <w:r w:rsidRPr="004D6C0F">
        <w:rPr>
          <w:b/>
          <w:sz w:val="28"/>
          <w:szCs w:val="28"/>
          <w:lang w:val="uk-UA"/>
        </w:rPr>
        <w:t xml:space="preserve">Перспективи подальших досліджень </w:t>
      </w:r>
      <w:r w:rsidRPr="004D6C0F">
        <w:rPr>
          <w:sz w:val="28"/>
          <w:szCs w:val="28"/>
          <w:lang w:val="uk-UA"/>
        </w:rPr>
        <w:t>обумовлені недостатньою вивчені</w:t>
      </w:r>
      <w:r w:rsidRPr="004D6C0F">
        <w:rPr>
          <w:sz w:val="28"/>
          <w:szCs w:val="28"/>
          <w:lang w:val="uk-UA"/>
        </w:rPr>
        <w:t>с</w:t>
      </w:r>
      <w:r w:rsidRPr="004D6C0F">
        <w:rPr>
          <w:sz w:val="28"/>
          <w:szCs w:val="28"/>
          <w:lang w:val="uk-UA"/>
        </w:rPr>
        <w:t>тю патогенезу змін ПЗ у потомства щурів, які протягом вагітності мали дефіцит поживних речовин аліментарного походження, їх значущо</w:t>
      </w:r>
      <w:r w:rsidRPr="004D6C0F">
        <w:rPr>
          <w:sz w:val="28"/>
          <w:szCs w:val="28"/>
          <w:lang w:val="uk-UA"/>
        </w:rPr>
        <w:t>с</w:t>
      </w:r>
      <w:r w:rsidRPr="004D6C0F">
        <w:rPr>
          <w:sz w:val="28"/>
          <w:szCs w:val="28"/>
          <w:lang w:val="uk-UA"/>
        </w:rPr>
        <w:t>ті для реальної загрози розвитку хронічної патології ПЗ у зрілому віці. Експериментальне з’ясування цих питань має важливе значення для поглиблення знань щодо патогенезу ушкодже</w:t>
      </w:r>
      <w:r w:rsidRPr="004D6C0F">
        <w:rPr>
          <w:sz w:val="28"/>
          <w:szCs w:val="28"/>
          <w:lang w:val="uk-UA"/>
        </w:rPr>
        <w:t>н</w:t>
      </w:r>
      <w:r w:rsidRPr="004D6C0F">
        <w:rPr>
          <w:sz w:val="28"/>
          <w:szCs w:val="28"/>
          <w:lang w:val="uk-UA"/>
        </w:rPr>
        <w:t xml:space="preserve">ня ПЗ при незбалансованому </w:t>
      </w:r>
      <w:proofErr w:type="spellStart"/>
      <w:r w:rsidRPr="004D6C0F">
        <w:rPr>
          <w:sz w:val="28"/>
          <w:szCs w:val="28"/>
          <w:lang w:val="uk-UA"/>
        </w:rPr>
        <w:t>гіпокалорійному</w:t>
      </w:r>
      <w:proofErr w:type="spellEnd"/>
      <w:r w:rsidRPr="004D6C0F">
        <w:rPr>
          <w:sz w:val="28"/>
          <w:szCs w:val="28"/>
          <w:lang w:val="uk-UA"/>
        </w:rPr>
        <w:t xml:space="preserve"> харчуванні у дітей та дорослих л</w:t>
      </w:r>
      <w:r w:rsidRPr="004D6C0F">
        <w:rPr>
          <w:sz w:val="28"/>
          <w:szCs w:val="28"/>
          <w:lang w:val="uk-UA"/>
        </w:rPr>
        <w:t>ю</w:t>
      </w:r>
      <w:r w:rsidRPr="004D6C0F">
        <w:rPr>
          <w:sz w:val="28"/>
          <w:szCs w:val="28"/>
          <w:lang w:val="uk-UA"/>
        </w:rPr>
        <w:t>дей, а значить і вдосконалення методів профілактики і л</w:t>
      </w:r>
      <w:r w:rsidRPr="004D6C0F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  <w:lang w:val="uk-UA"/>
        </w:rPr>
        <w:t>кування захворювань ПЗ.</w:t>
      </w:r>
    </w:p>
    <w:p w:rsidR="006B5A11" w:rsidRPr="004D6C0F" w:rsidRDefault="006B5A11" w:rsidP="006B5A11">
      <w:pPr>
        <w:jc w:val="center"/>
        <w:rPr>
          <w:b/>
          <w:sz w:val="28"/>
          <w:szCs w:val="28"/>
          <w:lang w:val="uk-UA"/>
        </w:rPr>
      </w:pPr>
      <w:r w:rsidRPr="004D6C0F">
        <w:rPr>
          <w:b/>
          <w:sz w:val="28"/>
          <w:szCs w:val="28"/>
          <w:lang w:val="uk-UA"/>
        </w:rPr>
        <w:t>Література</w:t>
      </w:r>
    </w:p>
    <w:p w:rsidR="006B5A11" w:rsidRPr="008D7F5A" w:rsidRDefault="006B5A11" w:rsidP="006B5A11">
      <w:pPr>
        <w:ind w:firstLine="708"/>
        <w:jc w:val="both"/>
        <w:rPr>
          <w:rFonts w:cs="Arial"/>
          <w:sz w:val="28"/>
          <w:szCs w:val="28"/>
          <w:lang w:val="en-US"/>
        </w:rPr>
      </w:pPr>
      <w:r w:rsidRPr="004D6C0F">
        <w:rPr>
          <w:sz w:val="28"/>
          <w:szCs w:val="28"/>
          <w:lang w:val="uk-UA"/>
        </w:rPr>
        <w:t xml:space="preserve">1. </w:t>
      </w:r>
      <w:proofErr w:type="spellStart"/>
      <w:r w:rsidRPr="004D6C0F">
        <w:rPr>
          <w:sz w:val="28"/>
          <w:szCs w:val="28"/>
          <w:lang w:val="uk-UA"/>
        </w:rPr>
        <w:t>Stepanov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Yu.M</w:t>
      </w:r>
      <w:proofErr w:type="spellEnd"/>
      <w:r w:rsidRPr="004D6C0F">
        <w:rPr>
          <w:sz w:val="28"/>
          <w:szCs w:val="28"/>
          <w:lang w:val="uk-UA"/>
        </w:rPr>
        <w:t xml:space="preserve">., </w:t>
      </w:r>
      <w:proofErr w:type="spellStart"/>
      <w:r w:rsidRPr="004D6C0F">
        <w:rPr>
          <w:sz w:val="28"/>
          <w:szCs w:val="28"/>
          <w:lang w:val="uk-UA"/>
        </w:rPr>
        <w:t>Gravirovskaya</w:t>
      </w:r>
      <w:proofErr w:type="spellEnd"/>
      <w:r w:rsidRPr="004D6C0F">
        <w:rPr>
          <w:sz w:val="28"/>
          <w:szCs w:val="28"/>
          <w:lang w:val="uk-UA"/>
        </w:rPr>
        <w:t xml:space="preserve"> N.G., </w:t>
      </w:r>
      <w:proofErr w:type="spellStart"/>
      <w:r w:rsidRPr="004D6C0F">
        <w:rPr>
          <w:sz w:val="28"/>
          <w:szCs w:val="28"/>
          <w:lang w:val="uk-UA"/>
        </w:rPr>
        <w:t>Skirda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I.Yu</w:t>
      </w:r>
      <w:proofErr w:type="spellEnd"/>
      <w:r w:rsidRPr="004D6C0F">
        <w:rPr>
          <w:sz w:val="28"/>
          <w:szCs w:val="28"/>
          <w:lang w:val="uk-UA"/>
        </w:rPr>
        <w:t xml:space="preserve">., </w:t>
      </w:r>
      <w:proofErr w:type="spellStart"/>
      <w:r w:rsidRPr="004D6C0F">
        <w:rPr>
          <w:sz w:val="28"/>
          <w:szCs w:val="28"/>
          <w:shd w:val="clear" w:color="auto" w:fill="FFFFFF"/>
        </w:rPr>
        <w:t>Petishko</w:t>
      </w:r>
      <w:proofErr w:type="spellEnd"/>
      <w:r w:rsidRPr="008D7F5A">
        <w:rPr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sz w:val="28"/>
          <w:szCs w:val="28"/>
          <w:shd w:val="clear" w:color="auto" w:fill="FFFFFF"/>
        </w:rPr>
        <w:t>O</w:t>
      </w:r>
      <w:r w:rsidRPr="008D7F5A">
        <w:rPr>
          <w:sz w:val="28"/>
          <w:szCs w:val="28"/>
          <w:shd w:val="clear" w:color="auto" w:fill="FFFFFF"/>
          <w:lang w:val="uk-UA"/>
        </w:rPr>
        <w:t>.</w:t>
      </w:r>
      <w:r w:rsidRPr="004D6C0F">
        <w:rPr>
          <w:sz w:val="28"/>
          <w:szCs w:val="28"/>
          <w:shd w:val="clear" w:color="auto" w:fill="FFFFFF"/>
        </w:rPr>
        <w:t>P</w:t>
      </w:r>
      <w:r w:rsidRPr="008D7F5A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sz w:val="28"/>
          <w:szCs w:val="28"/>
          <w:lang w:val="uk-UA"/>
        </w:rPr>
        <w:t>Bo-</w:t>
      </w:r>
      <w:proofErr w:type="spellStart"/>
      <w:r w:rsidRPr="004D6C0F">
        <w:rPr>
          <w:sz w:val="28"/>
          <w:szCs w:val="28"/>
          <w:lang w:val="uk-UA"/>
        </w:rPr>
        <w:t>lezni</w:t>
      </w:r>
      <w:proofErr w:type="spellEnd"/>
      <w:r w:rsidRPr="004D6C0F">
        <w:rPr>
          <w:sz w:val="28"/>
          <w:szCs w:val="28"/>
          <w:lang w:val="uk-UA"/>
        </w:rPr>
        <w:t xml:space="preserve"> podzhe-ludochnoy </w:t>
      </w:r>
      <w:proofErr w:type="spellStart"/>
      <w:r w:rsidRPr="004D6C0F">
        <w:rPr>
          <w:sz w:val="28"/>
          <w:szCs w:val="28"/>
          <w:lang w:val="uk-UA"/>
        </w:rPr>
        <w:t>zhelezy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kak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odna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iz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veduschih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problem</w:t>
      </w:r>
      <w:proofErr w:type="spellEnd"/>
      <w:r w:rsidRPr="004D6C0F">
        <w:rPr>
          <w:sz w:val="28"/>
          <w:szCs w:val="28"/>
          <w:lang w:val="uk-UA"/>
        </w:rPr>
        <w:t xml:space="preserve"> gastroentero-logii i abdomi-nalnoy </w:t>
      </w:r>
      <w:proofErr w:type="spellStart"/>
      <w:r w:rsidRPr="004D6C0F">
        <w:rPr>
          <w:sz w:val="28"/>
          <w:szCs w:val="28"/>
          <w:lang w:val="uk-UA"/>
        </w:rPr>
        <w:t>hirurgii</w:t>
      </w:r>
      <w:proofErr w:type="spellEnd"/>
      <w:r w:rsidRPr="004D6C0F">
        <w:rPr>
          <w:sz w:val="28"/>
          <w:szCs w:val="28"/>
          <w:lang w:val="uk-UA"/>
        </w:rPr>
        <w:t xml:space="preserve"> (</w:t>
      </w:r>
      <w:proofErr w:type="spellStart"/>
      <w:r w:rsidRPr="004D6C0F">
        <w:rPr>
          <w:sz w:val="28"/>
          <w:szCs w:val="28"/>
          <w:lang w:val="uk-UA"/>
        </w:rPr>
        <w:t>sovremennaya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epidemiologiya</w:t>
      </w:r>
      <w:proofErr w:type="spellEnd"/>
      <w:r w:rsidRPr="004D6C0F">
        <w:rPr>
          <w:sz w:val="28"/>
          <w:szCs w:val="28"/>
          <w:lang w:val="uk-UA"/>
        </w:rPr>
        <w:t>). Gastroenterolo-giya. 2014;3:7-14. [</w:t>
      </w:r>
      <w:proofErr w:type="spellStart"/>
      <w:r w:rsidRPr="004D6C0F">
        <w:rPr>
          <w:sz w:val="28"/>
          <w:szCs w:val="28"/>
          <w:lang w:val="uk-UA"/>
        </w:rPr>
        <w:t>in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Ukrainian</w:t>
      </w:r>
      <w:proofErr w:type="spellEnd"/>
      <w:r w:rsidRPr="004D6C0F">
        <w:rPr>
          <w:sz w:val="28"/>
          <w:szCs w:val="28"/>
          <w:lang w:val="uk-UA"/>
        </w:rPr>
        <w:t>].</w:t>
      </w:r>
    </w:p>
    <w:p w:rsidR="006B5A11" w:rsidRPr="004D6C0F" w:rsidRDefault="006B5A11" w:rsidP="006B5A11">
      <w:pPr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 w:rsidRPr="004D6C0F">
        <w:rPr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4D6C0F">
        <w:rPr>
          <w:sz w:val="28"/>
          <w:szCs w:val="28"/>
          <w:shd w:val="clear" w:color="auto" w:fill="FFFFFF"/>
          <w:lang w:val="en-US"/>
        </w:rPr>
        <w:t>Bhutani</w:t>
      </w:r>
      <w:proofErr w:type="spellEnd"/>
      <w:r w:rsidRPr="004D6C0F">
        <w:rPr>
          <w:sz w:val="28"/>
          <w:szCs w:val="28"/>
          <w:shd w:val="clear" w:color="auto" w:fill="FFFFFF"/>
          <w:lang w:val="en-US"/>
        </w:rPr>
        <w:t xml:space="preserve"> M. S., </w:t>
      </w:r>
      <w:proofErr w:type="spellStart"/>
      <w:r w:rsidRPr="004D6C0F">
        <w:rPr>
          <w:sz w:val="28"/>
          <w:szCs w:val="28"/>
          <w:shd w:val="clear" w:color="auto" w:fill="FFFFFF"/>
          <w:lang w:val="en-US"/>
        </w:rPr>
        <w:t>Vilmann</w:t>
      </w:r>
      <w:proofErr w:type="spellEnd"/>
      <w:r w:rsidRPr="004D6C0F">
        <w:rPr>
          <w:sz w:val="28"/>
          <w:szCs w:val="28"/>
          <w:shd w:val="clear" w:color="auto" w:fill="FFFFFF"/>
          <w:lang w:val="en-US"/>
        </w:rPr>
        <w:t xml:space="preserve"> P., </w:t>
      </w:r>
      <w:proofErr w:type="spellStart"/>
      <w:r w:rsidRPr="004D6C0F">
        <w:rPr>
          <w:sz w:val="28"/>
          <w:szCs w:val="28"/>
          <w:shd w:val="clear" w:color="auto" w:fill="FFFFFF"/>
          <w:lang w:val="en-US"/>
        </w:rPr>
        <w:t>Saftoiu</w:t>
      </w:r>
      <w:proofErr w:type="spellEnd"/>
      <w:r w:rsidRPr="004D6C0F">
        <w:rPr>
          <w:sz w:val="28"/>
          <w:szCs w:val="28"/>
          <w:shd w:val="clear" w:color="auto" w:fill="FFFFFF"/>
          <w:lang w:val="en-US"/>
        </w:rPr>
        <w:t xml:space="preserve"> A. Pancreas and biliary tract </w:t>
      </w:r>
      <w:proofErr w:type="spellStart"/>
      <w:r w:rsidRPr="004D6C0F">
        <w:rPr>
          <w:sz w:val="28"/>
          <w:szCs w:val="28"/>
          <w:shd w:val="clear" w:color="auto" w:fill="FFFFFF"/>
          <w:lang w:val="en-US"/>
        </w:rPr>
        <w:t>disea</w:t>
      </w:r>
      <w:proofErr w:type="spellEnd"/>
      <w:r w:rsidRPr="004D6C0F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4D6C0F">
        <w:rPr>
          <w:sz w:val="28"/>
          <w:szCs w:val="28"/>
          <w:shd w:val="clear" w:color="auto" w:fill="FFFFFF"/>
          <w:lang w:val="en-US"/>
        </w:rPr>
        <w:t>ses</w:t>
      </w:r>
      <w:proofErr w:type="spellEnd"/>
      <w:r w:rsidRPr="004D6C0F">
        <w:rPr>
          <w:sz w:val="28"/>
          <w:szCs w:val="28"/>
          <w:shd w:val="clear" w:color="auto" w:fill="FFFFFF"/>
          <w:lang w:val="en-US"/>
        </w:rPr>
        <w:t xml:space="preserve">. </w:t>
      </w:r>
      <w:smartTag w:uri="urn:schemas-microsoft-com:office:smarttags" w:element="City">
        <w:r w:rsidRPr="004D6C0F">
          <w:rPr>
            <w:sz w:val="28"/>
            <w:szCs w:val="28"/>
            <w:shd w:val="clear" w:color="auto" w:fill="FFFFFF"/>
            <w:lang w:val="en-US"/>
          </w:rPr>
          <w:t>O</w:t>
        </w:r>
        <w:r w:rsidRPr="004D6C0F">
          <w:rPr>
            <w:sz w:val="28"/>
            <w:szCs w:val="28"/>
            <w:shd w:val="clear" w:color="auto" w:fill="FFFFFF"/>
            <w:lang w:val="en-US"/>
          </w:rPr>
          <w:t>x</w:t>
        </w:r>
        <w:r w:rsidRPr="004D6C0F">
          <w:rPr>
            <w:sz w:val="28"/>
            <w:szCs w:val="28"/>
            <w:shd w:val="clear" w:color="auto" w:fill="FFFFFF"/>
            <w:lang w:val="en-US"/>
          </w:rPr>
          <w:t>ford</w:t>
        </w:r>
      </w:smartTag>
      <w:r w:rsidRPr="004D6C0F">
        <w:rPr>
          <w:sz w:val="28"/>
          <w:szCs w:val="28"/>
          <w:shd w:val="clear" w:color="auto" w:fill="FFFFFF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D6C0F">
            <w:rPr>
              <w:sz w:val="28"/>
              <w:szCs w:val="28"/>
              <w:shd w:val="clear" w:color="auto" w:fill="FFFFFF"/>
              <w:lang w:val="en-US"/>
            </w:rPr>
            <w:t>UK</w:t>
          </w:r>
        </w:smartTag>
      </w:smartTag>
      <w:r w:rsidRPr="004D6C0F">
        <w:rPr>
          <w:sz w:val="28"/>
          <w:szCs w:val="28"/>
          <w:shd w:val="clear" w:color="auto" w:fill="FFFFFF"/>
          <w:lang w:val="en-US"/>
        </w:rPr>
        <w:t>): Health Press</w:t>
      </w:r>
      <w:r w:rsidRPr="008D7F5A">
        <w:rPr>
          <w:sz w:val="28"/>
          <w:szCs w:val="28"/>
          <w:shd w:val="clear" w:color="auto" w:fill="FFFFFF"/>
          <w:lang w:val="en-US"/>
        </w:rPr>
        <w:t xml:space="preserve">; </w:t>
      </w:r>
      <w:r w:rsidRPr="004D6C0F">
        <w:rPr>
          <w:sz w:val="28"/>
          <w:szCs w:val="28"/>
          <w:shd w:val="clear" w:color="auto" w:fill="FFFFFF"/>
          <w:lang w:val="en-US"/>
        </w:rPr>
        <w:t xml:space="preserve">2017. </w:t>
      </w:r>
      <w:proofErr w:type="gramStart"/>
      <w:r w:rsidRPr="004D6C0F">
        <w:rPr>
          <w:sz w:val="28"/>
          <w:szCs w:val="28"/>
          <w:shd w:val="clear" w:color="auto" w:fill="FFFFFF"/>
          <w:lang w:val="en-US"/>
        </w:rPr>
        <w:t>149 p.</w:t>
      </w:r>
      <w:proofErr w:type="gramEnd"/>
    </w:p>
    <w:p w:rsidR="006B5A11" w:rsidRPr="004D6C0F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4D6C0F">
        <w:rPr>
          <w:rFonts w:cs="Arial"/>
          <w:sz w:val="28"/>
          <w:szCs w:val="28"/>
          <w:lang w:val="uk-UA"/>
        </w:rPr>
        <w:t xml:space="preserve">3. </w:t>
      </w:r>
      <w:proofErr w:type="spellStart"/>
      <w:r w:rsidRPr="004D6C0F">
        <w:rPr>
          <w:sz w:val="28"/>
          <w:szCs w:val="28"/>
          <w:lang w:val="uk-UA"/>
        </w:rPr>
        <w:t>Sorokman</w:t>
      </w:r>
      <w:proofErr w:type="spellEnd"/>
      <w:r w:rsidRPr="004D6C0F">
        <w:rPr>
          <w:sz w:val="28"/>
          <w:szCs w:val="28"/>
          <w:lang w:val="uk-UA"/>
        </w:rPr>
        <w:t xml:space="preserve"> T.V., </w:t>
      </w:r>
      <w:proofErr w:type="spellStart"/>
      <w:r w:rsidRPr="004D6C0F">
        <w:rPr>
          <w:sz w:val="28"/>
          <w:szCs w:val="28"/>
          <w:lang w:val="uk-UA"/>
        </w:rPr>
        <w:t>Popelyuk</w:t>
      </w:r>
      <w:proofErr w:type="spellEnd"/>
      <w:r w:rsidRPr="004D6C0F">
        <w:rPr>
          <w:sz w:val="28"/>
          <w:szCs w:val="28"/>
          <w:lang w:val="uk-UA"/>
        </w:rPr>
        <w:t xml:space="preserve"> O.M. </w:t>
      </w:r>
      <w:proofErr w:type="spellStart"/>
      <w:r w:rsidRPr="004D6C0F">
        <w:rPr>
          <w:sz w:val="28"/>
          <w:szCs w:val="28"/>
          <w:lang w:val="uk-UA"/>
        </w:rPr>
        <w:t>Osoblivostі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perebіgu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patologії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pіd-shlunkovoї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zalozi</w:t>
      </w:r>
      <w:proofErr w:type="spellEnd"/>
      <w:r w:rsidRPr="004D6C0F">
        <w:rPr>
          <w:sz w:val="28"/>
          <w:szCs w:val="28"/>
          <w:lang w:val="uk-UA"/>
        </w:rPr>
        <w:t xml:space="preserve"> v </w:t>
      </w:r>
      <w:proofErr w:type="spellStart"/>
      <w:r w:rsidRPr="004D6C0F">
        <w:rPr>
          <w:sz w:val="28"/>
          <w:szCs w:val="28"/>
          <w:lang w:val="uk-UA"/>
        </w:rPr>
        <w:t>dіtey</w:t>
      </w:r>
      <w:proofErr w:type="spellEnd"/>
      <w:r w:rsidRPr="004D6C0F">
        <w:rPr>
          <w:sz w:val="28"/>
          <w:szCs w:val="28"/>
          <w:lang w:val="uk-UA"/>
        </w:rPr>
        <w:t xml:space="preserve">. </w:t>
      </w:r>
      <w:proofErr w:type="spellStart"/>
      <w:r w:rsidRPr="004D6C0F">
        <w:rPr>
          <w:sz w:val="28"/>
          <w:szCs w:val="28"/>
          <w:lang w:val="uk-UA"/>
        </w:rPr>
        <w:t>Gastroenterologіya</w:t>
      </w:r>
      <w:proofErr w:type="spellEnd"/>
      <w:r w:rsidRPr="004D6C0F">
        <w:rPr>
          <w:sz w:val="28"/>
          <w:szCs w:val="28"/>
          <w:lang w:val="uk-UA"/>
        </w:rPr>
        <w:t>. 2016;4(62):43. [</w:t>
      </w:r>
      <w:proofErr w:type="spellStart"/>
      <w:r w:rsidRPr="004D6C0F">
        <w:rPr>
          <w:sz w:val="28"/>
          <w:szCs w:val="28"/>
          <w:lang w:val="uk-UA"/>
        </w:rPr>
        <w:t>in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Ukrainian</w:t>
      </w:r>
      <w:proofErr w:type="spellEnd"/>
      <w:r w:rsidRPr="004D6C0F">
        <w:rPr>
          <w:sz w:val="28"/>
          <w:szCs w:val="28"/>
          <w:lang w:val="uk-UA"/>
        </w:rPr>
        <w:t>].</w:t>
      </w:r>
    </w:p>
    <w:p w:rsidR="006B5A11" w:rsidRPr="004D6C0F" w:rsidRDefault="006B5A11" w:rsidP="006B5A11">
      <w:pPr>
        <w:ind w:firstLine="708"/>
        <w:jc w:val="both"/>
        <w:rPr>
          <w:sz w:val="28"/>
          <w:szCs w:val="28"/>
          <w:lang w:val="en-US"/>
        </w:rPr>
      </w:pPr>
      <w:r w:rsidRPr="004D6C0F">
        <w:rPr>
          <w:sz w:val="28"/>
          <w:szCs w:val="28"/>
          <w:lang w:val="uk-UA"/>
        </w:rPr>
        <w:t xml:space="preserve">4. </w:t>
      </w:r>
      <w:proofErr w:type="spellStart"/>
      <w:r w:rsidRPr="004D6C0F">
        <w:rPr>
          <w:sz w:val="28"/>
          <w:szCs w:val="28"/>
          <w:lang w:val="en-US"/>
        </w:rPr>
        <w:t>Lankisch</w:t>
      </w:r>
      <w:proofErr w:type="spellEnd"/>
      <w:r w:rsidRPr="004D6C0F">
        <w:rPr>
          <w:sz w:val="28"/>
          <w:szCs w:val="28"/>
          <w:lang w:val="en-US"/>
        </w:rPr>
        <w:t xml:space="preserve"> P.G., </w:t>
      </w:r>
      <w:proofErr w:type="spellStart"/>
      <w:r w:rsidRPr="004D6C0F">
        <w:rPr>
          <w:sz w:val="28"/>
          <w:szCs w:val="28"/>
          <w:lang w:val="en-US"/>
        </w:rPr>
        <w:t>Apte</w:t>
      </w:r>
      <w:proofErr w:type="spellEnd"/>
      <w:r w:rsidRPr="004D6C0F">
        <w:rPr>
          <w:sz w:val="28"/>
          <w:szCs w:val="28"/>
          <w:lang w:val="en-US"/>
        </w:rPr>
        <w:t xml:space="preserve"> M., Banks P.A. Acute pancreatitis</w:t>
      </w:r>
      <w:r w:rsidRPr="008D7F5A">
        <w:rPr>
          <w:sz w:val="28"/>
          <w:szCs w:val="28"/>
          <w:lang w:val="en-US"/>
        </w:rPr>
        <w:t>.</w:t>
      </w:r>
      <w:r w:rsidRPr="004D6C0F">
        <w:rPr>
          <w:sz w:val="28"/>
          <w:szCs w:val="28"/>
          <w:lang w:val="en-US"/>
        </w:rPr>
        <w:t xml:space="preserve"> </w:t>
      </w:r>
      <w:proofErr w:type="gramStart"/>
      <w:r w:rsidRPr="004D6C0F">
        <w:rPr>
          <w:sz w:val="28"/>
          <w:szCs w:val="28"/>
          <w:lang w:val="en-US"/>
        </w:rPr>
        <w:t>The Lancet.</w:t>
      </w:r>
      <w:proofErr w:type="gramEnd"/>
      <w:r w:rsidRPr="004D6C0F">
        <w:rPr>
          <w:sz w:val="28"/>
          <w:szCs w:val="28"/>
          <w:lang w:val="en-US"/>
        </w:rPr>
        <w:t xml:space="preserve"> 2015</w:t>
      </w:r>
      <w:proofErr w:type="gramStart"/>
      <w:r w:rsidRPr="008D7F5A">
        <w:rPr>
          <w:sz w:val="28"/>
          <w:szCs w:val="28"/>
          <w:lang w:val="en-US"/>
        </w:rPr>
        <w:t>;</w:t>
      </w:r>
      <w:r w:rsidRPr="004D6C0F">
        <w:rPr>
          <w:sz w:val="28"/>
          <w:szCs w:val="28"/>
          <w:lang w:val="en-US"/>
        </w:rPr>
        <w:t>386</w:t>
      </w:r>
      <w:proofErr w:type="gramEnd"/>
      <w:r w:rsidRPr="008D7F5A">
        <w:rPr>
          <w:sz w:val="28"/>
          <w:szCs w:val="28"/>
          <w:lang w:val="en-US"/>
        </w:rPr>
        <w:t>(</w:t>
      </w:r>
      <w:r w:rsidRPr="004D6C0F">
        <w:rPr>
          <w:sz w:val="28"/>
          <w:szCs w:val="28"/>
          <w:lang w:val="en-US"/>
        </w:rPr>
        <w:t>9988</w:t>
      </w:r>
      <w:r w:rsidRPr="008D7F5A">
        <w:rPr>
          <w:sz w:val="28"/>
          <w:szCs w:val="28"/>
          <w:lang w:val="en-US"/>
        </w:rPr>
        <w:t>):</w:t>
      </w:r>
      <w:r w:rsidRPr="004D6C0F">
        <w:rPr>
          <w:sz w:val="28"/>
          <w:szCs w:val="28"/>
          <w:lang w:val="en-US"/>
        </w:rPr>
        <w:t>85.</w:t>
      </w:r>
    </w:p>
    <w:p w:rsidR="006B5A11" w:rsidRPr="006B5A11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 xml:space="preserve">5. </w:t>
      </w:r>
      <w:proofErr w:type="spellStart"/>
      <w:r w:rsidRPr="004D6C0F">
        <w:rPr>
          <w:sz w:val="28"/>
          <w:szCs w:val="28"/>
          <w:lang w:val="uk-UA"/>
        </w:rPr>
        <w:t>Belyaeva</w:t>
      </w:r>
      <w:proofErr w:type="spellEnd"/>
      <w:r w:rsidRPr="004D6C0F">
        <w:rPr>
          <w:sz w:val="28"/>
          <w:szCs w:val="28"/>
          <w:lang w:val="uk-UA"/>
        </w:rPr>
        <w:t xml:space="preserve"> N.V., </w:t>
      </w:r>
      <w:proofErr w:type="spellStart"/>
      <w:r w:rsidRPr="004D6C0F">
        <w:rPr>
          <w:sz w:val="28"/>
          <w:szCs w:val="28"/>
          <w:lang w:val="uk-UA"/>
        </w:rPr>
        <w:t>Gubergric</w:t>
      </w:r>
      <w:proofErr w:type="spellEnd"/>
      <w:r w:rsidRPr="004D6C0F">
        <w:rPr>
          <w:sz w:val="28"/>
          <w:szCs w:val="28"/>
          <w:lang w:val="uk-UA"/>
        </w:rPr>
        <w:t xml:space="preserve"> N.B., </w:t>
      </w:r>
      <w:proofErr w:type="spellStart"/>
      <w:r w:rsidRPr="004D6C0F">
        <w:rPr>
          <w:sz w:val="28"/>
          <w:szCs w:val="28"/>
          <w:lang w:val="uk-UA"/>
        </w:rPr>
        <w:t>Zagorenko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Yu.A</w:t>
      </w:r>
      <w:proofErr w:type="spellEnd"/>
      <w:r w:rsidRPr="004D6C0F">
        <w:rPr>
          <w:sz w:val="28"/>
          <w:szCs w:val="28"/>
          <w:lang w:val="uk-UA"/>
        </w:rPr>
        <w:t xml:space="preserve">.,  </w:t>
      </w:r>
      <w:proofErr w:type="spellStart"/>
      <w:proofErr w:type="gramStart"/>
      <w:r w:rsidRPr="008D7F5A">
        <w:rPr>
          <w:sz w:val="28"/>
          <w:szCs w:val="28"/>
          <w:shd w:val="clear" w:color="auto" w:fill="FFFFFF"/>
          <w:lang w:val="en-US"/>
        </w:rPr>
        <w:t>Lukashevich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G.M.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Gol</w:t>
      </w:r>
      <w:r w:rsidRPr="008D7F5A">
        <w:rPr>
          <w:sz w:val="28"/>
          <w:szCs w:val="28"/>
          <w:shd w:val="clear" w:color="auto" w:fill="FFFFFF"/>
          <w:lang w:val="en-US"/>
        </w:rPr>
        <w:t>u</w:t>
      </w:r>
      <w:r w:rsidRPr="008D7F5A">
        <w:rPr>
          <w:sz w:val="28"/>
          <w:szCs w:val="28"/>
          <w:shd w:val="clear" w:color="auto" w:fill="FFFFFF"/>
          <w:lang w:val="en-US"/>
        </w:rPr>
        <w:t>bova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O.A. </w:t>
      </w:r>
      <w:proofErr w:type="spellStart"/>
      <w:r w:rsidRPr="004D6C0F">
        <w:rPr>
          <w:sz w:val="28"/>
          <w:szCs w:val="28"/>
          <w:lang w:val="uk-UA"/>
        </w:rPr>
        <w:t>Pankreatogennyy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saharnyy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diabet</w:t>
      </w:r>
      <w:proofErr w:type="spellEnd"/>
      <w:r w:rsidRPr="004D6C0F">
        <w:rPr>
          <w:sz w:val="28"/>
          <w:szCs w:val="28"/>
          <w:lang w:val="uk-UA"/>
        </w:rPr>
        <w:t>.</w:t>
      </w:r>
      <w:proofErr w:type="gram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Rossiyskiy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zhurnal</w:t>
      </w:r>
      <w:proofErr w:type="spellEnd"/>
      <w:r w:rsidRPr="004D6C0F">
        <w:rPr>
          <w:sz w:val="28"/>
          <w:szCs w:val="28"/>
          <w:lang w:val="uk-UA"/>
        </w:rPr>
        <w:t xml:space="preserve"> gastroen-terologii, </w:t>
      </w:r>
      <w:proofErr w:type="spellStart"/>
      <w:r w:rsidRPr="004D6C0F">
        <w:rPr>
          <w:sz w:val="28"/>
          <w:szCs w:val="28"/>
          <w:lang w:val="uk-UA"/>
        </w:rPr>
        <w:t>gepatologii</w:t>
      </w:r>
      <w:proofErr w:type="spellEnd"/>
      <w:r w:rsidRPr="004D6C0F">
        <w:rPr>
          <w:sz w:val="28"/>
          <w:szCs w:val="28"/>
          <w:lang w:val="uk-UA"/>
        </w:rPr>
        <w:t xml:space="preserve">, </w:t>
      </w:r>
      <w:proofErr w:type="spellStart"/>
      <w:r w:rsidRPr="004D6C0F">
        <w:rPr>
          <w:sz w:val="28"/>
          <w:szCs w:val="28"/>
          <w:lang w:val="uk-UA"/>
        </w:rPr>
        <w:t>koloproktologii</w:t>
      </w:r>
      <w:proofErr w:type="spellEnd"/>
      <w:r w:rsidRPr="004D6C0F">
        <w:rPr>
          <w:sz w:val="28"/>
          <w:szCs w:val="28"/>
          <w:lang w:val="uk-UA"/>
        </w:rPr>
        <w:t>. 2007;6:11-16.</w:t>
      </w:r>
      <w:r w:rsidRPr="006B5A11">
        <w:rPr>
          <w:sz w:val="28"/>
          <w:szCs w:val="28"/>
          <w:lang w:val="uk-UA"/>
        </w:rPr>
        <w:t xml:space="preserve"> [</w:t>
      </w:r>
      <w:r w:rsidRPr="008D7F5A">
        <w:rPr>
          <w:sz w:val="28"/>
          <w:szCs w:val="28"/>
          <w:lang w:val="en-US"/>
        </w:rPr>
        <w:t>in</w:t>
      </w:r>
      <w:r w:rsidRPr="006B5A11">
        <w:rPr>
          <w:sz w:val="28"/>
          <w:szCs w:val="28"/>
          <w:lang w:val="uk-UA"/>
        </w:rPr>
        <w:t xml:space="preserve"> </w:t>
      </w:r>
      <w:proofErr w:type="spellStart"/>
      <w:r w:rsidRPr="008D7F5A">
        <w:rPr>
          <w:sz w:val="28"/>
          <w:szCs w:val="28"/>
          <w:lang w:val="en-US"/>
        </w:rPr>
        <w:t>Russi</w:t>
      </w:r>
      <w:proofErr w:type="spellEnd"/>
      <w:r w:rsidRPr="006B5A11">
        <w:rPr>
          <w:sz w:val="28"/>
          <w:szCs w:val="28"/>
          <w:lang w:val="uk-UA"/>
        </w:rPr>
        <w:t>а</w:t>
      </w:r>
      <w:r w:rsidRPr="008D7F5A">
        <w:rPr>
          <w:sz w:val="28"/>
          <w:szCs w:val="28"/>
          <w:lang w:val="en-US"/>
        </w:rPr>
        <w:t>n</w:t>
      </w:r>
      <w:r w:rsidRPr="006B5A11">
        <w:rPr>
          <w:sz w:val="28"/>
          <w:szCs w:val="28"/>
          <w:lang w:val="uk-UA"/>
        </w:rPr>
        <w:t>].</w:t>
      </w:r>
    </w:p>
    <w:p w:rsidR="006B5A11" w:rsidRPr="006B5A11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6B5A11">
        <w:rPr>
          <w:rStyle w:val="a5"/>
          <w:b w:val="0"/>
          <w:sz w:val="28"/>
          <w:szCs w:val="28"/>
          <w:lang w:val="uk-UA"/>
        </w:rPr>
        <w:t xml:space="preserve">6. </w:t>
      </w:r>
      <w:proofErr w:type="spellStart"/>
      <w:r w:rsidRPr="004D6C0F">
        <w:rPr>
          <w:sz w:val="28"/>
          <w:szCs w:val="28"/>
          <w:lang w:val="uk-UA"/>
        </w:rPr>
        <w:t>Gubergric</w:t>
      </w:r>
      <w:proofErr w:type="spellEnd"/>
      <w:r w:rsidRPr="004D6C0F">
        <w:rPr>
          <w:sz w:val="28"/>
          <w:szCs w:val="28"/>
          <w:lang w:val="uk-UA"/>
        </w:rPr>
        <w:t xml:space="preserve"> N.B., </w:t>
      </w:r>
      <w:proofErr w:type="spellStart"/>
      <w:r w:rsidRPr="004D6C0F">
        <w:rPr>
          <w:sz w:val="28"/>
          <w:szCs w:val="28"/>
          <w:lang w:val="uk-UA"/>
        </w:rPr>
        <w:t>Fomenko</w:t>
      </w:r>
      <w:proofErr w:type="spellEnd"/>
      <w:r w:rsidRPr="004D6C0F">
        <w:rPr>
          <w:sz w:val="28"/>
          <w:szCs w:val="28"/>
          <w:lang w:val="uk-UA"/>
        </w:rPr>
        <w:t xml:space="preserve"> P.G. </w:t>
      </w:r>
      <w:proofErr w:type="spellStart"/>
      <w:r w:rsidRPr="004D6C0F">
        <w:rPr>
          <w:sz w:val="28"/>
          <w:szCs w:val="28"/>
          <w:lang w:val="uk-UA"/>
        </w:rPr>
        <w:t>Pankreatologiya</w:t>
      </w:r>
      <w:proofErr w:type="spellEnd"/>
      <w:r w:rsidRPr="004D6C0F">
        <w:rPr>
          <w:sz w:val="28"/>
          <w:szCs w:val="28"/>
          <w:lang w:val="uk-UA"/>
        </w:rPr>
        <w:t xml:space="preserve"> i «</w:t>
      </w:r>
      <w:proofErr w:type="spellStart"/>
      <w:r w:rsidRPr="004D6C0F">
        <w:rPr>
          <w:sz w:val="28"/>
          <w:szCs w:val="28"/>
          <w:lang w:val="uk-UA"/>
        </w:rPr>
        <w:t>skelet</w:t>
      </w:r>
      <w:proofErr w:type="spellEnd"/>
      <w:r w:rsidRPr="004D6C0F">
        <w:rPr>
          <w:sz w:val="28"/>
          <w:szCs w:val="28"/>
          <w:lang w:val="uk-UA"/>
        </w:rPr>
        <w:t xml:space="preserve"> v </w:t>
      </w:r>
      <w:proofErr w:type="spellStart"/>
      <w:r w:rsidRPr="004D6C0F">
        <w:rPr>
          <w:sz w:val="28"/>
          <w:szCs w:val="28"/>
          <w:lang w:val="uk-UA"/>
        </w:rPr>
        <w:t>shkafu</w:t>
      </w:r>
      <w:proofErr w:type="spellEnd"/>
      <w:r w:rsidRPr="004D6C0F">
        <w:rPr>
          <w:sz w:val="28"/>
          <w:szCs w:val="28"/>
          <w:lang w:val="uk-UA"/>
        </w:rPr>
        <w:t xml:space="preserve">». </w:t>
      </w:r>
      <w:proofErr w:type="spellStart"/>
      <w:r w:rsidRPr="004D6C0F">
        <w:rPr>
          <w:sz w:val="28"/>
          <w:szCs w:val="28"/>
          <w:lang w:val="uk-UA"/>
        </w:rPr>
        <w:t>Voprosy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detskoy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dietologii</w:t>
      </w:r>
      <w:proofErr w:type="spellEnd"/>
      <w:r w:rsidRPr="004D6C0F">
        <w:rPr>
          <w:sz w:val="28"/>
          <w:szCs w:val="28"/>
          <w:lang w:val="uk-UA"/>
        </w:rPr>
        <w:t xml:space="preserve">. 2013;5:14-22. </w:t>
      </w:r>
      <w:r w:rsidRPr="006B5A11">
        <w:rPr>
          <w:sz w:val="28"/>
          <w:szCs w:val="28"/>
          <w:lang w:val="uk-UA"/>
        </w:rPr>
        <w:t>[</w:t>
      </w:r>
      <w:r w:rsidRPr="008D7F5A">
        <w:rPr>
          <w:sz w:val="28"/>
          <w:szCs w:val="28"/>
          <w:lang w:val="en-US"/>
        </w:rPr>
        <w:t>in</w:t>
      </w:r>
      <w:r w:rsidRPr="006B5A11">
        <w:rPr>
          <w:sz w:val="28"/>
          <w:szCs w:val="28"/>
          <w:lang w:val="uk-UA"/>
        </w:rPr>
        <w:t xml:space="preserve"> </w:t>
      </w:r>
      <w:proofErr w:type="spellStart"/>
      <w:r w:rsidRPr="008D7F5A">
        <w:rPr>
          <w:sz w:val="28"/>
          <w:szCs w:val="28"/>
          <w:lang w:val="en-US"/>
        </w:rPr>
        <w:t>Russi</w:t>
      </w:r>
      <w:proofErr w:type="spellEnd"/>
      <w:r w:rsidRPr="006B5A11">
        <w:rPr>
          <w:sz w:val="28"/>
          <w:szCs w:val="28"/>
          <w:lang w:val="uk-UA"/>
        </w:rPr>
        <w:t>а</w:t>
      </w:r>
      <w:r w:rsidRPr="008D7F5A">
        <w:rPr>
          <w:sz w:val="28"/>
          <w:szCs w:val="28"/>
          <w:lang w:val="en-US"/>
        </w:rPr>
        <w:t>n</w:t>
      </w:r>
      <w:r w:rsidRPr="006B5A11">
        <w:rPr>
          <w:sz w:val="28"/>
          <w:szCs w:val="28"/>
          <w:lang w:val="uk-UA"/>
        </w:rPr>
        <w:t>].</w:t>
      </w:r>
    </w:p>
    <w:p w:rsidR="006B5A11" w:rsidRPr="008D7F5A" w:rsidRDefault="006B5A11" w:rsidP="006B5A1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4D6C0F">
        <w:rPr>
          <w:sz w:val="28"/>
          <w:szCs w:val="28"/>
          <w:lang w:val="uk-UA"/>
        </w:rPr>
        <w:lastRenderedPageBreak/>
        <w:t xml:space="preserve">7. </w:t>
      </w:r>
      <w:proofErr w:type="spellStart"/>
      <w:r w:rsidRPr="004D6C0F">
        <w:rPr>
          <w:sz w:val="28"/>
          <w:szCs w:val="28"/>
          <w:lang w:val="en-US"/>
        </w:rPr>
        <w:t>Bloomston</w:t>
      </w:r>
      <w:proofErr w:type="spellEnd"/>
      <w:r w:rsidRPr="006B5A11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en-US"/>
        </w:rPr>
        <w:t>M</w:t>
      </w:r>
      <w:r w:rsidRPr="006B5A11">
        <w:rPr>
          <w:sz w:val="28"/>
          <w:szCs w:val="28"/>
          <w:lang w:val="uk-UA"/>
        </w:rPr>
        <w:t xml:space="preserve">., </w:t>
      </w:r>
      <w:r w:rsidRPr="004D6C0F">
        <w:rPr>
          <w:sz w:val="28"/>
          <w:szCs w:val="28"/>
          <w:lang w:val="en-US"/>
        </w:rPr>
        <w:t>Frankel</w:t>
      </w:r>
      <w:r w:rsidRPr="006B5A11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en-US"/>
        </w:rPr>
        <w:t>W</w:t>
      </w:r>
      <w:r w:rsidRPr="004D6C0F">
        <w:rPr>
          <w:sz w:val="28"/>
          <w:szCs w:val="28"/>
          <w:lang w:val="uk-UA"/>
        </w:rPr>
        <w:t>.</w:t>
      </w:r>
      <w:r w:rsidRPr="004D6C0F">
        <w:rPr>
          <w:sz w:val="28"/>
          <w:szCs w:val="28"/>
          <w:lang w:val="en-US"/>
        </w:rPr>
        <w:t>L</w:t>
      </w:r>
      <w:r w:rsidRPr="006B5A11">
        <w:rPr>
          <w:sz w:val="28"/>
          <w:szCs w:val="28"/>
          <w:lang w:val="uk-UA"/>
        </w:rPr>
        <w:t xml:space="preserve">., </w:t>
      </w:r>
      <w:proofErr w:type="spellStart"/>
      <w:r w:rsidRPr="004D6C0F">
        <w:rPr>
          <w:sz w:val="28"/>
          <w:szCs w:val="28"/>
          <w:lang w:val="en-US"/>
        </w:rPr>
        <w:t>Petrocca</w:t>
      </w:r>
      <w:proofErr w:type="spellEnd"/>
      <w:r w:rsidRPr="006B5A11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en-US"/>
        </w:rPr>
        <w:t>F</w:t>
      </w:r>
      <w:r w:rsidRPr="006B5A11">
        <w:rPr>
          <w:sz w:val="28"/>
          <w:szCs w:val="28"/>
          <w:lang w:val="uk-UA"/>
        </w:rPr>
        <w:t xml:space="preserve">., </w:t>
      </w:r>
      <w:hyperlink r:id="rId5" w:history="1">
        <w:proofErr w:type="spellStart"/>
        <w:r w:rsidRPr="008D7F5A">
          <w:rPr>
            <w:rStyle w:val="a4"/>
            <w:sz w:val="28"/>
            <w:szCs w:val="28"/>
            <w:shd w:val="clear" w:color="auto" w:fill="FFFFFF"/>
            <w:lang w:val="en-US"/>
          </w:rPr>
          <w:t>Volinia</w:t>
        </w:r>
        <w:proofErr w:type="spellEnd"/>
        <w:r w:rsidRPr="006B5A11">
          <w:rPr>
            <w:rStyle w:val="a4"/>
            <w:sz w:val="28"/>
            <w:szCs w:val="28"/>
            <w:shd w:val="clear" w:color="auto" w:fill="FFFFFF"/>
            <w:lang w:val="uk-UA"/>
          </w:rPr>
          <w:t xml:space="preserve"> </w:t>
        </w:r>
      </w:hyperlink>
      <w:r w:rsidRPr="006B5A11">
        <w:rPr>
          <w:sz w:val="28"/>
          <w:szCs w:val="28"/>
          <w:lang w:val="uk-UA"/>
        </w:rPr>
        <w:t xml:space="preserve"> </w:t>
      </w:r>
      <w:r w:rsidRPr="008D7F5A">
        <w:rPr>
          <w:sz w:val="28"/>
          <w:szCs w:val="28"/>
          <w:lang w:val="en-US"/>
        </w:rPr>
        <w:t>S</w:t>
      </w:r>
      <w:r w:rsidRPr="006B5A11">
        <w:rPr>
          <w:sz w:val="28"/>
          <w:szCs w:val="28"/>
          <w:lang w:val="uk-UA"/>
        </w:rPr>
        <w:t>.</w:t>
      </w:r>
      <w:r w:rsidRPr="006B5A11">
        <w:rPr>
          <w:sz w:val="28"/>
          <w:szCs w:val="28"/>
          <w:shd w:val="clear" w:color="auto" w:fill="FFFFFF"/>
          <w:lang w:val="uk-UA"/>
        </w:rPr>
        <w:t>,</w:t>
      </w:r>
      <w:r w:rsidRPr="008D7F5A">
        <w:rPr>
          <w:sz w:val="28"/>
          <w:szCs w:val="28"/>
          <w:shd w:val="clear" w:color="auto" w:fill="FFFFFF"/>
          <w:lang w:val="en-US"/>
        </w:rPr>
        <w:t> </w:t>
      </w:r>
      <w:r w:rsidRPr="006B5A11">
        <w:rPr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Pr="008D7F5A">
          <w:rPr>
            <w:rStyle w:val="a4"/>
            <w:sz w:val="28"/>
            <w:szCs w:val="28"/>
            <w:shd w:val="clear" w:color="auto" w:fill="FFFFFF"/>
            <w:lang w:val="en-US"/>
          </w:rPr>
          <w:t>Alder</w:t>
        </w:r>
        <w:r w:rsidRPr="006B5A11">
          <w:rPr>
            <w:rStyle w:val="a4"/>
            <w:sz w:val="28"/>
            <w:szCs w:val="28"/>
            <w:shd w:val="clear" w:color="auto" w:fill="FFFFFF"/>
            <w:lang w:val="uk-UA"/>
          </w:rPr>
          <w:t xml:space="preserve"> </w:t>
        </w:r>
        <w:r w:rsidRPr="008D7F5A">
          <w:rPr>
            <w:rStyle w:val="a4"/>
            <w:sz w:val="28"/>
            <w:szCs w:val="28"/>
            <w:shd w:val="clear" w:color="auto" w:fill="FFFFFF"/>
            <w:lang w:val="en-US"/>
          </w:rPr>
          <w:t>H</w:t>
        </w:r>
      </w:hyperlink>
      <w:r w:rsidRPr="006B5A11">
        <w:rPr>
          <w:sz w:val="28"/>
          <w:szCs w:val="28"/>
          <w:lang w:val="uk-UA"/>
        </w:rPr>
        <w:t>.</w:t>
      </w:r>
      <w:r w:rsidRPr="006B5A11">
        <w:rPr>
          <w:sz w:val="28"/>
          <w:szCs w:val="28"/>
          <w:shd w:val="clear" w:color="auto" w:fill="FFFFFF"/>
          <w:lang w:val="uk-UA"/>
        </w:rPr>
        <w:t>,</w:t>
      </w:r>
      <w:r w:rsidRPr="008D7F5A">
        <w:rPr>
          <w:sz w:val="28"/>
          <w:szCs w:val="28"/>
          <w:shd w:val="clear" w:color="auto" w:fill="FFFFFF"/>
          <w:lang w:val="en-US"/>
        </w:rPr>
        <w:t> </w:t>
      </w:r>
      <w:hyperlink r:id="rId7" w:history="1">
        <w:r w:rsidRPr="008D7F5A">
          <w:rPr>
            <w:rStyle w:val="a4"/>
            <w:sz w:val="28"/>
            <w:szCs w:val="28"/>
            <w:shd w:val="clear" w:color="auto" w:fill="FFFFFF"/>
            <w:lang w:val="en-US"/>
          </w:rPr>
          <w:t>Hagan</w:t>
        </w:r>
        <w:r w:rsidRPr="006B5A11">
          <w:rPr>
            <w:rStyle w:val="a4"/>
            <w:sz w:val="28"/>
            <w:szCs w:val="28"/>
            <w:shd w:val="clear" w:color="auto" w:fill="FFFFFF"/>
            <w:lang w:val="uk-UA"/>
          </w:rPr>
          <w:t xml:space="preserve"> </w:t>
        </w:r>
        <w:r w:rsidRPr="008D7F5A">
          <w:rPr>
            <w:rStyle w:val="a4"/>
            <w:sz w:val="28"/>
            <w:szCs w:val="28"/>
            <w:shd w:val="clear" w:color="auto" w:fill="FFFFFF"/>
            <w:lang w:val="en-US"/>
          </w:rPr>
          <w:t>JP</w:t>
        </w:r>
      </w:hyperlink>
      <w:r w:rsidRPr="006B5A11">
        <w:rPr>
          <w:sz w:val="28"/>
          <w:szCs w:val="28"/>
          <w:lang w:val="uk-UA"/>
        </w:rPr>
        <w:t xml:space="preserve">. </w:t>
      </w:r>
      <w:r w:rsidRPr="004D6C0F">
        <w:rPr>
          <w:sz w:val="28"/>
          <w:szCs w:val="28"/>
          <w:lang w:val="en-US"/>
        </w:rPr>
        <w:t>[</w:t>
      </w:r>
      <w:proofErr w:type="gramStart"/>
      <w:r w:rsidRPr="004D6C0F">
        <w:rPr>
          <w:sz w:val="28"/>
          <w:szCs w:val="28"/>
          <w:lang w:val="en-US"/>
        </w:rPr>
        <w:t>et</w:t>
      </w:r>
      <w:proofErr w:type="gramEnd"/>
      <w:r w:rsidRPr="004D6C0F">
        <w:rPr>
          <w:sz w:val="28"/>
          <w:szCs w:val="28"/>
          <w:lang w:val="en-US"/>
        </w:rPr>
        <w:t xml:space="preserve"> al.]</w:t>
      </w:r>
      <w:r w:rsidRPr="008D7F5A">
        <w:rPr>
          <w:sz w:val="28"/>
          <w:szCs w:val="28"/>
          <w:lang w:val="en-US"/>
        </w:rPr>
        <w:t>.</w:t>
      </w:r>
      <w:r w:rsidRPr="004D6C0F">
        <w:rPr>
          <w:sz w:val="28"/>
          <w:szCs w:val="28"/>
          <w:lang w:val="en-US"/>
        </w:rPr>
        <w:t xml:space="preserve"> MicroRNA expression patterns to differentiate pancreatic </w:t>
      </w:r>
      <w:proofErr w:type="spellStart"/>
      <w:r w:rsidRPr="004D6C0F">
        <w:rPr>
          <w:sz w:val="28"/>
          <w:szCs w:val="28"/>
          <w:lang w:val="en-US"/>
        </w:rPr>
        <w:t>adenocar</w:t>
      </w:r>
      <w:r w:rsidRPr="008D7F5A">
        <w:rPr>
          <w:sz w:val="28"/>
          <w:szCs w:val="28"/>
          <w:lang w:val="en-US"/>
        </w:rPr>
        <w:t>-</w:t>
      </w:r>
      <w:r w:rsidRPr="004D6C0F">
        <w:rPr>
          <w:sz w:val="28"/>
          <w:szCs w:val="28"/>
          <w:lang w:val="en-US"/>
        </w:rPr>
        <w:t>cinoma</w:t>
      </w:r>
      <w:proofErr w:type="spellEnd"/>
      <w:r w:rsidRPr="004D6C0F">
        <w:rPr>
          <w:sz w:val="28"/>
          <w:szCs w:val="28"/>
          <w:lang w:val="en-US"/>
        </w:rPr>
        <w:t xml:space="preserve"> from normal pancreas and chronic pancreatitis</w:t>
      </w:r>
      <w:r w:rsidRPr="008D7F5A">
        <w:rPr>
          <w:sz w:val="28"/>
          <w:szCs w:val="28"/>
          <w:lang w:val="en-US"/>
        </w:rPr>
        <w:t>.</w:t>
      </w:r>
      <w:r w:rsidRPr="004D6C0F">
        <w:rPr>
          <w:sz w:val="28"/>
          <w:szCs w:val="28"/>
          <w:lang w:val="en-US"/>
        </w:rPr>
        <w:t xml:space="preserve"> </w:t>
      </w:r>
      <w:proofErr w:type="gramStart"/>
      <w:r w:rsidRPr="004D6C0F">
        <w:rPr>
          <w:sz w:val="28"/>
          <w:szCs w:val="28"/>
          <w:lang w:val="en-US"/>
        </w:rPr>
        <w:t>JAMA.</w:t>
      </w:r>
      <w:proofErr w:type="gramEnd"/>
      <w:r w:rsidRPr="004D6C0F">
        <w:rPr>
          <w:sz w:val="28"/>
          <w:szCs w:val="28"/>
          <w:lang w:val="en-US"/>
        </w:rPr>
        <w:t xml:space="preserve"> 2007</w:t>
      </w:r>
      <w:r w:rsidRPr="008D7F5A">
        <w:rPr>
          <w:sz w:val="28"/>
          <w:szCs w:val="28"/>
          <w:lang w:val="en-US"/>
        </w:rPr>
        <w:t>;</w:t>
      </w:r>
      <w:r w:rsidRPr="004D6C0F">
        <w:rPr>
          <w:sz w:val="28"/>
          <w:szCs w:val="28"/>
          <w:lang w:val="en-US"/>
        </w:rPr>
        <w:t xml:space="preserve"> 297</w:t>
      </w:r>
      <w:r w:rsidRPr="008D7F5A">
        <w:rPr>
          <w:sz w:val="28"/>
          <w:szCs w:val="28"/>
          <w:lang w:val="en-US"/>
        </w:rPr>
        <w:t>(17):</w:t>
      </w:r>
      <w:r w:rsidRPr="004D6C0F">
        <w:rPr>
          <w:sz w:val="28"/>
          <w:szCs w:val="28"/>
          <w:lang w:val="en-US"/>
        </w:rPr>
        <w:t>1901-1908.</w:t>
      </w:r>
    </w:p>
    <w:p w:rsidR="006B5A11" w:rsidRPr="008D7F5A" w:rsidRDefault="006B5A11" w:rsidP="006B5A11">
      <w:pPr>
        <w:ind w:firstLine="708"/>
        <w:jc w:val="both"/>
        <w:rPr>
          <w:sz w:val="28"/>
          <w:szCs w:val="28"/>
          <w:lang w:val="uk-UA"/>
        </w:rPr>
      </w:pPr>
      <w:proofErr w:type="gramStart"/>
      <w:r w:rsidRPr="008D7F5A">
        <w:rPr>
          <w:sz w:val="28"/>
          <w:szCs w:val="28"/>
          <w:lang w:val="en-US"/>
        </w:rPr>
        <w:t xml:space="preserve">8. </w:t>
      </w:r>
      <w:proofErr w:type="spellStart"/>
      <w:r w:rsidRPr="004D6C0F">
        <w:rPr>
          <w:sz w:val="28"/>
          <w:szCs w:val="28"/>
          <w:lang w:val="uk-UA"/>
        </w:rPr>
        <w:t>Merinova</w:t>
      </w:r>
      <w:proofErr w:type="spellEnd"/>
      <w:r w:rsidRPr="004D6C0F">
        <w:rPr>
          <w:sz w:val="28"/>
          <w:szCs w:val="28"/>
          <w:lang w:val="uk-UA"/>
        </w:rPr>
        <w:t xml:space="preserve"> N.I., </w:t>
      </w:r>
      <w:proofErr w:type="spellStart"/>
      <w:r w:rsidRPr="004D6C0F">
        <w:rPr>
          <w:sz w:val="28"/>
          <w:szCs w:val="28"/>
          <w:lang w:val="uk-UA"/>
        </w:rPr>
        <w:t>Kozlova</w:t>
      </w:r>
      <w:proofErr w:type="spellEnd"/>
      <w:r w:rsidRPr="004D6C0F">
        <w:rPr>
          <w:sz w:val="28"/>
          <w:szCs w:val="28"/>
          <w:lang w:val="uk-UA"/>
        </w:rPr>
        <w:t xml:space="preserve"> N.M., </w:t>
      </w:r>
      <w:proofErr w:type="spellStart"/>
      <w:r w:rsidRPr="004D6C0F">
        <w:rPr>
          <w:sz w:val="28"/>
          <w:szCs w:val="28"/>
          <w:lang w:val="uk-UA"/>
        </w:rPr>
        <w:t>Kolesnichenko</w:t>
      </w:r>
      <w:proofErr w:type="spellEnd"/>
      <w:r w:rsidRPr="004D6C0F">
        <w:rPr>
          <w:sz w:val="28"/>
          <w:szCs w:val="28"/>
          <w:lang w:val="uk-UA"/>
        </w:rPr>
        <w:t xml:space="preserve"> L.S. </w:t>
      </w:r>
      <w:proofErr w:type="spellStart"/>
      <w:r w:rsidRPr="004D6C0F">
        <w:rPr>
          <w:sz w:val="28"/>
          <w:szCs w:val="28"/>
          <w:lang w:val="uk-UA"/>
        </w:rPr>
        <w:t>Perekisnoe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okislenie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lipidov</w:t>
      </w:r>
      <w:proofErr w:type="spellEnd"/>
      <w:r w:rsidRPr="004D6C0F">
        <w:rPr>
          <w:sz w:val="28"/>
          <w:szCs w:val="28"/>
          <w:lang w:val="uk-UA"/>
        </w:rPr>
        <w:t xml:space="preserve"> i </w:t>
      </w:r>
      <w:proofErr w:type="spellStart"/>
      <w:r w:rsidRPr="004D6C0F">
        <w:rPr>
          <w:sz w:val="28"/>
          <w:szCs w:val="28"/>
          <w:lang w:val="uk-UA"/>
        </w:rPr>
        <w:t>antioksidantnaya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sistema</w:t>
      </w:r>
      <w:proofErr w:type="spellEnd"/>
      <w:r w:rsidRPr="004D6C0F">
        <w:rPr>
          <w:sz w:val="28"/>
          <w:szCs w:val="28"/>
          <w:lang w:val="uk-UA"/>
        </w:rPr>
        <w:t xml:space="preserve"> v </w:t>
      </w:r>
      <w:proofErr w:type="spellStart"/>
      <w:r w:rsidRPr="004D6C0F">
        <w:rPr>
          <w:sz w:val="28"/>
          <w:szCs w:val="28"/>
          <w:lang w:val="uk-UA"/>
        </w:rPr>
        <w:t>patogeneze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hronicheskogo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pankreatita</w:t>
      </w:r>
      <w:proofErr w:type="spellEnd"/>
      <w:r w:rsidRPr="004D6C0F">
        <w:rPr>
          <w:sz w:val="28"/>
          <w:szCs w:val="28"/>
          <w:lang w:val="uk-UA"/>
        </w:rPr>
        <w:t>.</w:t>
      </w:r>
      <w:proofErr w:type="gramEnd"/>
      <w:r w:rsidRPr="004D6C0F">
        <w:rPr>
          <w:sz w:val="28"/>
          <w:szCs w:val="28"/>
          <w:lang w:val="uk-UA"/>
        </w:rPr>
        <w:t xml:space="preserve"> Si-</w:t>
      </w:r>
      <w:proofErr w:type="spellStart"/>
      <w:r w:rsidRPr="004D6C0F">
        <w:rPr>
          <w:sz w:val="28"/>
          <w:szCs w:val="28"/>
          <w:lang w:val="uk-UA"/>
        </w:rPr>
        <w:t>birskiy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medicinskiy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zhurnal</w:t>
      </w:r>
      <w:proofErr w:type="spellEnd"/>
      <w:r w:rsidRPr="004D6C0F">
        <w:rPr>
          <w:sz w:val="28"/>
          <w:szCs w:val="28"/>
          <w:lang w:val="uk-UA"/>
        </w:rPr>
        <w:t xml:space="preserve">. 2012;3:17-20. </w:t>
      </w:r>
      <w:r w:rsidRPr="008D7F5A">
        <w:rPr>
          <w:sz w:val="28"/>
          <w:szCs w:val="28"/>
          <w:lang w:val="uk-UA"/>
        </w:rPr>
        <w:t>[</w:t>
      </w:r>
      <w:proofErr w:type="spellStart"/>
      <w:r w:rsidRPr="004D6C0F">
        <w:rPr>
          <w:sz w:val="28"/>
          <w:szCs w:val="28"/>
        </w:rPr>
        <w:t>in</w:t>
      </w:r>
      <w:proofErr w:type="spellEnd"/>
      <w:r w:rsidRPr="008D7F5A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</w:rPr>
        <w:t>Russi</w:t>
      </w:r>
      <w:proofErr w:type="spellEnd"/>
      <w:r w:rsidRPr="008D7F5A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</w:rPr>
        <w:t>n</w:t>
      </w:r>
      <w:r w:rsidRPr="008D7F5A">
        <w:rPr>
          <w:sz w:val="28"/>
          <w:szCs w:val="28"/>
          <w:lang w:val="uk-UA"/>
        </w:rPr>
        <w:t>].</w:t>
      </w:r>
    </w:p>
    <w:p w:rsidR="006B5A11" w:rsidRPr="008D7F5A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8D7F5A">
        <w:rPr>
          <w:sz w:val="28"/>
          <w:szCs w:val="28"/>
          <w:lang w:val="uk-UA"/>
        </w:rPr>
        <w:t xml:space="preserve">9. </w:t>
      </w:r>
      <w:proofErr w:type="spellStart"/>
      <w:r w:rsidRPr="004D6C0F">
        <w:rPr>
          <w:sz w:val="28"/>
          <w:szCs w:val="28"/>
          <w:lang w:val="uk-UA"/>
        </w:rPr>
        <w:t>Mosoyan</w:t>
      </w:r>
      <w:proofErr w:type="spellEnd"/>
      <w:r w:rsidRPr="004D6C0F">
        <w:rPr>
          <w:sz w:val="28"/>
          <w:szCs w:val="28"/>
          <w:lang w:val="uk-UA"/>
        </w:rPr>
        <w:t xml:space="preserve"> S.S., </w:t>
      </w:r>
      <w:proofErr w:type="spellStart"/>
      <w:r w:rsidRPr="004D6C0F">
        <w:rPr>
          <w:sz w:val="28"/>
          <w:szCs w:val="28"/>
          <w:lang w:val="uk-UA"/>
        </w:rPr>
        <w:t>Shugaev</w:t>
      </w:r>
      <w:proofErr w:type="spellEnd"/>
      <w:r w:rsidRPr="004D6C0F">
        <w:rPr>
          <w:sz w:val="28"/>
          <w:szCs w:val="28"/>
          <w:lang w:val="uk-UA"/>
        </w:rPr>
        <w:t xml:space="preserve"> A.I., </w:t>
      </w:r>
      <w:proofErr w:type="spellStart"/>
      <w:r w:rsidRPr="004D6C0F">
        <w:rPr>
          <w:sz w:val="28"/>
          <w:szCs w:val="28"/>
          <w:lang w:val="uk-UA"/>
        </w:rPr>
        <w:t>Chuyanova</w:t>
      </w:r>
      <w:proofErr w:type="spellEnd"/>
      <w:r w:rsidRPr="004D6C0F">
        <w:rPr>
          <w:sz w:val="28"/>
          <w:szCs w:val="28"/>
          <w:lang w:val="uk-UA"/>
        </w:rPr>
        <w:t xml:space="preserve"> E.V. </w:t>
      </w:r>
      <w:proofErr w:type="spellStart"/>
      <w:r w:rsidRPr="004D6C0F">
        <w:rPr>
          <w:sz w:val="28"/>
          <w:szCs w:val="28"/>
          <w:lang w:val="uk-UA"/>
        </w:rPr>
        <w:t>Perekisnoe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okislenie</w:t>
      </w:r>
      <w:proofErr w:type="spellEnd"/>
      <w:r w:rsidRPr="004D6C0F">
        <w:rPr>
          <w:sz w:val="28"/>
          <w:szCs w:val="28"/>
          <w:lang w:val="uk-UA"/>
        </w:rPr>
        <w:t xml:space="preserve"> li-</w:t>
      </w:r>
      <w:proofErr w:type="spellStart"/>
      <w:r w:rsidRPr="004D6C0F">
        <w:rPr>
          <w:sz w:val="28"/>
          <w:szCs w:val="28"/>
          <w:lang w:val="uk-UA"/>
        </w:rPr>
        <w:t>pidov</w:t>
      </w:r>
      <w:proofErr w:type="spellEnd"/>
      <w:r w:rsidRPr="004D6C0F">
        <w:rPr>
          <w:sz w:val="28"/>
          <w:szCs w:val="28"/>
          <w:lang w:val="uk-UA"/>
        </w:rPr>
        <w:t xml:space="preserve"> i </w:t>
      </w:r>
      <w:proofErr w:type="spellStart"/>
      <w:r w:rsidRPr="004D6C0F">
        <w:rPr>
          <w:sz w:val="28"/>
          <w:szCs w:val="28"/>
          <w:lang w:val="uk-UA"/>
        </w:rPr>
        <w:t>antioksidantnaya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zaschita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pri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ostrom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destruktivnom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pankreatite</w:t>
      </w:r>
      <w:proofErr w:type="spellEnd"/>
      <w:r w:rsidRPr="004D6C0F">
        <w:rPr>
          <w:sz w:val="28"/>
          <w:szCs w:val="28"/>
          <w:lang w:val="uk-UA"/>
        </w:rPr>
        <w:t xml:space="preserve">. </w:t>
      </w:r>
      <w:proofErr w:type="spellStart"/>
      <w:r w:rsidRPr="004D6C0F">
        <w:rPr>
          <w:sz w:val="28"/>
          <w:szCs w:val="28"/>
          <w:lang w:val="uk-UA"/>
        </w:rPr>
        <w:t>Vestnik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SPbGU</w:t>
      </w:r>
      <w:proofErr w:type="spellEnd"/>
      <w:r w:rsidRPr="004D6C0F">
        <w:rPr>
          <w:sz w:val="28"/>
          <w:szCs w:val="28"/>
          <w:lang w:val="uk-UA"/>
        </w:rPr>
        <w:t>. Ser.11. 2013;</w:t>
      </w:r>
      <w:proofErr w:type="spellStart"/>
      <w:r w:rsidRPr="004D6C0F">
        <w:rPr>
          <w:sz w:val="28"/>
          <w:szCs w:val="28"/>
          <w:lang w:val="uk-UA"/>
        </w:rPr>
        <w:t>Vyp</w:t>
      </w:r>
      <w:proofErr w:type="spellEnd"/>
      <w:r w:rsidRPr="004D6C0F">
        <w:rPr>
          <w:sz w:val="28"/>
          <w:szCs w:val="28"/>
          <w:lang w:val="uk-UA"/>
        </w:rPr>
        <w:t xml:space="preserve">. 2:36-38. </w:t>
      </w:r>
      <w:r w:rsidRPr="008D7F5A">
        <w:rPr>
          <w:sz w:val="28"/>
          <w:szCs w:val="28"/>
          <w:lang w:val="uk-UA"/>
        </w:rPr>
        <w:t>[</w:t>
      </w:r>
      <w:proofErr w:type="spellStart"/>
      <w:r w:rsidRPr="004D6C0F">
        <w:rPr>
          <w:sz w:val="28"/>
          <w:szCs w:val="28"/>
        </w:rPr>
        <w:t>in</w:t>
      </w:r>
      <w:proofErr w:type="spellEnd"/>
      <w:r w:rsidRPr="008D7F5A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</w:rPr>
        <w:t>Russi</w:t>
      </w:r>
      <w:proofErr w:type="spellEnd"/>
      <w:r w:rsidRPr="008D7F5A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</w:rPr>
        <w:t>n</w:t>
      </w:r>
      <w:r w:rsidRPr="008D7F5A">
        <w:rPr>
          <w:sz w:val="28"/>
          <w:szCs w:val="28"/>
          <w:lang w:val="uk-UA"/>
        </w:rPr>
        <w:t>].</w:t>
      </w:r>
    </w:p>
    <w:p w:rsidR="006B5A11" w:rsidRPr="008D7F5A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8D7F5A">
        <w:rPr>
          <w:sz w:val="28"/>
          <w:szCs w:val="28"/>
          <w:lang w:val="uk-UA"/>
        </w:rPr>
        <w:t xml:space="preserve">10. </w:t>
      </w:r>
      <w:proofErr w:type="spellStart"/>
      <w:r w:rsidRPr="004D6C0F">
        <w:rPr>
          <w:sz w:val="28"/>
          <w:szCs w:val="28"/>
          <w:lang w:val="uk-UA"/>
        </w:rPr>
        <w:t>Kozlovskiy</w:t>
      </w:r>
      <w:proofErr w:type="spellEnd"/>
      <w:r w:rsidRPr="004D6C0F">
        <w:rPr>
          <w:sz w:val="28"/>
          <w:szCs w:val="28"/>
          <w:lang w:val="uk-UA"/>
        </w:rPr>
        <w:t xml:space="preserve"> A.A. </w:t>
      </w:r>
      <w:proofErr w:type="spellStart"/>
      <w:r w:rsidRPr="004D6C0F">
        <w:rPr>
          <w:sz w:val="28"/>
          <w:szCs w:val="28"/>
          <w:lang w:val="uk-UA"/>
        </w:rPr>
        <w:t>Zabolevaniya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podzheludochnoy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zhelezy</w:t>
      </w:r>
      <w:proofErr w:type="spellEnd"/>
      <w:r w:rsidRPr="004D6C0F">
        <w:rPr>
          <w:sz w:val="28"/>
          <w:szCs w:val="28"/>
          <w:lang w:val="uk-UA"/>
        </w:rPr>
        <w:t xml:space="preserve"> u </w:t>
      </w:r>
      <w:proofErr w:type="spellStart"/>
      <w:r w:rsidRPr="004D6C0F">
        <w:rPr>
          <w:sz w:val="28"/>
          <w:szCs w:val="28"/>
          <w:lang w:val="uk-UA"/>
        </w:rPr>
        <w:t>detey</w:t>
      </w:r>
      <w:proofErr w:type="spellEnd"/>
      <w:r w:rsidRPr="004D6C0F">
        <w:rPr>
          <w:sz w:val="28"/>
          <w:szCs w:val="28"/>
          <w:lang w:val="uk-UA"/>
        </w:rPr>
        <w:t xml:space="preserve">. </w:t>
      </w:r>
      <w:proofErr w:type="spellStart"/>
      <w:r w:rsidRPr="004D6C0F">
        <w:rPr>
          <w:sz w:val="28"/>
          <w:szCs w:val="28"/>
          <w:lang w:val="uk-UA"/>
        </w:rPr>
        <w:t>Problemy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zdorovya</w:t>
      </w:r>
      <w:proofErr w:type="spellEnd"/>
      <w:r w:rsidRPr="004D6C0F">
        <w:rPr>
          <w:sz w:val="28"/>
          <w:szCs w:val="28"/>
          <w:lang w:val="uk-UA"/>
        </w:rPr>
        <w:t xml:space="preserve"> i </w:t>
      </w:r>
      <w:proofErr w:type="spellStart"/>
      <w:r w:rsidRPr="004D6C0F">
        <w:rPr>
          <w:sz w:val="28"/>
          <w:szCs w:val="28"/>
          <w:lang w:val="uk-UA"/>
        </w:rPr>
        <w:t>ekologii</w:t>
      </w:r>
      <w:proofErr w:type="spellEnd"/>
      <w:r w:rsidRPr="004D6C0F">
        <w:rPr>
          <w:sz w:val="28"/>
          <w:szCs w:val="28"/>
          <w:lang w:val="uk-UA"/>
        </w:rPr>
        <w:t xml:space="preserve">. 2012;3:65. </w:t>
      </w:r>
      <w:r w:rsidRPr="008D7F5A">
        <w:rPr>
          <w:sz w:val="28"/>
          <w:szCs w:val="28"/>
          <w:lang w:val="uk-UA"/>
        </w:rPr>
        <w:t>[</w:t>
      </w:r>
      <w:proofErr w:type="spellStart"/>
      <w:r w:rsidRPr="004D6C0F">
        <w:rPr>
          <w:sz w:val="28"/>
          <w:szCs w:val="28"/>
        </w:rPr>
        <w:t>in</w:t>
      </w:r>
      <w:proofErr w:type="spellEnd"/>
      <w:r w:rsidRPr="008D7F5A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</w:rPr>
        <w:t>Russi</w:t>
      </w:r>
      <w:proofErr w:type="spellEnd"/>
      <w:r w:rsidRPr="008D7F5A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</w:rPr>
        <w:t>n</w:t>
      </w:r>
      <w:r w:rsidRPr="008D7F5A">
        <w:rPr>
          <w:sz w:val="28"/>
          <w:szCs w:val="28"/>
          <w:lang w:val="uk-UA"/>
        </w:rPr>
        <w:t>].</w:t>
      </w:r>
    </w:p>
    <w:p w:rsidR="006B5A11" w:rsidRPr="004D6C0F" w:rsidRDefault="006B5A11" w:rsidP="006B5A11">
      <w:pPr>
        <w:pStyle w:val="2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uk-UA"/>
        </w:rPr>
      </w:pPr>
      <w:r w:rsidRPr="004D6C0F">
        <w:rPr>
          <w:b w:val="0"/>
          <w:sz w:val="28"/>
          <w:szCs w:val="28"/>
          <w:lang w:val="uk-UA"/>
        </w:rPr>
        <w:tab/>
        <w:t xml:space="preserve">11. </w:t>
      </w:r>
      <w:proofErr w:type="spellStart"/>
      <w:r w:rsidRPr="004D6C0F">
        <w:rPr>
          <w:b w:val="0"/>
          <w:sz w:val="28"/>
          <w:szCs w:val="28"/>
          <w:lang w:val="uk-UA"/>
        </w:rPr>
        <w:t>Nikolaieva</w:t>
      </w:r>
      <w:proofErr w:type="spellEnd"/>
      <w:r w:rsidRPr="004D6C0F">
        <w:rPr>
          <w:b w:val="0"/>
          <w:sz w:val="28"/>
          <w:szCs w:val="28"/>
          <w:lang w:val="uk-UA"/>
        </w:rPr>
        <w:t xml:space="preserve"> O.V., </w:t>
      </w:r>
      <w:proofErr w:type="spellStart"/>
      <w:r w:rsidRPr="004D6C0F">
        <w:rPr>
          <w:b w:val="0"/>
          <w:sz w:val="28"/>
          <w:szCs w:val="28"/>
          <w:lang w:val="uk-UA"/>
        </w:rPr>
        <w:t>Kovaltsova</w:t>
      </w:r>
      <w:proofErr w:type="spellEnd"/>
      <w:r w:rsidRPr="004D6C0F">
        <w:rPr>
          <w:b w:val="0"/>
          <w:sz w:val="28"/>
          <w:szCs w:val="28"/>
          <w:lang w:val="uk-UA"/>
        </w:rPr>
        <w:t xml:space="preserve"> M.V., </w:t>
      </w:r>
      <w:proofErr w:type="spellStart"/>
      <w:r w:rsidRPr="004D6C0F">
        <w:rPr>
          <w:b w:val="0"/>
          <w:sz w:val="28"/>
          <w:szCs w:val="28"/>
          <w:lang w:val="uk-UA"/>
        </w:rPr>
        <w:t>Yevtushenko</w:t>
      </w:r>
      <w:proofErr w:type="spellEnd"/>
      <w:r w:rsidRPr="004D6C0F">
        <w:rPr>
          <w:b w:val="0"/>
          <w:sz w:val="28"/>
          <w:szCs w:val="28"/>
          <w:lang w:val="uk-UA"/>
        </w:rPr>
        <w:t xml:space="preserve"> T.H. </w:t>
      </w:r>
      <w:proofErr w:type="spellStart"/>
      <w:r w:rsidRPr="004D6C0F">
        <w:rPr>
          <w:b w:val="0"/>
          <w:sz w:val="28"/>
          <w:szCs w:val="28"/>
          <w:lang w:val="uk-UA"/>
        </w:rPr>
        <w:t>Patent</w:t>
      </w:r>
      <w:proofErr w:type="spellEnd"/>
      <w:r w:rsidRPr="004D6C0F">
        <w:rPr>
          <w:b w:val="0"/>
          <w:sz w:val="28"/>
          <w:szCs w:val="28"/>
          <w:lang w:val="uk-UA"/>
        </w:rPr>
        <w:t xml:space="preserve"> </w:t>
      </w:r>
      <w:proofErr w:type="spellStart"/>
      <w:r w:rsidRPr="004D6C0F">
        <w:rPr>
          <w:b w:val="0"/>
          <w:sz w:val="28"/>
          <w:szCs w:val="28"/>
          <w:lang w:val="uk-UA"/>
        </w:rPr>
        <w:t>na</w:t>
      </w:r>
      <w:proofErr w:type="spellEnd"/>
      <w:r w:rsidRPr="004D6C0F">
        <w:rPr>
          <w:b w:val="0"/>
          <w:sz w:val="28"/>
          <w:szCs w:val="28"/>
          <w:lang w:val="uk-UA"/>
        </w:rPr>
        <w:t xml:space="preserve"> ko-</w:t>
      </w:r>
      <w:proofErr w:type="spellStart"/>
      <w:r w:rsidRPr="004D6C0F">
        <w:rPr>
          <w:b w:val="0"/>
          <w:sz w:val="28"/>
          <w:szCs w:val="28"/>
          <w:lang w:val="uk-UA"/>
        </w:rPr>
        <w:t>rysnu</w:t>
      </w:r>
      <w:proofErr w:type="spellEnd"/>
      <w:r w:rsidRPr="004D6C0F">
        <w:rPr>
          <w:b w:val="0"/>
          <w:sz w:val="28"/>
          <w:szCs w:val="28"/>
          <w:lang w:val="uk-UA"/>
        </w:rPr>
        <w:t xml:space="preserve"> </w:t>
      </w:r>
      <w:proofErr w:type="spellStart"/>
      <w:r w:rsidRPr="004D6C0F">
        <w:rPr>
          <w:b w:val="0"/>
          <w:sz w:val="28"/>
          <w:szCs w:val="28"/>
          <w:lang w:val="uk-UA"/>
        </w:rPr>
        <w:t>model</w:t>
      </w:r>
      <w:proofErr w:type="spellEnd"/>
      <w:r w:rsidRPr="004D6C0F">
        <w:rPr>
          <w:b w:val="0"/>
          <w:sz w:val="28"/>
          <w:szCs w:val="28"/>
          <w:lang w:val="uk-UA"/>
        </w:rPr>
        <w:t xml:space="preserve"> № 81453 </w:t>
      </w:r>
      <w:proofErr w:type="spellStart"/>
      <w:r w:rsidRPr="004D6C0F">
        <w:rPr>
          <w:b w:val="0"/>
          <w:sz w:val="28"/>
          <w:szCs w:val="28"/>
          <w:lang w:val="uk-UA"/>
        </w:rPr>
        <w:t>Ukraina</w:t>
      </w:r>
      <w:proofErr w:type="spellEnd"/>
      <w:r w:rsidRPr="004D6C0F">
        <w:rPr>
          <w:b w:val="0"/>
          <w:sz w:val="28"/>
          <w:szCs w:val="28"/>
          <w:lang w:val="uk-UA"/>
        </w:rPr>
        <w:t xml:space="preserve">, MPK (2006.01) G09V 23/28, G09V 23/34. </w:t>
      </w:r>
      <w:proofErr w:type="spellStart"/>
      <w:r w:rsidRPr="004D6C0F">
        <w:rPr>
          <w:b w:val="0"/>
          <w:sz w:val="28"/>
          <w:szCs w:val="28"/>
          <w:lang w:val="uk-UA"/>
        </w:rPr>
        <w:t>Sposib</w:t>
      </w:r>
      <w:proofErr w:type="spellEnd"/>
      <w:r w:rsidRPr="004D6C0F">
        <w:rPr>
          <w:b w:val="0"/>
          <w:sz w:val="28"/>
          <w:szCs w:val="28"/>
          <w:lang w:val="uk-UA"/>
        </w:rPr>
        <w:t xml:space="preserve"> </w:t>
      </w:r>
      <w:proofErr w:type="spellStart"/>
      <w:r w:rsidRPr="004D6C0F">
        <w:rPr>
          <w:b w:val="0"/>
          <w:sz w:val="28"/>
          <w:szCs w:val="28"/>
          <w:lang w:val="uk-UA"/>
        </w:rPr>
        <w:t>modeliuvannia</w:t>
      </w:r>
      <w:proofErr w:type="spellEnd"/>
      <w:r w:rsidRPr="004D6C0F">
        <w:rPr>
          <w:b w:val="0"/>
          <w:sz w:val="28"/>
          <w:szCs w:val="28"/>
          <w:lang w:val="uk-UA"/>
        </w:rPr>
        <w:t xml:space="preserve"> </w:t>
      </w:r>
      <w:proofErr w:type="spellStart"/>
      <w:r w:rsidRPr="004D6C0F">
        <w:rPr>
          <w:b w:val="0"/>
          <w:sz w:val="28"/>
          <w:szCs w:val="28"/>
          <w:lang w:val="uk-UA"/>
        </w:rPr>
        <w:t>alimentarnoi</w:t>
      </w:r>
      <w:proofErr w:type="spellEnd"/>
      <w:r w:rsidRPr="004D6C0F">
        <w:rPr>
          <w:b w:val="0"/>
          <w:sz w:val="28"/>
          <w:szCs w:val="28"/>
          <w:lang w:val="uk-UA"/>
        </w:rPr>
        <w:t xml:space="preserve"> </w:t>
      </w:r>
      <w:proofErr w:type="spellStart"/>
      <w:r w:rsidRPr="004D6C0F">
        <w:rPr>
          <w:b w:val="0"/>
          <w:sz w:val="28"/>
          <w:szCs w:val="28"/>
          <w:lang w:val="uk-UA"/>
        </w:rPr>
        <w:t>bilkovoi</w:t>
      </w:r>
      <w:proofErr w:type="spellEnd"/>
      <w:r w:rsidRPr="004D6C0F">
        <w:rPr>
          <w:b w:val="0"/>
          <w:sz w:val="28"/>
          <w:szCs w:val="28"/>
          <w:lang w:val="uk-UA"/>
        </w:rPr>
        <w:t xml:space="preserve"> </w:t>
      </w:r>
      <w:proofErr w:type="spellStart"/>
      <w:r w:rsidRPr="004D6C0F">
        <w:rPr>
          <w:b w:val="0"/>
          <w:sz w:val="28"/>
          <w:szCs w:val="28"/>
          <w:lang w:val="uk-UA"/>
        </w:rPr>
        <w:t>nedostatnosti</w:t>
      </w:r>
      <w:proofErr w:type="spellEnd"/>
      <w:r w:rsidRPr="004D6C0F">
        <w:rPr>
          <w:b w:val="0"/>
          <w:sz w:val="28"/>
          <w:szCs w:val="28"/>
          <w:lang w:val="uk-UA"/>
        </w:rPr>
        <w:t xml:space="preserve">. № u 2013 01910; </w:t>
      </w:r>
      <w:proofErr w:type="spellStart"/>
      <w:r w:rsidRPr="004D6C0F">
        <w:rPr>
          <w:b w:val="0"/>
          <w:sz w:val="28"/>
          <w:szCs w:val="28"/>
          <w:lang w:val="uk-UA"/>
        </w:rPr>
        <w:t>zaiav</w:t>
      </w:r>
      <w:proofErr w:type="spellEnd"/>
      <w:r w:rsidRPr="004D6C0F">
        <w:rPr>
          <w:b w:val="0"/>
          <w:sz w:val="28"/>
          <w:szCs w:val="28"/>
          <w:lang w:val="uk-UA"/>
        </w:rPr>
        <w:t xml:space="preserve">. 18.02.2013; </w:t>
      </w:r>
      <w:proofErr w:type="spellStart"/>
      <w:r w:rsidRPr="004D6C0F">
        <w:rPr>
          <w:b w:val="0"/>
          <w:sz w:val="28"/>
          <w:szCs w:val="28"/>
          <w:lang w:val="uk-UA"/>
        </w:rPr>
        <w:t>opubl</w:t>
      </w:r>
      <w:proofErr w:type="spellEnd"/>
      <w:r w:rsidRPr="004D6C0F">
        <w:rPr>
          <w:b w:val="0"/>
          <w:sz w:val="28"/>
          <w:szCs w:val="28"/>
          <w:lang w:val="uk-UA"/>
        </w:rPr>
        <w:t xml:space="preserve">. 25.06.2013. </w:t>
      </w:r>
      <w:proofErr w:type="spellStart"/>
      <w:r w:rsidRPr="004D6C0F">
        <w:rPr>
          <w:b w:val="0"/>
          <w:sz w:val="28"/>
          <w:szCs w:val="28"/>
          <w:lang w:val="uk-UA"/>
        </w:rPr>
        <w:t>Biul</w:t>
      </w:r>
      <w:proofErr w:type="spellEnd"/>
      <w:r w:rsidRPr="004D6C0F">
        <w:rPr>
          <w:b w:val="0"/>
          <w:sz w:val="28"/>
          <w:szCs w:val="28"/>
          <w:lang w:val="uk-UA"/>
        </w:rPr>
        <w:t>. №12. [</w:t>
      </w:r>
      <w:proofErr w:type="spellStart"/>
      <w:r w:rsidRPr="004D6C0F">
        <w:rPr>
          <w:b w:val="0"/>
          <w:sz w:val="28"/>
          <w:szCs w:val="28"/>
          <w:lang w:val="uk-UA"/>
        </w:rPr>
        <w:t>in</w:t>
      </w:r>
      <w:proofErr w:type="spellEnd"/>
      <w:r w:rsidRPr="004D6C0F">
        <w:rPr>
          <w:b w:val="0"/>
          <w:sz w:val="28"/>
          <w:szCs w:val="28"/>
          <w:lang w:val="uk-UA"/>
        </w:rPr>
        <w:t xml:space="preserve"> </w:t>
      </w:r>
      <w:proofErr w:type="spellStart"/>
      <w:r w:rsidRPr="004D6C0F">
        <w:rPr>
          <w:b w:val="0"/>
          <w:sz w:val="28"/>
          <w:szCs w:val="28"/>
          <w:lang w:val="uk-UA"/>
        </w:rPr>
        <w:t>Ukrainian</w:t>
      </w:r>
      <w:proofErr w:type="spellEnd"/>
      <w:r w:rsidRPr="004D6C0F">
        <w:rPr>
          <w:b w:val="0"/>
          <w:sz w:val="28"/>
          <w:szCs w:val="28"/>
          <w:lang w:val="uk-UA"/>
        </w:rPr>
        <w:t>].</w:t>
      </w:r>
    </w:p>
    <w:p w:rsidR="006B5A11" w:rsidRPr="008D7F5A" w:rsidRDefault="006B5A11" w:rsidP="006B5A11">
      <w:pPr>
        <w:ind w:firstLine="708"/>
        <w:jc w:val="both"/>
        <w:rPr>
          <w:sz w:val="28"/>
          <w:szCs w:val="28"/>
          <w:lang w:val="en-US"/>
        </w:rPr>
      </w:pPr>
      <w:r w:rsidRPr="008D7F5A">
        <w:rPr>
          <w:sz w:val="28"/>
          <w:szCs w:val="28"/>
          <w:lang w:val="uk-UA" w:bidi="he-IL"/>
        </w:rPr>
        <w:t xml:space="preserve">12. </w:t>
      </w:r>
      <w:proofErr w:type="spellStart"/>
      <w:r w:rsidRPr="004D6C0F">
        <w:rPr>
          <w:sz w:val="28"/>
          <w:szCs w:val="28"/>
          <w:lang w:val="uk-UA"/>
        </w:rPr>
        <w:t>Stomnaya</w:t>
      </w:r>
      <w:proofErr w:type="spellEnd"/>
      <w:r w:rsidRPr="004D6C0F">
        <w:rPr>
          <w:sz w:val="28"/>
          <w:szCs w:val="28"/>
          <w:lang w:val="uk-UA"/>
        </w:rPr>
        <w:t xml:space="preserve"> N.D. </w:t>
      </w:r>
      <w:proofErr w:type="spellStart"/>
      <w:r w:rsidRPr="004D6C0F">
        <w:rPr>
          <w:sz w:val="28"/>
          <w:szCs w:val="28"/>
          <w:lang w:val="uk-UA"/>
        </w:rPr>
        <w:t>Metody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opredeleniya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nekotoryh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produktov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perekisnogo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okisleniya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lipidov</w:t>
      </w:r>
      <w:proofErr w:type="spellEnd"/>
      <w:r w:rsidRPr="004D6C0F">
        <w:rPr>
          <w:sz w:val="28"/>
          <w:szCs w:val="28"/>
          <w:lang w:val="uk-UA"/>
        </w:rPr>
        <w:t xml:space="preserve"> v </w:t>
      </w:r>
      <w:proofErr w:type="spellStart"/>
      <w:r w:rsidRPr="004D6C0F">
        <w:rPr>
          <w:sz w:val="28"/>
          <w:szCs w:val="28"/>
          <w:lang w:val="uk-UA"/>
        </w:rPr>
        <w:t>tkanyah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zhivotnyh</w:t>
      </w:r>
      <w:proofErr w:type="spellEnd"/>
      <w:r w:rsidRPr="004D6C0F">
        <w:rPr>
          <w:sz w:val="28"/>
          <w:szCs w:val="28"/>
          <w:lang w:val="uk-UA"/>
        </w:rPr>
        <w:t xml:space="preserve"> / </w:t>
      </w:r>
      <w:proofErr w:type="spellStart"/>
      <w:r w:rsidRPr="004D6C0F">
        <w:rPr>
          <w:sz w:val="28"/>
          <w:szCs w:val="28"/>
          <w:lang w:val="uk-UA"/>
        </w:rPr>
        <w:t>Pod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red</w:t>
      </w:r>
      <w:proofErr w:type="spellEnd"/>
      <w:r w:rsidRPr="004D6C0F">
        <w:rPr>
          <w:sz w:val="28"/>
          <w:szCs w:val="28"/>
          <w:lang w:val="uk-UA"/>
        </w:rPr>
        <w:t xml:space="preserve">. </w:t>
      </w:r>
      <w:proofErr w:type="spellStart"/>
      <w:r w:rsidRPr="004D6C0F">
        <w:rPr>
          <w:sz w:val="28"/>
          <w:szCs w:val="28"/>
          <w:lang w:val="uk-UA"/>
        </w:rPr>
        <w:t>akad</w:t>
      </w:r>
      <w:proofErr w:type="spellEnd"/>
      <w:r w:rsidRPr="004D6C0F">
        <w:rPr>
          <w:sz w:val="28"/>
          <w:szCs w:val="28"/>
          <w:lang w:val="uk-UA"/>
        </w:rPr>
        <w:t xml:space="preserve">. V.N. </w:t>
      </w:r>
      <w:proofErr w:type="spellStart"/>
      <w:r w:rsidRPr="004D6C0F">
        <w:rPr>
          <w:sz w:val="28"/>
          <w:szCs w:val="28"/>
          <w:lang w:val="uk-UA"/>
        </w:rPr>
        <w:t>Orehovicha</w:t>
      </w:r>
      <w:proofErr w:type="spellEnd"/>
      <w:r w:rsidRPr="004D6C0F">
        <w:rPr>
          <w:sz w:val="28"/>
          <w:szCs w:val="28"/>
          <w:lang w:val="uk-UA"/>
        </w:rPr>
        <w:t xml:space="preserve">. </w:t>
      </w:r>
      <w:proofErr w:type="spellStart"/>
      <w:r w:rsidRPr="004D6C0F">
        <w:rPr>
          <w:sz w:val="28"/>
          <w:szCs w:val="28"/>
          <w:lang w:val="uk-UA"/>
        </w:rPr>
        <w:t>Sovremennye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metody</w:t>
      </w:r>
      <w:proofErr w:type="spellEnd"/>
      <w:r w:rsidRPr="004D6C0F">
        <w:rPr>
          <w:sz w:val="28"/>
          <w:szCs w:val="28"/>
          <w:lang w:val="uk-UA"/>
        </w:rPr>
        <w:t xml:space="preserve"> v </w:t>
      </w:r>
      <w:proofErr w:type="spellStart"/>
      <w:r w:rsidRPr="004D6C0F">
        <w:rPr>
          <w:sz w:val="28"/>
          <w:szCs w:val="28"/>
          <w:lang w:val="uk-UA"/>
        </w:rPr>
        <w:t>biohimii</w:t>
      </w:r>
      <w:proofErr w:type="spellEnd"/>
      <w:r w:rsidRPr="004D6C0F">
        <w:rPr>
          <w:sz w:val="28"/>
          <w:szCs w:val="28"/>
          <w:lang w:val="uk-UA"/>
        </w:rPr>
        <w:t>. M.:</w:t>
      </w:r>
      <w:proofErr w:type="spellStart"/>
      <w:r w:rsidRPr="004D6C0F">
        <w:rPr>
          <w:sz w:val="28"/>
          <w:szCs w:val="28"/>
          <w:lang w:val="uk-UA"/>
        </w:rPr>
        <w:t>Medicina</w:t>
      </w:r>
      <w:proofErr w:type="spellEnd"/>
      <w:r w:rsidRPr="004D6C0F">
        <w:rPr>
          <w:sz w:val="28"/>
          <w:szCs w:val="28"/>
          <w:lang w:val="uk-UA"/>
        </w:rPr>
        <w:t xml:space="preserve">, 1977:62-65. </w:t>
      </w:r>
      <w:r w:rsidRPr="008D7F5A">
        <w:rPr>
          <w:sz w:val="28"/>
          <w:szCs w:val="28"/>
          <w:lang w:val="en-US"/>
        </w:rPr>
        <w:t>[</w:t>
      </w:r>
      <w:proofErr w:type="gramStart"/>
      <w:r w:rsidRPr="008D7F5A">
        <w:rPr>
          <w:sz w:val="28"/>
          <w:szCs w:val="28"/>
          <w:lang w:val="en-US"/>
        </w:rPr>
        <w:t>in</w:t>
      </w:r>
      <w:proofErr w:type="gramEnd"/>
      <w:r w:rsidRPr="008D7F5A">
        <w:rPr>
          <w:sz w:val="28"/>
          <w:szCs w:val="28"/>
          <w:lang w:val="en-US"/>
        </w:rPr>
        <w:t xml:space="preserve"> </w:t>
      </w:r>
      <w:proofErr w:type="spellStart"/>
      <w:r w:rsidRPr="008D7F5A">
        <w:rPr>
          <w:sz w:val="28"/>
          <w:szCs w:val="28"/>
          <w:lang w:val="en-US"/>
        </w:rPr>
        <w:t>Russi</w:t>
      </w:r>
      <w:proofErr w:type="spellEnd"/>
      <w:r w:rsidRPr="004D6C0F">
        <w:rPr>
          <w:sz w:val="28"/>
          <w:szCs w:val="28"/>
        </w:rPr>
        <w:t>а</w:t>
      </w:r>
      <w:r w:rsidRPr="008D7F5A">
        <w:rPr>
          <w:sz w:val="28"/>
          <w:szCs w:val="28"/>
          <w:lang w:val="en-US"/>
        </w:rPr>
        <w:t>n].</w:t>
      </w:r>
    </w:p>
    <w:p w:rsidR="006B5A11" w:rsidRPr="006B5A11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8D7F5A">
        <w:rPr>
          <w:sz w:val="28"/>
          <w:szCs w:val="28"/>
          <w:lang w:val="en-US" w:bidi="he-IL"/>
        </w:rPr>
        <w:t xml:space="preserve">13. </w:t>
      </w:r>
      <w:proofErr w:type="spellStart"/>
      <w:r w:rsidRPr="004D6C0F">
        <w:rPr>
          <w:sz w:val="28"/>
          <w:szCs w:val="28"/>
          <w:lang w:val="uk-UA"/>
        </w:rPr>
        <w:t>Kostyuk</w:t>
      </w:r>
      <w:proofErr w:type="spellEnd"/>
      <w:r w:rsidRPr="004D6C0F">
        <w:rPr>
          <w:sz w:val="28"/>
          <w:szCs w:val="28"/>
          <w:lang w:val="uk-UA"/>
        </w:rPr>
        <w:t xml:space="preserve"> V.A., </w:t>
      </w:r>
      <w:proofErr w:type="spellStart"/>
      <w:r w:rsidRPr="004D6C0F">
        <w:rPr>
          <w:sz w:val="28"/>
          <w:szCs w:val="28"/>
          <w:lang w:val="uk-UA"/>
        </w:rPr>
        <w:t>Potapovich</w:t>
      </w:r>
      <w:proofErr w:type="spellEnd"/>
      <w:r w:rsidRPr="004D6C0F">
        <w:rPr>
          <w:sz w:val="28"/>
          <w:szCs w:val="28"/>
          <w:lang w:val="uk-UA"/>
        </w:rPr>
        <w:t xml:space="preserve"> A.I., </w:t>
      </w:r>
      <w:proofErr w:type="spellStart"/>
      <w:r w:rsidRPr="004D6C0F">
        <w:rPr>
          <w:sz w:val="28"/>
          <w:szCs w:val="28"/>
          <w:lang w:val="uk-UA"/>
        </w:rPr>
        <w:t>Koval</w:t>
      </w:r>
      <w:r>
        <w:rPr>
          <w:sz w:val="28"/>
          <w:szCs w:val="28"/>
          <w:lang w:val="uk-UA"/>
        </w:rPr>
        <w:t>eva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Zh.V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Prostoy</w:t>
      </w:r>
      <w:proofErr w:type="spellEnd"/>
      <w:r>
        <w:rPr>
          <w:sz w:val="28"/>
          <w:szCs w:val="28"/>
          <w:lang w:val="uk-UA"/>
        </w:rPr>
        <w:t xml:space="preserve"> i </w:t>
      </w:r>
      <w:proofErr w:type="spellStart"/>
      <w:r>
        <w:rPr>
          <w:sz w:val="28"/>
          <w:szCs w:val="28"/>
          <w:lang w:val="uk-UA"/>
        </w:rPr>
        <w:t>chuvstvitel</w:t>
      </w:r>
      <w:r w:rsidRPr="004D6C0F">
        <w:rPr>
          <w:sz w:val="28"/>
          <w:szCs w:val="28"/>
          <w:lang w:val="uk-UA"/>
        </w:rPr>
        <w:t>nyy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metod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opredeleniya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aktivnosti</w:t>
      </w:r>
      <w:proofErr w:type="spellEnd"/>
      <w:r w:rsidRPr="004D6C0F">
        <w:rPr>
          <w:sz w:val="28"/>
          <w:szCs w:val="28"/>
          <w:lang w:val="uk-UA"/>
        </w:rPr>
        <w:t xml:space="preserve"> SOD, </w:t>
      </w:r>
      <w:proofErr w:type="spellStart"/>
      <w:r w:rsidRPr="004D6C0F">
        <w:rPr>
          <w:sz w:val="28"/>
          <w:szCs w:val="28"/>
          <w:lang w:val="uk-UA"/>
        </w:rPr>
        <w:t>osnovannyy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D6C0F">
        <w:rPr>
          <w:sz w:val="28"/>
          <w:szCs w:val="28"/>
          <w:lang w:val="uk-UA"/>
        </w:rPr>
        <w:t>na</w:t>
      </w:r>
      <w:proofErr w:type="spellEnd"/>
      <w:proofErr w:type="gram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reakcii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okisleniya</w:t>
      </w:r>
      <w:proofErr w:type="spellEnd"/>
      <w:r w:rsidRPr="004D6C0F">
        <w:rPr>
          <w:sz w:val="28"/>
          <w:szCs w:val="28"/>
          <w:lang w:val="uk-UA"/>
        </w:rPr>
        <w:t xml:space="preserve"> kve-</w:t>
      </w:r>
      <w:proofErr w:type="spellStart"/>
      <w:r w:rsidRPr="004D6C0F">
        <w:rPr>
          <w:sz w:val="28"/>
          <w:szCs w:val="28"/>
          <w:lang w:val="uk-UA"/>
        </w:rPr>
        <w:t>rcitina</w:t>
      </w:r>
      <w:proofErr w:type="spellEnd"/>
      <w:r w:rsidRPr="004D6C0F">
        <w:rPr>
          <w:sz w:val="28"/>
          <w:szCs w:val="28"/>
          <w:lang w:val="uk-UA"/>
        </w:rPr>
        <w:t xml:space="preserve">. </w:t>
      </w:r>
      <w:proofErr w:type="spellStart"/>
      <w:r w:rsidRPr="004D6C0F">
        <w:rPr>
          <w:sz w:val="28"/>
          <w:szCs w:val="28"/>
          <w:lang w:val="uk-UA"/>
        </w:rPr>
        <w:t>Voprosy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medicinskoy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himii</w:t>
      </w:r>
      <w:proofErr w:type="spellEnd"/>
      <w:r w:rsidRPr="004D6C0F">
        <w:rPr>
          <w:sz w:val="28"/>
          <w:szCs w:val="28"/>
          <w:lang w:val="uk-UA"/>
        </w:rPr>
        <w:t xml:space="preserve">. 1990;2:88-91. </w:t>
      </w:r>
      <w:r w:rsidRPr="006B5A11">
        <w:rPr>
          <w:sz w:val="28"/>
          <w:szCs w:val="28"/>
          <w:lang w:val="uk-UA"/>
        </w:rPr>
        <w:t>[</w:t>
      </w:r>
      <w:r w:rsidRPr="008D7F5A">
        <w:rPr>
          <w:sz w:val="28"/>
          <w:szCs w:val="28"/>
          <w:lang w:val="en-US"/>
        </w:rPr>
        <w:t>in</w:t>
      </w:r>
      <w:r w:rsidRPr="006B5A11">
        <w:rPr>
          <w:sz w:val="28"/>
          <w:szCs w:val="28"/>
          <w:lang w:val="uk-UA"/>
        </w:rPr>
        <w:t xml:space="preserve"> </w:t>
      </w:r>
      <w:proofErr w:type="spellStart"/>
      <w:r w:rsidRPr="008D7F5A">
        <w:rPr>
          <w:sz w:val="28"/>
          <w:szCs w:val="28"/>
          <w:lang w:val="en-US"/>
        </w:rPr>
        <w:t>Russi</w:t>
      </w:r>
      <w:proofErr w:type="spellEnd"/>
      <w:r w:rsidRPr="006B5A11">
        <w:rPr>
          <w:sz w:val="28"/>
          <w:szCs w:val="28"/>
          <w:lang w:val="uk-UA"/>
        </w:rPr>
        <w:t>а</w:t>
      </w:r>
      <w:r w:rsidRPr="008D7F5A">
        <w:rPr>
          <w:sz w:val="28"/>
          <w:szCs w:val="28"/>
          <w:lang w:val="en-US"/>
        </w:rPr>
        <w:t>n</w:t>
      </w:r>
      <w:r w:rsidRPr="006B5A11">
        <w:rPr>
          <w:sz w:val="28"/>
          <w:szCs w:val="28"/>
          <w:lang w:val="uk-UA"/>
        </w:rPr>
        <w:t>].</w:t>
      </w:r>
    </w:p>
    <w:p w:rsidR="006B5A11" w:rsidRPr="006B5A11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6B5A11">
        <w:rPr>
          <w:sz w:val="28"/>
          <w:szCs w:val="28"/>
          <w:lang w:val="uk-UA" w:bidi="he-IL"/>
        </w:rPr>
        <w:t xml:space="preserve">14. </w:t>
      </w:r>
      <w:proofErr w:type="spellStart"/>
      <w:r w:rsidRPr="004D6C0F">
        <w:rPr>
          <w:sz w:val="28"/>
          <w:szCs w:val="28"/>
          <w:lang w:val="uk-UA"/>
        </w:rPr>
        <w:t>Dubinina</w:t>
      </w:r>
      <w:proofErr w:type="spellEnd"/>
      <w:r w:rsidRPr="004D6C0F">
        <w:rPr>
          <w:sz w:val="28"/>
          <w:szCs w:val="28"/>
          <w:lang w:val="uk-UA"/>
        </w:rPr>
        <w:t xml:space="preserve"> E.E., </w:t>
      </w:r>
      <w:proofErr w:type="spellStart"/>
      <w:r w:rsidRPr="004D6C0F">
        <w:rPr>
          <w:sz w:val="28"/>
          <w:szCs w:val="28"/>
          <w:lang w:val="uk-UA"/>
        </w:rPr>
        <w:t>Efimova</w:t>
      </w:r>
      <w:proofErr w:type="spellEnd"/>
      <w:r w:rsidRPr="004D6C0F">
        <w:rPr>
          <w:sz w:val="28"/>
          <w:szCs w:val="28"/>
          <w:lang w:val="uk-UA"/>
        </w:rPr>
        <w:t xml:space="preserve"> L.F., </w:t>
      </w:r>
      <w:proofErr w:type="spellStart"/>
      <w:r w:rsidRPr="004D6C0F">
        <w:rPr>
          <w:sz w:val="28"/>
          <w:szCs w:val="28"/>
          <w:lang w:val="uk-UA"/>
        </w:rPr>
        <w:t>Safronova</w:t>
      </w:r>
      <w:proofErr w:type="spellEnd"/>
      <w:r w:rsidRPr="004D6C0F">
        <w:rPr>
          <w:sz w:val="28"/>
          <w:szCs w:val="28"/>
          <w:lang w:val="uk-UA"/>
        </w:rPr>
        <w:t xml:space="preserve"> L.N. </w:t>
      </w:r>
      <w:proofErr w:type="spellStart"/>
      <w:r w:rsidRPr="004D6C0F">
        <w:rPr>
          <w:sz w:val="28"/>
          <w:szCs w:val="28"/>
          <w:lang w:val="uk-UA"/>
        </w:rPr>
        <w:t>Metody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opredeleniya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aktivnosti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katalazy</w:t>
      </w:r>
      <w:proofErr w:type="spellEnd"/>
      <w:r w:rsidRPr="004D6C0F">
        <w:rPr>
          <w:sz w:val="28"/>
          <w:szCs w:val="28"/>
          <w:lang w:val="uk-UA"/>
        </w:rPr>
        <w:t xml:space="preserve">. </w:t>
      </w:r>
      <w:proofErr w:type="spellStart"/>
      <w:r w:rsidRPr="004D6C0F">
        <w:rPr>
          <w:sz w:val="28"/>
          <w:szCs w:val="28"/>
          <w:lang w:val="uk-UA"/>
        </w:rPr>
        <w:t>Lab</w:t>
      </w:r>
      <w:proofErr w:type="spellEnd"/>
      <w:r w:rsidRPr="004D6C0F">
        <w:rPr>
          <w:sz w:val="28"/>
          <w:szCs w:val="28"/>
          <w:lang w:val="uk-UA"/>
        </w:rPr>
        <w:t xml:space="preserve">. </w:t>
      </w:r>
      <w:proofErr w:type="spellStart"/>
      <w:r w:rsidRPr="004D6C0F">
        <w:rPr>
          <w:sz w:val="28"/>
          <w:szCs w:val="28"/>
          <w:lang w:val="uk-UA"/>
        </w:rPr>
        <w:t>Delo</w:t>
      </w:r>
      <w:proofErr w:type="spellEnd"/>
      <w:r w:rsidRPr="004D6C0F">
        <w:rPr>
          <w:sz w:val="28"/>
          <w:szCs w:val="28"/>
          <w:lang w:val="uk-UA"/>
        </w:rPr>
        <w:t xml:space="preserve">. 1988;8:16-19. </w:t>
      </w:r>
      <w:r w:rsidRPr="006B5A11">
        <w:rPr>
          <w:sz w:val="28"/>
          <w:szCs w:val="28"/>
          <w:lang w:val="uk-UA"/>
        </w:rPr>
        <w:t>[</w:t>
      </w:r>
      <w:r w:rsidRPr="008D7F5A">
        <w:rPr>
          <w:sz w:val="28"/>
          <w:szCs w:val="28"/>
          <w:lang w:val="en-US"/>
        </w:rPr>
        <w:t>in</w:t>
      </w:r>
      <w:r w:rsidRPr="006B5A11">
        <w:rPr>
          <w:sz w:val="28"/>
          <w:szCs w:val="28"/>
          <w:lang w:val="uk-UA"/>
        </w:rPr>
        <w:t xml:space="preserve"> </w:t>
      </w:r>
      <w:proofErr w:type="spellStart"/>
      <w:r w:rsidRPr="008D7F5A">
        <w:rPr>
          <w:sz w:val="28"/>
          <w:szCs w:val="28"/>
          <w:lang w:val="en-US"/>
        </w:rPr>
        <w:t>Russi</w:t>
      </w:r>
      <w:proofErr w:type="spellEnd"/>
      <w:r w:rsidRPr="006B5A11">
        <w:rPr>
          <w:sz w:val="28"/>
          <w:szCs w:val="28"/>
          <w:lang w:val="uk-UA"/>
        </w:rPr>
        <w:t>а</w:t>
      </w:r>
      <w:r w:rsidRPr="008D7F5A">
        <w:rPr>
          <w:sz w:val="28"/>
          <w:szCs w:val="28"/>
          <w:lang w:val="en-US"/>
        </w:rPr>
        <w:t>n</w:t>
      </w:r>
      <w:r w:rsidRPr="006B5A11">
        <w:rPr>
          <w:sz w:val="28"/>
          <w:szCs w:val="28"/>
          <w:lang w:val="uk-UA"/>
        </w:rPr>
        <w:t>].</w:t>
      </w:r>
    </w:p>
    <w:p w:rsidR="006B5A11" w:rsidRPr="004D6C0F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 xml:space="preserve">15. </w:t>
      </w:r>
      <w:r w:rsidRPr="004D6C0F">
        <w:rPr>
          <w:sz w:val="28"/>
          <w:szCs w:val="28"/>
          <w:lang w:val="de-DE"/>
        </w:rPr>
        <w:t>Koopmann</w:t>
      </w:r>
      <w:r w:rsidRPr="006B5A11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de-DE"/>
        </w:rPr>
        <w:t>M</w:t>
      </w:r>
      <w:r w:rsidRPr="006B5A11">
        <w:rPr>
          <w:sz w:val="28"/>
          <w:szCs w:val="28"/>
          <w:lang w:val="uk-UA"/>
        </w:rPr>
        <w:t>.</w:t>
      </w:r>
      <w:r w:rsidRPr="004D6C0F">
        <w:rPr>
          <w:sz w:val="28"/>
          <w:szCs w:val="28"/>
          <w:lang w:val="de-DE"/>
        </w:rPr>
        <w:t>C</w:t>
      </w:r>
      <w:r w:rsidRPr="006B5A11">
        <w:rPr>
          <w:sz w:val="28"/>
          <w:szCs w:val="28"/>
          <w:lang w:val="uk-UA"/>
        </w:rPr>
        <w:t xml:space="preserve">., </w:t>
      </w:r>
      <w:proofErr w:type="spellStart"/>
      <w:r w:rsidRPr="004D6C0F">
        <w:rPr>
          <w:sz w:val="28"/>
          <w:szCs w:val="28"/>
          <w:lang w:val="de-DE"/>
        </w:rPr>
        <w:t>Baumler</w:t>
      </w:r>
      <w:proofErr w:type="spellEnd"/>
      <w:r w:rsidRPr="006B5A11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de-DE"/>
        </w:rPr>
        <w:t>M</w:t>
      </w:r>
      <w:r w:rsidRPr="006B5A11">
        <w:rPr>
          <w:sz w:val="28"/>
          <w:szCs w:val="28"/>
          <w:lang w:val="uk-UA"/>
        </w:rPr>
        <w:t>.</w:t>
      </w:r>
      <w:r w:rsidRPr="004D6C0F">
        <w:rPr>
          <w:sz w:val="28"/>
          <w:szCs w:val="28"/>
          <w:lang w:val="de-DE"/>
        </w:rPr>
        <w:t>D</w:t>
      </w:r>
      <w:r w:rsidRPr="006B5A11">
        <w:rPr>
          <w:sz w:val="28"/>
          <w:szCs w:val="28"/>
          <w:lang w:val="uk-UA"/>
        </w:rPr>
        <w:t xml:space="preserve">., </w:t>
      </w:r>
      <w:proofErr w:type="spellStart"/>
      <w:r w:rsidRPr="004D6C0F">
        <w:rPr>
          <w:sz w:val="28"/>
          <w:szCs w:val="28"/>
          <w:lang w:val="de-DE"/>
        </w:rPr>
        <w:t>Boehler</w:t>
      </w:r>
      <w:proofErr w:type="spellEnd"/>
      <w:r w:rsidRPr="006B5A11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de-DE"/>
        </w:rPr>
        <w:t>C</w:t>
      </w:r>
      <w:r w:rsidRPr="006B5A11">
        <w:rPr>
          <w:sz w:val="28"/>
          <w:szCs w:val="28"/>
          <w:lang w:val="uk-UA"/>
        </w:rPr>
        <w:t>.</w:t>
      </w:r>
      <w:r w:rsidRPr="004D6C0F">
        <w:rPr>
          <w:sz w:val="28"/>
          <w:szCs w:val="28"/>
          <w:lang w:val="de-DE"/>
        </w:rPr>
        <w:t>J</w:t>
      </w:r>
      <w:r w:rsidRPr="006B5A11">
        <w:rPr>
          <w:sz w:val="28"/>
          <w:szCs w:val="28"/>
          <w:lang w:val="uk-UA"/>
        </w:rPr>
        <w:t xml:space="preserve">., </w:t>
      </w:r>
      <w:r w:rsidRPr="008D7F5A">
        <w:rPr>
          <w:sz w:val="28"/>
          <w:szCs w:val="28"/>
          <w:shd w:val="clear" w:color="auto" w:fill="FFFFFF"/>
          <w:lang w:val="en-US"/>
        </w:rPr>
        <w:t>Chang</w:t>
      </w:r>
      <w:r w:rsidRPr="006B5A11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F</w:t>
      </w:r>
      <w:r w:rsidRPr="006B5A11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L</w:t>
      </w:r>
      <w:r w:rsidRPr="006B5A11">
        <w:rPr>
          <w:sz w:val="28"/>
          <w:szCs w:val="28"/>
          <w:shd w:val="clear" w:color="auto" w:fill="FFFFFF"/>
          <w:lang w:val="uk-UA"/>
        </w:rPr>
        <w:t xml:space="preserve">., </w:t>
      </w:r>
      <w:r w:rsidRPr="008D7F5A">
        <w:rPr>
          <w:sz w:val="28"/>
          <w:szCs w:val="28"/>
          <w:shd w:val="clear" w:color="auto" w:fill="FFFFFF"/>
          <w:lang w:val="en-US"/>
        </w:rPr>
        <w:t>Ney</w:t>
      </w:r>
      <w:r w:rsidRPr="006B5A11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D</w:t>
      </w:r>
      <w:r w:rsidRPr="006B5A11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M</w:t>
      </w:r>
      <w:r w:rsidRPr="006B5A11">
        <w:rPr>
          <w:sz w:val="28"/>
          <w:szCs w:val="28"/>
          <w:shd w:val="clear" w:color="auto" w:fill="FFFFFF"/>
          <w:lang w:val="uk-UA"/>
        </w:rPr>
        <w:t xml:space="preserve">. </w:t>
      </w:r>
      <w:r w:rsidRPr="004D6C0F">
        <w:rPr>
          <w:sz w:val="28"/>
          <w:szCs w:val="28"/>
          <w:lang w:val="en-US"/>
        </w:rPr>
        <w:t>Total</w:t>
      </w:r>
      <w:r w:rsidRPr="006B5A11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en-US"/>
        </w:rPr>
        <w:t>parenteral</w:t>
      </w:r>
      <w:r w:rsidRPr="006B5A11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en-US"/>
        </w:rPr>
        <w:t>nutrition</w:t>
      </w:r>
      <w:r w:rsidRPr="006B5A11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en-US"/>
        </w:rPr>
        <w:t>attenuates</w:t>
      </w:r>
      <w:r w:rsidRPr="006B5A11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en-US"/>
        </w:rPr>
        <w:t>cerulein</w:t>
      </w:r>
      <w:proofErr w:type="spellEnd"/>
      <w:r w:rsidRPr="006B5A11">
        <w:rPr>
          <w:sz w:val="28"/>
          <w:szCs w:val="28"/>
          <w:lang w:val="uk-UA"/>
        </w:rPr>
        <w:t>-</w:t>
      </w:r>
      <w:r w:rsidRPr="004D6C0F">
        <w:rPr>
          <w:sz w:val="28"/>
          <w:szCs w:val="28"/>
          <w:lang w:val="en-US"/>
        </w:rPr>
        <w:t>induced</w:t>
      </w:r>
      <w:r w:rsidRPr="006B5A11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en-US"/>
        </w:rPr>
        <w:t>pancreatitis</w:t>
      </w:r>
      <w:r w:rsidRPr="006B5A11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en-US"/>
        </w:rPr>
        <w:t>in</w:t>
      </w:r>
      <w:r w:rsidRPr="006B5A11">
        <w:rPr>
          <w:sz w:val="28"/>
          <w:szCs w:val="28"/>
          <w:lang w:val="uk-UA"/>
        </w:rPr>
        <w:t xml:space="preserve"> </w:t>
      </w:r>
      <w:r w:rsidRPr="004D6C0F">
        <w:rPr>
          <w:sz w:val="28"/>
          <w:szCs w:val="28"/>
          <w:lang w:val="en-US"/>
        </w:rPr>
        <w:t>rats</w:t>
      </w:r>
      <w:r w:rsidRPr="006B5A11">
        <w:rPr>
          <w:sz w:val="28"/>
          <w:szCs w:val="28"/>
          <w:lang w:val="uk-UA"/>
        </w:rPr>
        <w:t xml:space="preserve">. </w:t>
      </w:r>
      <w:proofErr w:type="gramStart"/>
      <w:r w:rsidRPr="004D6C0F">
        <w:rPr>
          <w:sz w:val="28"/>
          <w:szCs w:val="28"/>
          <w:lang w:val="en-US"/>
        </w:rPr>
        <w:t>Pancreas</w:t>
      </w:r>
      <w:r w:rsidRPr="006B5A11">
        <w:rPr>
          <w:sz w:val="28"/>
          <w:szCs w:val="28"/>
          <w:lang w:val="uk-UA"/>
        </w:rPr>
        <w:t>.</w:t>
      </w:r>
      <w:proofErr w:type="gramEnd"/>
      <w:r w:rsidRPr="006B5A11">
        <w:rPr>
          <w:sz w:val="28"/>
          <w:szCs w:val="28"/>
          <w:lang w:val="uk-UA"/>
        </w:rPr>
        <w:t xml:space="preserve"> 2010;39(3):377-384</w:t>
      </w:r>
      <w:r w:rsidRPr="004D6C0F">
        <w:rPr>
          <w:sz w:val="28"/>
          <w:szCs w:val="28"/>
          <w:lang w:val="uk-UA"/>
        </w:rPr>
        <w:t>.</w:t>
      </w:r>
    </w:p>
    <w:p w:rsidR="006B5A11" w:rsidRPr="008D7F5A" w:rsidRDefault="006B5A11" w:rsidP="006B5A11">
      <w:pPr>
        <w:ind w:firstLine="708"/>
        <w:jc w:val="both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 xml:space="preserve">16. </w:t>
      </w:r>
      <w:proofErr w:type="spellStart"/>
      <w:r w:rsidRPr="004D6C0F">
        <w:rPr>
          <w:sz w:val="28"/>
          <w:szCs w:val="28"/>
          <w:lang w:val="uk-UA"/>
        </w:rPr>
        <w:t>Vladimirov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Yu.A</w:t>
      </w:r>
      <w:proofErr w:type="spellEnd"/>
      <w:r w:rsidRPr="004D6C0F">
        <w:rPr>
          <w:sz w:val="28"/>
          <w:szCs w:val="28"/>
          <w:lang w:val="uk-UA"/>
        </w:rPr>
        <w:t xml:space="preserve">. </w:t>
      </w:r>
      <w:proofErr w:type="spellStart"/>
      <w:r w:rsidRPr="004D6C0F">
        <w:rPr>
          <w:sz w:val="28"/>
          <w:szCs w:val="28"/>
          <w:lang w:val="uk-UA"/>
        </w:rPr>
        <w:t>Svobodnye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radikaly</w:t>
      </w:r>
      <w:proofErr w:type="spellEnd"/>
      <w:r w:rsidRPr="004D6C0F">
        <w:rPr>
          <w:sz w:val="28"/>
          <w:szCs w:val="28"/>
          <w:lang w:val="uk-UA"/>
        </w:rPr>
        <w:t xml:space="preserve"> v </w:t>
      </w:r>
      <w:proofErr w:type="spellStart"/>
      <w:r w:rsidRPr="004D6C0F">
        <w:rPr>
          <w:sz w:val="28"/>
          <w:szCs w:val="28"/>
          <w:lang w:val="uk-UA"/>
        </w:rPr>
        <w:t>biologicheskih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sistemah</w:t>
      </w:r>
      <w:proofErr w:type="spellEnd"/>
      <w:r w:rsidRPr="004D6C0F">
        <w:rPr>
          <w:sz w:val="28"/>
          <w:szCs w:val="28"/>
          <w:lang w:val="uk-UA"/>
        </w:rPr>
        <w:t>. So-</w:t>
      </w:r>
      <w:proofErr w:type="spellStart"/>
      <w:r w:rsidRPr="004D6C0F">
        <w:rPr>
          <w:sz w:val="28"/>
          <w:szCs w:val="28"/>
          <w:lang w:val="uk-UA"/>
        </w:rPr>
        <w:t>rosovskiy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obrazovatelnyy</w:t>
      </w:r>
      <w:proofErr w:type="spellEnd"/>
      <w:r w:rsidRPr="004D6C0F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  <w:lang w:val="uk-UA"/>
        </w:rPr>
        <w:t>zhurnal</w:t>
      </w:r>
      <w:proofErr w:type="spellEnd"/>
      <w:r w:rsidRPr="004D6C0F">
        <w:rPr>
          <w:sz w:val="28"/>
          <w:szCs w:val="28"/>
          <w:lang w:val="uk-UA"/>
        </w:rPr>
        <w:t>. 2000;6(12):13.</w:t>
      </w:r>
      <w:r w:rsidRPr="008D7F5A">
        <w:rPr>
          <w:sz w:val="28"/>
          <w:szCs w:val="28"/>
          <w:lang w:val="uk-UA"/>
        </w:rPr>
        <w:t xml:space="preserve"> [</w:t>
      </w:r>
      <w:proofErr w:type="spellStart"/>
      <w:r w:rsidRPr="004D6C0F">
        <w:rPr>
          <w:sz w:val="28"/>
          <w:szCs w:val="28"/>
        </w:rPr>
        <w:t>in</w:t>
      </w:r>
      <w:proofErr w:type="spellEnd"/>
      <w:r w:rsidRPr="008D7F5A">
        <w:rPr>
          <w:sz w:val="28"/>
          <w:szCs w:val="28"/>
          <w:lang w:val="uk-UA"/>
        </w:rPr>
        <w:t xml:space="preserve"> </w:t>
      </w:r>
      <w:proofErr w:type="spellStart"/>
      <w:r w:rsidRPr="004D6C0F">
        <w:rPr>
          <w:sz w:val="28"/>
          <w:szCs w:val="28"/>
        </w:rPr>
        <w:t>Russi</w:t>
      </w:r>
      <w:proofErr w:type="spellEnd"/>
      <w:r w:rsidRPr="008D7F5A">
        <w:rPr>
          <w:sz w:val="28"/>
          <w:szCs w:val="28"/>
          <w:lang w:val="uk-UA"/>
        </w:rPr>
        <w:t>а</w:t>
      </w:r>
      <w:r w:rsidRPr="004D6C0F">
        <w:rPr>
          <w:sz w:val="28"/>
          <w:szCs w:val="28"/>
        </w:rPr>
        <w:t>n</w:t>
      </w:r>
      <w:r w:rsidRPr="008D7F5A">
        <w:rPr>
          <w:sz w:val="28"/>
          <w:szCs w:val="28"/>
          <w:lang w:val="uk-UA"/>
        </w:rPr>
        <w:t>].</w:t>
      </w:r>
    </w:p>
    <w:p w:rsidR="006B5A11" w:rsidRPr="004D6C0F" w:rsidRDefault="006B5A11" w:rsidP="006B5A11">
      <w:pPr>
        <w:ind w:firstLine="708"/>
        <w:rPr>
          <w:sz w:val="28"/>
          <w:szCs w:val="28"/>
          <w:lang w:val="uk-UA"/>
        </w:rPr>
      </w:pPr>
    </w:p>
    <w:p w:rsidR="006B5A11" w:rsidRPr="004D6C0F" w:rsidRDefault="006B5A11" w:rsidP="006B5A11">
      <w:pPr>
        <w:ind w:firstLine="708"/>
        <w:rPr>
          <w:sz w:val="28"/>
          <w:szCs w:val="28"/>
          <w:lang w:val="uk-UA"/>
        </w:rPr>
      </w:pPr>
      <w:r w:rsidRPr="004D6C0F">
        <w:rPr>
          <w:sz w:val="28"/>
          <w:szCs w:val="28"/>
          <w:lang w:val="uk-UA"/>
        </w:rPr>
        <w:t>УДК [616.37-005.3:612.015.11:613.24]-092.9</w:t>
      </w:r>
    </w:p>
    <w:p w:rsidR="006B5A11" w:rsidRPr="004D6C0F" w:rsidRDefault="006B5A11" w:rsidP="006B5A11">
      <w:pPr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4D6C0F">
        <w:rPr>
          <w:rFonts w:ascii="Arial" w:hAnsi="Arial" w:cs="Arial"/>
          <w:b/>
          <w:sz w:val="28"/>
          <w:szCs w:val="28"/>
          <w:lang w:val="uk-UA"/>
        </w:rPr>
        <w:t>СТАН ОКИСЛЮВАЛЬНО-АНТИОКСИДАНТНОГО ГОМЕОСТА-ЗУ В ПІДШЛУНКОВІЙ ЗАЛОЗІ ТА КРОВІ У ЩУРЯТ, МАТЕРІ ЯКИХ ПРОТЯГОМ ВАГІТНОСТІ ОТРИМУВАЛИ НЕЗБАЛАНСОВАНЕ ХАР-ЧУВАННЯ З ДЕФІЦИТОМ ПОЖИВНИХ РЕЧОВИН</w:t>
      </w:r>
    </w:p>
    <w:p w:rsidR="006B5A11" w:rsidRPr="004D6C0F" w:rsidRDefault="006B5A11" w:rsidP="006B5A11">
      <w:pPr>
        <w:rPr>
          <w:b/>
          <w:sz w:val="28"/>
          <w:szCs w:val="28"/>
          <w:lang w:val="uk-UA"/>
        </w:rPr>
      </w:pPr>
      <w:r w:rsidRPr="004D6C0F">
        <w:rPr>
          <w:rFonts w:ascii="Arial" w:hAnsi="Arial" w:cs="Arial"/>
          <w:b/>
          <w:sz w:val="28"/>
          <w:szCs w:val="28"/>
          <w:lang w:val="uk-UA"/>
        </w:rPr>
        <w:t>О.В. Ніколаєва, В. А. Сіренко, О.О. Павлова</w:t>
      </w:r>
    </w:p>
    <w:p w:rsidR="006B5A11" w:rsidRPr="004D6C0F" w:rsidRDefault="006B5A11" w:rsidP="006B5A11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lang w:val="uk-UA"/>
        </w:rPr>
      </w:pPr>
      <w:r w:rsidRPr="004D6C0F">
        <w:rPr>
          <w:color w:val="000000"/>
        </w:rPr>
        <w:t xml:space="preserve">У </w:t>
      </w:r>
      <w:r w:rsidRPr="004D6C0F">
        <w:rPr>
          <w:color w:val="000000"/>
          <w:lang w:val="uk-UA"/>
        </w:rPr>
        <w:t xml:space="preserve">новонароджених щурят </w:t>
      </w:r>
      <w:r w:rsidRPr="004D6C0F">
        <w:rPr>
          <w:color w:val="000000"/>
        </w:rPr>
        <w:t>актив</w:t>
      </w:r>
      <w:proofErr w:type="spellStart"/>
      <w:r w:rsidRPr="004D6C0F">
        <w:rPr>
          <w:color w:val="000000"/>
          <w:lang w:val="uk-UA"/>
        </w:rPr>
        <w:t>ність</w:t>
      </w:r>
      <w:proofErr w:type="spellEnd"/>
      <w:r w:rsidRPr="004D6C0F">
        <w:rPr>
          <w:color w:val="000000"/>
        </w:rPr>
        <w:t xml:space="preserve"> </w:t>
      </w:r>
      <w:proofErr w:type="spellStart"/>
      <w:r w:rsidRPr="004D6C0F">
        <w:rPr>
          <w:color w:val="000000"/>
          <w:lang w:val="uk-UA"/>
        </w:rPr>
        <w:t>пероксидного</w:t>
      </w:r>
      <w:proofErr w:type="spellEnd"/>
      <w:r w:rsidRPr="004D6C0F">
        <w:rPr>
          <w:color w:val="000000"/>
          <w:lang w:val="uk-UA"/>
        </w:rPr>
        <w:t xml:space="preserve"> оки</w:t>
      </w:r>
      <w:r w:rsidRPr="004D6C0F">
        <w:rPr>
          <w:color w:val="000000"/>
          <w:lang w:val="uk-UA"/>
        </w:rPr>
        <w:t>с</w:t>
      </w:r>
      <w:r w:rsidRPr="004D6C0F">
        <w:rPr>
          <w:color w:val="000000"/>
          <w:lang w:val="uk-UA"/>
        </w:rPr>
        <w:t>лення лі</w:t>
      </w:r>
      <w:proofErr w:type="gramStart"/>
      <w:r w:rsidRPr="004D6C0F">
        <w:rPr>
          <w:color w:val="000000"/>
          <w:lang w:val="uk-UA"/>
        </w:rPr>
        <w:t>п</w:t>
      </w:r>
      <w:proofErr w:type="gramEnd"/>
      <w:r w:rsidRPr="004D6C0F">
        <w:rPr>
          <w:color w:val="000000"/>
          <w:lang w:val="uk-UA"/>
        </w:rPr>
        <w:t>ідів (</w:t>
      </w:r>
      <w:r w:rsidRPr="004D6C0F">
        <w:rPr>
          <w:color w:val="000000"/>
        </w:rPr>
        <w:t>ПОЛ</w:t>
      </w:r>
      <w:r w:rsidRPr="004D6C0F">
        <w:rPr>
          <w:color w:val="000000"/>
          <w:lang w:val="uk-UA"/>
        </w:rPr>
        <w:t>) підвищена, а антиоксидантної системи (</w:t>
      </w:r>
      <w:r w:rsidRPr="004D6C0F">
        <w:rPr>
          <w:color w:val="000000"/>
        </w:rPr>
        <w:t>АОС</w:t>
      </w:r>
      <w:r w:rsidRPr="004D6C0F">
        <w:rPr>
          <w:color w:val="000000"/>
          <w:lang w:val="uk-UA"/>
        </w:rPr>
        <w:t xml:space="preserve">) – </w:t>
      </w:r>
      <w:r w:rsidRPr="004D6C0F">
        <w:rPr>
          <w:color w:val="000000"/>
        </w:rPr>
        <w:t>з</w:t>
      </w:r>
      <w:proofErr w:type="spellStart"/>
      <w:r w:rsidRPr="004D6C0F">
        <w:rPr>
          <w:color w:val="000000"/>
          <w:lang w:val="uk-UA"/>
        </w:rPr>
        <w:t>меншена</w:t>
      </w:r>
      <w:proofErr w:type="spellEnd"/>
      <w:r w:rsidRPr="004D6C0F">
        <w:rPr>
          <w:color w:val="000000"/>
          <w:lang w:val="uk-UA"/>
        </w:rPr>
        <w:t>.</w:t>
      </w:r>
      <w:r w:rsidRPr="004D6C0F">
        <w:rPr>
          <w:color w:val="000000"/>
        </w:rPr>
        <w:t xml:space="preserve"> </w:t>
      </w:r>
      <w:r w:rsidRPr="004D6C0F">
        <w:rPr>
          <w:color w:val="000000"/>
          <w:lang w:val="uk-UA"/>
        </w:rPr>
        <w:t>У 1-місячних щурят виявлена активація ПОЛ і АОС з ознаками недостатності її ф</w:t>
      </w:r>
      <w:r w:rsidRPr="004D6C0F">
        <w:rPr>
          <w:color w:val="000000"/>
          <w:lang w:val="uk-UA"/>
        </w:rPr>
        <w:t>і</w:t>
      </w:r>
      <w:r w:rsidRPr="004D6C0F">
        <w:rPr>
          <w:color w:val="000000"/>
          <w:lang w:val="uk-UA"/>
        </w:rPr>
        <w:t xml:space="preserve">зіологічного резерву для призупинення процесів ПОЛ. У 2-місячних щурят активність ПОЛ без змін, активність АОС дещо підвищена. Дані свідчать про значущість порушень </w:t>
      </w:r>
      <w:proofErr w:type="spellStart"/>
      <w:r w:rsidRPr="004D6C0F">
        <w:rPr>
          <w:color w:val="000000"/>
          <w:lang w:val="uk-UA"/>
        </w:rPr>
        <w:t>Окс</w:t>
      </w:r>
      <w:r w:rsidRPr="004D6C0F">
        <w:rPr>
          <w:color w:val="000000"/>
          <w:lang w:val="uk-UA"/>
        </w:rPr>
        <w:t>и</w:t>
      </w:r>
      <w:r w:rsidRPr="004D6C0F">
        <w:rPr>
          <w:color w:val="000000"/>
          <w:lang w:val="uk-UA"/>
        </w:rPr>
        <w:t>дантно-антиосидантного</w:t>
      </w:r>
      <w:proofErr w:type="spellEnd"/>
      <w:r w:rsidRPr="004D6C0F">
        <w:rPr>
          <w:color w:val="000000"/>
          <w:lang w:val="uk-UA"/>
        </w:rPr>
        <w:t xml:space="preserve"> гомеостазу в патогенезі ушкодження ПЗ у щурів при д</w:t>
      </w:r>
      <w:r w:rsidRPr="004D6C0F">
        <w:rPr>
          <w:color w:val="000000"/>
          <w:lang w:val="uk-UA"/>
        </w:rPr>
        <w:t>е</w:t>
      </w:r>
      <w:r w:rsidRPr="004D6C0F">
        <w:rPr>
          <w:color w:val="000000"/>
          <w:lang w:val="uk-UA"/>
        </w:rPr>
        <w:t>фіциті поживних речовин в пренатальному пер</w:t>
      </w:r>
      <w:r w:rsidRPr="004D6C0F">
        <w:rPr>
          <w:color w:val="000000"/>
          <w:lang w:val="uk-UA"/>
        </w:rPr>
        <w:t>і</w:t>
      </w:r>
      <w:r w:rsidRPr="004D6C0F">
        <w:rPr>
          <w:color w:val="000000"/>
          <w:lang w:val="uk-UA"/>
        </w:rPr>
        <w:t>оді.</w:t>
      </w:r>
    </w:p>
    <w:p w:rsidR="006B5A11" w:rsidRPr="004D6C0F" w:rsidRDefault="006B5A11" w:rsidP="006B5A1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proofErr w:type="spellStart"/>
      <w:r w:rsidRPr="004D6C0F">
        <w:rPr>
          <w:b/>
          <w:color w:val="000000"/>
        </w:rPr>
        <w:lastRenderedPageBreak/>
        <w:t>Ключові</w:t>
      </w:r>
      <w:proofErr w:type="spellEnd"/>
      <w:r w:rsidRPr="004D6C0F">
        <w:rPr>
          <w:b/>
          <w:color w:val="000000"/>
        </w:rPr>
        <w:t xml:space="preserve"> слова:</w:t>
      </w:r>
      <w:r w:rsidRPr="004D6C0F">
        <w:rPr>
          <w:color w:val="000000"/>
        </w:rPr>
        <w:t xml:space="preserve"> </w:t>
      </w:r>
      <w:proofErr w:type="spellStart"/>
      <w:r w:rsidRPr="004D6C0F">
        <w:rPr>
          <w:color w:val="000000"/>
        </w:rPr>
        <w:t>окислювально-антиоксидантний</w:t>
      </w:r>
      <w:proofErr w:type="spellEnd"/>
      <w:r w:rsidRPr="004D6C0F">
        <w:rPr>
          <w:color w:val="000000"/>
        </w:rPr>
        <w:t xml:space="preserve"> гомеостаз, </w:t>
      </w:r>
      <w:proofErr w:type="spellStart"/>
      <w:r w:rsidRPr="004D6C0F">
        <w:rPr>
          <w:color w:val="000000"/>
        </w:rPr>
        <w:t>гіп</w:t>
      </w:r>
      <w:proofErr w:type="spellEnd"/>
      <w:r w:rsidRPr="004D6C0F">
        <w:rPr>
          <w:color w:val="000000"/>
          <w:lang w:val="uk-UA"/>
        </w:rPr>
        <w:t>о</w:t>
      </w:r>
      <w:proofErr w:type="spellStart"/>
      <w:r w:rsidRPr="004D6C0F">
        <w:rPr>
          <w:color w:val="000000"/>
        </w:rPr>
        <w:t>калорійна</w:t>
      </w:r>
      <w:proofErr w:type="spellEnd"/>
      <w:r w:rsidRPr="004D6C0F">
        <w:rPr>
          <w:color w:val="000000"/>
        </w:rPr>
        <w:t xml:space="preserve"> </w:t>
      </w:r>
      <w:proofErr w:type="spellStart"/>
      <w:r w:rsidRPr="004D6C0F">
        <w:rPr>
          <w:color w:val="000000"/>
        </w:rPr>
        <w:t>дієта</w:t>
      </w:r>
      <w:proofErr w:type="spellEnd"/>
      <w:r w:rsidRPr="004D6C0F">
        <w:rPr>
          <w:color w:val="000000"/>
        </w:rPr>
        <w:t xml:space="preserve">, </w:t>
      </w:r>
      <w:proofErr w:type="spellStart"/>
      <w:proofErr w:type="gramStart"/>
      <w:r w:rsidRPr="004D6C0F">
        <w:rPr>
          <w:color w:val="000000"/>
        </w:rPr>
        <w:t>п</w:t>
      </w:r>
      <w:proofErr w:type="gramEnd"/>
      <w:r w:rsidRPr="004D6C0F">
        <w:rPr>
          <w:color w:val="000000"/>
        </w:rPr>
        <w:t>ідшлункова</w:t>
      </w:r>
      <w:proofErr w:type="spellEnd"/>
      <w:r w:rsidRPr="004D6C0F">
        <w:rPr>
          <w:color w:val="000000"/>
        </w:rPr>
        <w:t xml:space="preserve"> </w:t>
      </w:r>
      <w:proofErr w:type="spellStart"/>
      <w:r w:rsidRPr="004D6C0F">
        <w:rPr>
          <w:color w:val="000000"/>
        </w:rPr>
        <w:t>залоза</w:t>
      </w:r>
      <w:proofErr w:type="spellEnd"/>
      <w:r w:rsidRPr="004D6C0F">
        <w:rPr>
          <w:color w:val="000000"/>
        </w:rPr>
        <w:t xml:space="preserve">, потомство </w:t>
      </w:r>
      <w:proofErr w:type="spellStart"/>
      <w:r w:rsidRPr="004D6C0F">
        <w:rPr>
          <w:color w:val="000000"/>
        </w:rPr>
        <w:t>щурів</w:t>
      </w:r>
      <w:proofErr w:type="spellEnd"/>
      <w:r w:rsidRPr="004D6C0F">
        <w:rPr>
          <w:color w:val="000000"/>
        </w:rPr>
        <w:t>.</w:t>
      </w:r>
    </w:p>
    <w:p w:rsidR="006B5A11" w:rsidRPr="004D6C0F" w:rsidRDefault="006B5A11" w:rsidP="006B5A11">
      <w:pPr>
        <w:rPr>
          <w:sz w:val="28"/>
          <w:szCs w:val="28"/>
          <w:lang w:val="uk-UA"/>
        </w:rPr>
      </w:pPr>
    </w:p>
    <w:p w:rsidR="006B5A11" w:rsidRPr="004D6C0F" w:rsidRDefault="006B5A11" w:rsidP="006B5A11">
      <w:pPr>
        <w:ind w:firstLine="708"/>
        <w:rPr>
          <w:sz w:val="28"/>
          <w:szCs w:val="28"/>
        </w:rPr>
      </w:pPr>
      <w:r w:rsidRPr="004D6C0F">
        <w:rPr>
          <w:sz w:val="28"/>
          <w:szCs w:val="28"/>
        </w:rPr>
        <w:t>УДК [616.37-005.3:612.015.11:613.24]-092.9</w:t>
      </w:r>
    </w:p>
    <w:p w:rsidR="006B5A11" w:rsidRPr="004D6C0F" w:rsidRDefault="006B5A11" w:rsidP="006B5A11">
      <w:pPr>
        <w:ind w:firstLine="708"/>
        <w:rPr>
          <w:rFonts w:ascii="Arial" w:hAnsi="Arial" w:cs="Arial"/>
          <w:b/>
          <w:sz w:val="28"/>
          <w:szCs w:val="28"/>
          <w:lang w:val="uk-UA"/>
        </w:rPr>
      </w:pP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СОСТОЯНИЕ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ОКИСЛИТЕЛЬНО-АНТИОКСИДАНТНОГО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ГОМЕОСТАЗ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А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В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ПОДЖЕЛУДОЧНОЙ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ЖЕЛЕЗЕ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И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КРОВИ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КРЫС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ЯТ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МАТЕРИ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КОТОРЫХ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В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ТЕЧЕНИЕ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БЕРЕМЕННОСТИ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ПОЛУЧАЛИ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НЕСБАЛАНСИРОВАННОЕ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ПИТАНИЕ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С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ДЕФИЦИТОМ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ПИТАТЕЛЬНЫХ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4D6C0F">
        <w:rPr>
          <w:rFonts w:ascii="Arial" w:hAnsi="Arial" w:cs="Arial"/>
          <w:b/>
          <w:sz w:val="28"/>
          <w:szCs w:val="28"/>
          <w:shd w:val="clear" w:color="auto" w:fill="FFFFFF"/>
        </w:rPr>
        <w:t>ВЕЩЕСТВ</w:t>
      </w:r>
    </w:p>
    <w:p w:rsidR="006B5A11" w:rsidRPr="004D6C0F" w:rsidRDefault="006B5A11" w:rsidP="006B5A11">
      <w:pPr>
        <w:rPr>
          <w:rFonts w:ascii="Arial" w:hAnsi="Arial" w:cs="Arial"/>
          <w:b/>
          <w:sz w:val="28"/>
          <w:szCs w:val="28"/>
        </w:rPr>
      </w:pPr>
      <w:r w:rsidRPr="004D6C0F">
        <w:rPr>
          <w:rFonts w:ascii="Arial" w:hAnsi="Arial" w:cs="Arial"/>
          <w:b/>
          <w:sz w:val="28"/>
          <w:szCs w:val="28"/>
        </w:rPr>
        <w:t>О.В. Николаева, В.А. Сиренко, Е.А. Павлова</w:t>
      </w:r>
    </w:p>
    <w:p w:rsidR="006B5A11" w:rsidRPr="004D6C0F" w:rsidRDefault="006B5A11" w:rsidP="006B5A11">
      <w:pPr>
        <w:jc w:val="both"/>
        <w:rPr>
          <w:sz w:val="28"/>
          <w:szCs w:val="28"/>
        </w:rPr>
      </w:pPr>
      <w:r w:rsidRPr="004D6C0F">
        <w:rPr>
          <w:sz w:val="28"/>
          <w:szCs w:val="28"/>
        </w:rPr>
        <w:tab/>
        <w:t>У новорождённых крысят активность перекисного окисления липидов (ПОЛ) повышена, а антиоксидантной системы (АОС) – снижена. У 1-месячных крысят выявлена активация ПОЛ и АОС с признаками недостаточности её физи</w:t>
      </w:r>
      <w:r w:rsidRPr="004D6C0F">
        <w:rPr>
          <w:sz w:val="28"/>
          <w:szCs w:val="28"/>
        </w:rPr>
        <w:t>о</w:t>
      </w:r>
      <w:r w:rsidRPr="004D6C0F">
        <w:rPr>
          <w:sz w:val="28"/>
          <w:szCs w:val="28"/>
        </w:rPr>
        <w:t>логического резерва для приостановки процессов ПОЛ. У 2-месячных крысят а</w:t>
      </w:r>
      <w:r w:rsidRPr="004D6C0F">
        <w:rPr>
          <w:sz w:val="28"/>
          <w:szCs w:val="28"/>
        </w:rPr>
        <w:t>к</w:t>
      </w:r>
      <w:r w:rsidRPr="004D6C0F">
        <w:rPr>
          <w:sz w:val="28"/>
          <w:szCs w:val="28"/>
        </w:rPr>
        <w:t xml:space="preserve">тивность ПОЛ </w:t>
      </w:r>
      <w:r>
        <w:rPr>
          <w:sz w:val="28"/>
          <w:szCs w:val="28"/>
        </w:rPr>
        <w:t>не изменена, активность АОС нес</w:t>
      </w:r>
      <w:r w:rsidRPr="004D6C0F">
        <w:rPr>
          <w:sz w:val="28"/>
          <w:szCs w:val="28"/>
        </w:rPr>
        <w:t>колько повышена. Данные свид</w:t>
      </w:r>
      <w:r w:rsidRPr="004D6C0F">
        <w:rPr>
          <w:sz w:val="28"/>
          <w:szCs w:val="28"/>
        </w:rPr>
        <w:t>е</w:t>
      </w:r>
      <w:r w:rsidRPr="004D6C0F">
        <w:rPr>
          <w:sz w:val="28"/>
          <w:szCs w:val="28"/>
        </w:rPr>
        <w:t>тельст</w:t>
      </w:r>
      <w:r>
        <w:rPr>
          <w:sz w:val="28"/>
          <w:szCs w:val="28"/>
        </w:rPr>
        <w:t xml:space="preserve">вуют о значимости нарушений </w:t>
      </w:r>
      <w:proofErr w:type="spellStart"/>
      <w:r>
        <w:rPr>
          <w:sz w:val="28"/>
          <w:szCs w:val="28"/>
        </w:rPr>
        <w:t>оки</w:t>
      </w:r>
      <w:r w:rsidRPr="004D6C0F">
        <w:rPr>
          <w:sz w:val="28"/>
          <w:szCs w:val="28"/>
        </w:rPr>
        <w:t>слительно</w:t>
      </w:r>
      <w:proofErr w:type="spellEnd"/>
      <w:r w:rsidRPr="004D6C0F">
        <w:rPr>
          <w:sz w:val="28"/>
          <w:szCs w:val="28"/>
        </w:rPr>
        <w:t>-антиоксидантного гоме</w:t>
      </w:r>
      <w:r w:rsidRPr="004D6C0F">
        <w:rPr>
          <w:sz w:val="28"/>
          <w:szCs w:val="28"/>
        </w:rPr>
        <w:t>о</w:t>
      </w:r>
      <w:r w:rsidRPr="004D6C0F">
        <w:rPr>
          <w:sz w:val="28"/>
          <w:szCs w:val="28"/>
        </w:rPr>
        <w:t xml:space="preserve">стаза в патогенезе повреждения ПЖ у крыс при дефиците питательных веществ в </w:t>
      </w:r>
      <w:proofErr w:type="spellStart"/>
      <w:r w:rsidRPr="004D6C0F">
        <w:rPr>
          <w:sz w:val="28"/>
          <w:szCs w:val="28"/>
        </w:rPr>
        <w:t>пренатальном</w:t>
      </w:r>
      <w:proofErr w:type="spellEnd"/>
      <w:r w:rsidRPr="004D6C0F">
        <w:rPr>
          <w:sz w:val="28"/>
          <w:szCs w:val="28"/>
        </w:rPr>
        <w:t xml:space="preserve"> пери</w:t>
      </w:r>
      <w:r w:rsidRPr="004D6C0F">
        <w:rPr>
          <w:sz w:val="28"/>
          <w:szCs w:val="28"/>
        </w:rPr>
        <w:t>о</w:t>
      </w:r>
      <w:r w:rsidRPr="004D6C0F">
        <w:rPr>
          <w:sz w:val="28"/>
          <w:szCs w:val="28"/>
        </w:rPr>
        <w:t>де.</w:t>
      </w:r>
    </w:p>
    <w:p w:rsidR="006B5A11" w:rsidRPr="00D61FB9" w:rsidRDefault="006B5A11" w:rsidP="006B5A11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D61FB9">
        <w:rPr>
          <w:b/>
          <w:color w:val="000000"/>
        </w:rPr>
        <w:t>Ключевые слова</w:t>
      </w:r>
      <w:r w:rsidRPr="00D61FB9">
        <w:rPr>
          <w:color w:val="000000"/>
        </w:rPr>
        <w:t xml:space="preserve">: </w:t>
      </w:r>
      <w:proofErr w:type="spellStart"/>
      <w:r w:rsidRPr="00D61FB9">
        <w:t>окислительно</w:t>
      </w:r>
      <w:proofErr w:type="spellEnd"/>
      <w:r w:rsidRPr="00D61FB9">
        <w:t xml:space="preserve">-антиоксидантный гомеостаз, </w:t>
      </w:r>
      <w:proofErr w:type="spellStart"/>
      <w:r w:rsidRPr="00D61FB9">
        <w:t>гипокалори</w:t>
      </w:r>
      <w:r w:rsidRPr="00D61FB9">
        <w:t>й</w:t>
      </w:r>
      <w:r w:rsidRPr="00D61FB9">
        <w:t>ная</w:t>
      </w:r>
      <w:proofErr w:type="spellEnd"/>
      <w:r w:rsidRPr="00D61FB9">
        <w:t xml:space="preserve"> диета, поджелудочная железа, потомство крыс.</w:t>
      </w:r>
    </w:p>
    <w:p w:rsidR="006B5A11" w:rsidRDefault="006B5A11" w:rsidP="006B5A11">
      <w:pPr>
        <w:jc w:val="center"/>
        <w:rPr>
          <w:b/>
          <w:lang w:val="uk-UA"/>
        </w:rPr>
      </w:pPr>
    </w:p>
    <w:p w:rsidR="006B5A11" w:rsidRDefault="006B5A11" w:rsidP="006B5A11">
      <w:pPr>
        <w:jc w:val="both"/>
        <w:rPr>
          <w:lang w:val="uk-UA"/>
        </w:rPr>
      </w:pPr>
    </w:p>
    <w:p w:rsidR="006B5A11" w:rsidRPr="008D7F5A" w:rsidRDefault="006B5A11" w:rsidP="006B5A11">
      <w:pPr>
        <w:jc w:val="both"/>
        <w:rPr>
          <w:lang w:val="en-US"/>
        </w:rPr>
      </w:pPr>
      <w:proofErr w:type="gramStart"/>
      <w:r w:rsidRPr="00A97DBE">
        <w:rPr>
          <w:lang w:val="en-US"/>
        </w:rPr>
        <w:t>UDC</w:t>
      </w:r>
      <w:r>
        <w:rPr>
          <w:lang w:val="uk-UA"/>
        </w:rPr>
        <w:t xml:space="preserve"> </w:t>
      </w:r>
      <w:r w:rsidRPr="008D7F5A">
        <w:rPr>
          <w:lang w:val="en-US"/>
        </w:rPr>
        <w:t xml:space="preserve"> [</w:t>
      </w:r>
      <w:proofErr w:type="gramEnd"/>
      <w:r w:rsidRPr="008D7F5A">
        <w:rPr>
          <w:lang w:val="en-US"/>
        </w:rPr>
        <w:t>616.37-005.3:612.015.11:613.24]-092.9</w:t>
      </w:r>
    </w:p>
    <w:p w:rsidR="006B5A11" w:rsidRPr="006D0D1E" w:rsidRDefault="006B5A11" w:rsidP="006B5A11">
      <w:pPr>
        <w:rPr>
          <w:rFonts w:ascii="Arial" w:hAnsi="Arial" w:cs="Arial"/>
          <w:b/>
          <w:lang w:val="en-US"/>
        </w:rPr>
      </w:pPr>
      <w:r w:rsidRPr="006D0D1E">
        <w:rPr>
          <w:rFonts w:ascii="Arial" w:hAnsi="Arial" w:cs="Arial"/>
          <w:b/>
          <w:lang w:val="en-US"/>
        </w:rPr>
        <w:t xml:space="preserve">CONDITION OF OXIDATIVE AND ANTIOXIDATIVEHOMEOSTASIS IN THE PANCREAS AND THE BLOOD OF THE INFANT RATS </w:t>
      </w:r>
      <w:proofErr w:type="gramStart"/>
      <w:r w:rsidRPr="006D0D1E">
        <w:rPr>
          <w:rFonts w:ascii="Arial" w:hAnsi="Arial" w:cs="Arial"/>
          <w:b/>
          <w:lang w:val="en-US"/>
        </w:rPr>
        <w:t>WHOSE</w:t>
      </w:r>
      <w:proofErr w:type="gramEnd"/>
      <w:r w:rsidRPr="006D0D1E">
        <w:rPr>
          <w:rFonts w:ascii="Arial" w:hAnsi="Arial" w:cs="Arial"/>
          <w:b/>
          <w:lang w:val="en-US"/>
        </w:rPr>
        <w:t xml:space="preserve"> MOTHERS RECEIVED UNBALANCED NUTRITION WITH THE DEFICIENCY OF NUTRIENTS DURING THEIR PREGNANCY </w:t>
      </w:r>
    </w:p>
    <w:p w:rsidR="006B5A11" w:rsidRPr="00505259" w:rsidRDefault="006B5A11" w:rsidP="006B5A11">
      <w:pPr>
        <w:rPr>
          <w:rFonts w:ascii="Arial" w:hAnsi="Arial" w:cs="Arial"/>
          <w:b/>
          <w:lang w:val="en-US"/>
        </w:rPr>
      </w:pPr>
      <w:r w:rsidRPr="00505259">
        <w:rPr>
          <w:rFonts w:ascii="Arial" w:hAnsi="Arial" w:cs="Arial"/>
          <w:b/>
          <w:lang w:val="en-US"/>
        </w:rPr>
        <w:t xml:space="preserve">O.V. </w:t>
      </w:r>
      <w:proofErr w:type="spellStart"/>
      <w:r w:rsidRPr="00505259">
        <w:rPr>
          <w:rFonts w:ascii="Arial" w:hAnsi="Arial" w:cs="Arial"/>
          <w:b/>
          <w:lang w:val="en-US"/>
        </w:rPr>
        <w:t>Nikolayeva</w:t>
      </w:r>
      <w:proofErr w:type="spellEnd"/>
      <w:r w:rsidRPr="00505259">
        <w:rPr>
          <w:rFonts w:ascii="Arial" w:hAnsi="Arial" w:cs="Arial"/>
          <w:b/>
          <w:lang w:val="en-US"/>
        </w:rPr>
        <w:t xml:space="preserve">, V.A. </w:t>
      </w:r>
      <w:proofErr w:type="spellStart"/>
      <w:r w:rsidRPr="00505259">
        <w:rPr>
          <w:rFonts w:ascii="Arial" w:hAnsi="Arial" w:cs="Arial"/>
          <w:b/>
          <w:lang w:val="en-US"/>
        </w:rPr>
        <w:t>Sirenko</w:t>
      </w:r>
      <w:proofErr w:type="spellEnd"/>
      <w:r w:rsidRPr="00505259">
        <w:rPr>
          <w:rFonts w:ascii="Arial" w:hAnsi="Arial" w:cs="Arial"/>
          <w:b/>
          <w:lang w:val="en-US"/>
        </w:rPr>
        <w:t xml:space="preserve">, E.A. </w:t>
      </w:r>
      <w:proofErr w:type="spellStart"/>
      <w:r w:rsidRPr="00505259">
        <w:rPr>
          <w:rFonts w:ascii="Arial" w:hAnsi="Arial" w:cs="Arial"/>
          <w:b/>
          <w:lang w:val="en-US"/>
        </w:rPr>
        <w:t>Pavlova</w:t>
      </w:r>
      <w:proofErr w:type="spellEnd"/>
    </w:p>
    <w:p w:rsidR="006B5A11" w:rsidRPr="00A97DBE" w:rsidRDefault="006B5A11" w:rsidP="006B5A11">
      <w:pPr>
        <w:ind w:firstLine="708"/>
        <w:jc w:val="both"/>
        <w:rPr>
          <w:lang w:val="en-US"/>
        </w:rPr>
      </w:pPr>
      <w:r w:rsidRPr="00A97DBE">
        <w:rPr>
          <w:lang w:val="en-US"/>
        </w:rPr>
        <w:t xml:space="preserve">Among current problems of modern medicine </w:t>
      </w:r>
      <w:r>
        <w:rPr>
          <w:lang w:val="en-US"/>
        </w:rPr>
        <w:t xml:space="preserve">the </w:t>
      </w:r>
      <w:proofErr w:type="spellStart"/>
      <w:r w:rsidRPr="00A97DBE">
        <w:rPr>
          <w:lang w:val="en-US"/>
        </w:rPr>
        <w:t>pancreasdiseases</w:t>
      </w:r>
      <w:proofErr w:type="spellEnd"/>
      <w:r w:rsidRPr="00A97DBE">
        <w:rPr>
          <w:lang w:val="en-US"/>
        </w:rPr>
        <w:t xml:space="preserve"> have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essential specific gravity. The main attention of researchers is concentrated on studying of different aspects of acute and chronic pancreatitis. However there are insufficiently studied </w:t>
      </w:r>
      <w:r>
        <w:rPr>
          <w:lang w:val="en-US"/>
        </w:rPr>
        <w:t>questions</w:t>
      </w:r>
      <w:r w:rsidRPr="00A97DBE">
        <w:rPr>
          <w:lang w:val="en-US"/>
        </w:rPr>
        <w:t xml:space="preserve"> concerning </w:t>
      </w:r>
      <w:r>
        <w:rPr>
          <w:lang w:val="en-US"/>
        </w:rPr>
        <w:t>the</w:t>
      </w:r>
      <w:r w:rsidRPr="00A97DBE">
        <w:rPr>
          <w:lang w:val="en-US"/>
        </w:rPr>
        <w:t xml:space="preserve"> functional co</w:t>
      </w:r>
      <w:r w:rsidRPr="00A97DBE">
        <w:rPr>
          <w:lang w:val="en-US"/>
        </w:rPr>
        <w:t>n</w:t>
      </w:r>
      <w:r w:rsidRPr="00A97DBE">
        <w:rPr>
          <w:lang w:val="en-US"/>
        </w:rPr>
        <w:t xml:space="preserve">dition and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mechanisms of lesion of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pancreasin</w:t>
      </w:r>
      <w:proofErr w:type="spellEnd"/>
      <w:r w:rsidRPr="00A97DBE">
        <w:rPr>
          <w:lang w:val="en-US"/>
        </w:rPr>
        <w:t xml:space="preserve"> children whose fetal development </w:t>
      </w:r>
      <w:r>
        <w:rPr>
          <w:lang w:val="en-US"/>
        </w:rPr>
        <w:t xml:space="preserve">took </w:t>
      </w:r>
      <w:proofErr w:type="spellStart"/>
      <w:r>
        <w:rPr>
          <w:lang w:val="en-US"/>
        </w:rPr>
        <w:t>placeu</w:t>
      </w:r>
      <w:r>
        <w:rPr>
          <w:lang w:val="en-US"/>
        </w:rPr>
        <w:t>n</w:t>
      </w:r>
      <w:r>
        <w:rPr>
          <w:lang w:val="en-US"/>
        </w:rPr>
        <w:t>der</w:t>
      </w:r>
      <w:proofErr w:type="spellEnd"/>
      <w:r w:rsidRPr="00A97DBE">
        <w:rPr>
          <w:lang w:val="en-US"/>
        </w:rPr>
        <w:t xml:space="preserve"> the conditions of action of adverse factors of the external environment on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mother during </w:t>
      </w:r>
      <w:r>
        <w:rPr>
          <w:lang w:val="en-US"/>
        </w:rPr>
        <w:t xml:space="preserve">her </w:t>
      </w:r>
      <w:r w:rsidRPr="00A97DBE">
        <w:rPr>
          <w:lang w:val="en-US"/>
        </w:rPr>
        <w:t xml:space="preserve">pregnancy. One of such factors is an unbalanced </w:t>
      </w:r>
      <w:r>
        <w:rPr>
          <w:lang w:val="en-US"/>
        </w:rPr>
        <w:t>nutrition</w:t>
      </w:r>
      <w:r w:rsidRPr="00A97DBE">
        <w:rPr>
          <w:lang w:val="en-US"/>
        </w:rPr>
        <w:t xml:space="preserve"> with</w:t>
      </w:r>
      <w:r>
        <w:rPr>
          <w:lang w:val="en-US"/>
        </w:rPr>
        <w:t xml:space="preserve"> the</w:t>
      </w:r>
      <w:r w:rsidRPr="00A97DBE">
        <w:rPr>
          <w:lang w:val="en-US"/>
        </w:rPr>
        <w:t xml:space="preserve"> deficiency of protein and other n</w:t>
      </w:r>
      <w:r w:rsidRPr="00A97DBE">
        <w:rPr>
          <w:lang w:val="en-US"/>
        </w:rPr>
        <w:t>u</w:t>
      </w:r>
      <w:r w:rsidRPr="00A97DBE">
        <w:rPr>
          <w:lang w:val="en-US"/>
        </w:rPr>
        <w:t xml:space="preserve">trients. Among </w:t>
      </w:r>
      <w:r>
        <w:rPr>
          <w:lang w:val="en-US"/>
        </w:rPr>
        <w:t xml:space="preserve">the lesion </w:t>
      </w:r>
      <w:r w:rsidRPr="00A97DBE">
        <w:rPr>
          <w:lang w:val="en-US"/>
        </w:rPr>
        <w:t xml:space="preserve">mechanisms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pancreac</w:t>
      </w:r>
      <w:r w:rsidRPr="00A97DBE">
        <w:rPr>
          <w:lang w:val="en-US"/>
        </w:rPr>
        <w:t>it</w:t>
      </w:r>
      <w:r>
        <w:rPr>
          <w:lang w:val="en-US"/>
        </w:rPr>
        <w:t>is</w:t>
      </w:r>
      <w:proofErr w:type="spellEnd"/>
      <w:r w:rsidRPr="00A97DBE">
        <w:rPr>
          <w:lang w:val="en-US"/>
        </w:rPr>
        <w:t xml:space="preserve"> at various pathology of </w:t>
      </w:r>
      <w:r>
        <w:rPr>
          <w:lang w:val="en-US"/>
        </w:rPr>
        <w:t>the pancreas</w:t>
      </w:r>
      <w:r w:rsidRPr="00A97DBE">
        <w:rPr>
          <w:lang w:val="en-US"/>
        </w:rPr>
        <w:t xml:space="preserve"> an oxidative stress owing to </w:t>
      </w:r>
      <w:r>
        <w:rPr>
          <w:lang w:val="en-US"/>
        </w:rPr>
        <w:t>the disorder</w:t>
      </w:r>
      <w:r w:rsidRPr="00A97DBE">
        <w:rPr>
          <w:lang w:val="en-US"/>
        </w:rPr>
        <w:t xml:space="preserve"> of the oxid</w:t>
      </w:r>
      <w:r>
        <w:rPr>
          <w:lang w:val="en-US"/>
        </w:rPr>
        <w:t>ative and</w:t>
      </w:r>
      <w:r w:rsidRPr="00A97DBE">
        <w:rPr>
          <w:lang w:val="en-US"/>
        </w:rPr>
        <w:t xml:space="preserve"> </w:t>
      </w:r>
      <w:proofErr w:type="spellStart"/>
      <w:r w:rsidRPr="00A97DBE">
        <w:rPr>
          <w:lang w:val="en-US"/>
        </w:rPr>
        <w:t>antio</w:t>
      </w:r>
      <w:r>
        <w:rPr>
          <w:lang w:val="en-US"/>
        </w:rPr>
        <w:t>xi</w:t>
      </w:r>
      <w:r w:rsidRPr="00A97DBE">
        <w:rPr>
          <w:lang w:val="en-US"/>
        </w:rPr>
        <w:t>dat</w:t>
      </w:r>
      <w:r>
        <w:rPr>
          <w:lang w:val="en-US"/>
        </w:rPr>
        <w:t>ive</w:t>
      </w:r>
      <w:proofErr w:type="spellEnd"/>
      <w:r w:rsidRPr="00A97DBE">
        <w:rPr>
          <w:lang w:val="en-US"/>
        </w:rPr>
        <w:t xml:space="preserve"> homeostasis</w:t>
      </w:r>
      <w:r>
        <w:rPr>
          <w:lang w:val="en-US"/>
        </w:rPr>
        <w:t xml:space="preserve"> (OAH</w:t>
      </w:r>
      <w:proofErr w:type="gramStart"/>
      <w:r>
        <w:rPr>
          <w:lang w:val="en-US"/>
        </w:rPr>
        <w:t>)is</w:t>
      </w:r>
      <w:proofErr w:type="gramEnd"/>
      <w:r>
        <w:rPr>
          <w:lang w:val="en-US"/>
        </w:rPr>
        <w:t xml:space="preserve"> essential</w:t>
      </w:r>
      <w:r w:rsidRPr="00A97DBE">
        <w:rPr>
          <w:lang w:val="en-US"/>
        </w:rPr>
        <w:t>. Howe</w:t>
      </w:r>
      <w:r w:rsidRPr="00A97DBE">
        <w:rPr>
          <w:lang w:val="en-US"/>
        </w:rPr>
        <w:t>v</w:t>
      </w:r>
      <w:r w:rsidRPr="00A97DBE">
        <w:rPr>
          <w:lang w:val="en-US"/>
        </w:rPr>
        <w:t xml:space="preserve">er its role in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pathogenesis of </w:t>
      </w:r>
      <w:r>
        <w:rPr>
          <w:lang w:val="en-US"/>
        </w:rPr>
        <w:t>lesion</w:t>
      </w:r>
      <w:r w:rsidRPr="00A97DBE">
        <w:rPr>
          <w:lang w:val="en-US"/>
        </w:rPr>
        <w:t xml:space="preserve"> of </w:t>
      </w:r>
      <w:r>
        <w:rPr>
          <w:lang w:val="en-US"/>
        </w:rPr>
        <w:t xml:space="preserve">the pancreas </w:t>
      </w:r>
      <w:r w:rsidRPr="00A97DBE">
        <w:rPr>
          <w:lang w:val="en-US"/>
        </w:rPr>
        <w:t xml:space="preserve">at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action of negative exogenous factors on </w:t>
      </w:r>
      <w:r>
        <w:rPr>
          <w:lang w:val="en-US"/>
        </w:rPr>
        <w:t xml:space="preserve">the </w:t>
      </w:r>
      <w:r w:rsidRPr="00A97DBE">
        <w:rPr>
          <w:lang w:val="en-US"/>
        </w:rPr>
        <w:t>mother</w:t>
      </w:r>
      <w:r>
        <w:rPr>
          <w:lang w:val="en-US"/>
        </w:rPr>
        <w:t>-</w:t>
      </w:r>
      <w:r w:rsidRPr="00A97DBE">
        <w:rPr>
          <w:lang w:val="en-US"/>
        </w:rPr>
        <w:t xml:space="preserve">fetus system is studied insufficiently. </w:t>
      </w:r>
    </w:p>
    <w:p w:rsidR="006B5A11" w:rsidRPr="00A97DBE" w:rsidRDefault="006B5A11" w:rsidP="006B5A11">
      <w:pPr>
        <w:ind w:firstLine="708"/>
        <w:jc w:val="both"/>
        <w:rPr>
          <w:lang w:val="en-US"/>
        </w:rPr>
      </w:pPr>
      <w:r>
        <w:rPr>
          <w:i/>
          <w:lang w:val="en-US"/>
        </w:rPr>
        <w:t>The</w:t>
      </w:r>
      <w:r w:rsidRPr="002C6618">
        <w:rPr>
          <w:i/>
          <w:lang w:val="en-US"/>
        </w:rPr>
        <w:t xml:space="preserve"> objective</w:t>
      </w:r>
      <w:r>
        <w:rPr>
          <w:i/>
          <w:lang w:val="en-US"/>
        </w:rPr>
        <w:t xml:space="preserve"> of the </w:t>
      </w:r>
      <w:proofErr w:type="spellStart"/>
      <w:r>
        <w:rPr>
          <w:i/>
          <w:lang w:val="en-US"/>
        </w:rPr>
        <w:t>study</w:t>
      </w:r>
      <w:r>
        <w:rPr>
          <w:lang w:val="en-US"/>
        </w:rPr>
        <w:t>is</w:t>
      </w:r>
      <w:proofErr w:type="spellEnd"/>
      <w:r>
        <w:rPr>
          <w:lang w:val="en-US"/>
        </w:rPr>
        <w:t xml:space="preserve"> to </w:t>
      </w:r>
      <w:r w:rsidRPr="00A97DBE">
        <w:rPr>
          <w:lang w:val="en-US"/>
        </w:rPr>
        <w:t xml:space="preserve">study </w:t>
      </w:r>
      <w:proofErr w:type="spellStart"/>
      <w:r>
        <w:rPr>
          <w:lang w:val="en-US"/>
        </w:rPr>
        <w:t>thepeculiarities</w:t>
      </w:r>
      <w:proofErr w:type="spellEnd"/>
      <w:r w:rsidRPr="00A97DBE">
        <w:rPr>
          <w:lang w:val="en-US"/>
        </w:rPr>
        <w:t xml:space="preserve"> of the oxid</w:t>
      </w:r>
      <w:r>
        <w:rPr>
          <w:lang w:val="en-US"/>
        </w:rPr>
        <w:t>ative and</w:t>
      </w:r>
      <w:r w:rsidRPr="00A97DBE">
        <w:rPr>
          <w:lang w:val="en-US"/>
        </w:rPr>
        <w:t xml:space="preserve"> </w:t>
      </w:r>
      <w:proofErr w:type="spellStart"/>
      <w:r w:rsidRPr="00A97DBE">
        <w:rPr>
          <w:lang w:val="en-US"/>
        </w:rPr>
        <w:t>antio</w:t>
      </w:r>
      <w:r>
        <w:rPr>
          <w:lang w:val="en-US"/>
        </w:rPr>
        <w:t>xi</w:t>
      </w:r>
      <w:r w:rsidRPr="00A97DBE">
        <w:rPr>
          <w:lang w:val="en-US"/>
        </w:rPr>
        <w:t>dat</w:t>
      </w:r>
      <w:r>
        <w:rPr>
          <w:lang w:val="en-US"/>
        </w:rPr>
        <w:t>ive</w:t>
      </w:r>
      <w:proofErr w:type="spellEnd"/>
      <w:r w:rsidRPr="00A97DBE">
        <w:rPr>
          <w:lang w:val="en-US"/>
        </w:rPr>
        <w:t xml:space="preserve"> home</w:t>
      </w:r>
      <w:r w:rsidRPr="00A97DBE">
        <w:rPr>
          <w:lang w:val="en-US"/>
        </w:rPr>
        <w:t>o</w:t>
      </w:r>
      <w:r w:rsidRPr="00A97DBE">
        <w:rPr>
          <w:lang w:val="en-US"/>
        </w:rPr>
        <w:t xml:space="preserve">stasis in </w:t>
      </w:r>
      <w:r>
        <w:rPr>
          <w:lang w:val="en-US"/>
        </w:rPr>
        <w:t>the pancreas</w:t>
      </w:r>
      <w:r w:rsidRPr="00A97DBE">
        <w:rPr>
          <w:lang w:val="en-US"/>
        </w:rPr>
        <w:t xml:space="preserve"> and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blood serum of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posterity of rat mothers who received unbalanced </w:t>
      </w:r>
      <w:r>
        <w:rPr>
          <w:lang w:val="en-US"/>
        </w:rPr>
        <w:t>nutrition</w:t>
      </w:r>
      <w:r w:rsidRPr="00A97DBE">
        <w:rPr>
          <w:lang w:val="en-US"/>
        </w:rPr>
        <w:t xml:space="preserve"> with</w:t>
      </w:r>
      <w:r>
        <w:rPr>
          <w:lang w:val="en-US"/>
        </w:rPr>
        <w:t xml:space="preserve"> the</w:t>
      </w:r>
      <w:r w:rsidRPr="00A97DBE">
        <w:rPr>
          <w:lang w:val="en-US"/>
        </w:rPr>
        <w:t xml:space="preserve"> deficiency of </w:t>
      </w:r>
      <w:proofErr w:type="spellStart"/>
      <w:r w:rsidRPr="00A97DBE">
        <w:rPr>
          <w:lang w:val="en-US"/>
        </w:rPr>
        <w:t>nutrient</w:t>
      </w:r>
      <w:r w:rsidRPr="00A97DBE">
        <w:rPr>
          <w:lang w:val="en-US"/>
        </w:rPr>
        <w:t>s</w:t>
      </w:r>
      <w:r w:rsidRPr="00A97DBE">
        <w:rPr>
          <w:lang w:val="en-US"/>
        </w:rPr>
        <w:t>during</w:t>
      </w:r>
      <w:proofErr w:type="spellEnd"/>
      <w:r w:rsidRPr="00A97DBE">
        <w:rPr>
          <w:lang w:val="en-US"/>
        </w:rPr>
        <w:t xml:space="preserve"> </w:t>
      </w:r>
      <w:r>
        <w:rPr>
          <w:lang w:val="en-US"/>
        </w:rPr>
        <w:t xml:space="preserve">their </w:t>
      </w:r>
      <w:r w:rsidRPr="00A97DBE">
        <w:rPr>
          <w:lang w:val="en-US"/>
        </w:rPr>
        <w:t>pregnancy.</w:t>
      </w:r>
    </w:p>
    <w:p w:rsidR="006B5A11" w:rsidRPr="00A97DBE" w:rsidRDefault="006B5A11" w:rsidP="006B5A11">
      <w:pPr>
        <w:ind w:firstLine="708"/>
        <w:jc w:val="both"/>
        <w:rPr>
          <w:lang w:val="en-US"/>
        </w:rPr>
      </w:pPr>
      <w:r>
        <w:rPr>
          <w:b/>
          <w:lang w:val="en-US"/>
        </w:rPr>
        <w:t>The o</w:t>
      </w:r>
      <w:r w:rsidRPr="00F15E62">
        <w:rPr>
          <w:b/>
          <w:lang w:val="en-US"/>
        </w:rPr>
        <w:t xml:space="preserve">bjects and </w:t>
      </w:r>
      <w:r>
        <w:rPr>
          <w:b/>
          <w:lang w:val="en-US"/>
        </w:rPr>
        <w:t xml:space="preserve">the </w:t>
      </w:r>
      <w:r w:rsidRPr="00F15E62">
        <w:rPr>
          <w:b/>
          <w:lang w:val="en-US"/>
        </w:rPr>
        <w:t xml:space="preserve">methods of the </w:t>
      </w:r>
      <w:proofErr w:type="spellStart"/>
      <w:r w:rsidRPr="00F15E62">
        <w:rPr>
          <w:b/>
          <w:lang w:val="en-US"/>
        </w:rPr>
        <w:t>study.</w:t>
      </w:r>
      <w:r>
        <w:rPr>
          <w:lang w:val="en-US"/>
        </w:rPr>
        <w:t>The</w:t>
      </w:r>
      <w:proofErr w:type="spellEnd"/>
      <w:r>
        <w:rPr>
          <w:lang w:val="en-US"/>
        </w:rPr>
        <w:t xml:space="preserve"> experimental</w:t>
      </w:r>
      <w:r w:rsidRPr="00A97DBE">
        <w:rPr>
          <w:lang w:val="en-US"/>
        </w:rPr>
        <w:t xml:space="preserve"> study on 42 nonlinear white rats of WAG/G </w:t>
      </w:r>
      <w:proofErr w:type="spellStart"/>
      <w:r w:rsidRPr="00A97DBE">
        <w:rPr>
          <w:lang w:val="en-US"/>
        </w:rPr>
        <w:t>Sto</w:t>
      </w:r>
      <w:proofErr w:type="spellEnd"/>
      <w:r w:rsidRPr="00A97DBE">
        <w:rPr>
          <w:lang w:val="en-US"/>
        </w:rPr>
        <w:t xml:space="preserve"> </w:t>
      </w:r>
      <w:proofErr w:type="gramStart"/>
      <w:r w:rsidRPr="00A97DBE">
        <w:rPr>
          <w:lang w:val="en-US"/>
        </w:rPr>
        <w:t>is</w:t>
      </w:r>
      <w:proofErr w:type="gramEnd"/>
      <w:r w:rsidRPr="00A97DBE">
        <w:rPr>
          <w:lang w:val="en-US"/>
        </w:rPr>
        <w:t xml:space="preserve"> conducted. The condition of the oxid</w:t>
      </w:r>
      <w:r>
        <w:rPr>
          <w:lang w:val="en-US"/>
        </w:rPr>
        <w:t>ative and</w:t>
      </w:r>
      <w:r w:rsidRPr="00A97DBE">
        <w:rPr>
          <w:lang w:val="en-US"/>
        </w:rPr>
        <w:t xml:space="preserve"> </w:t>
      </w:r>
      <w:proofErr w:type="spellStart"/>
      <w:r w:rsidRPr="00A97DBE">
        <w:rPr>
          <w:lang w:val="en-US"/>
        </w:rPr>
        <w:t>antio</w:t>
      </w:r>
      <w:r>
        <w:rPr>
          <w:lang w:val="en-US"/>
        </w:rPr>
        <w:t>xi</w:t>
      </w:r>
      <w:r w:rsidRPr="00A97DBE">
        <w:rPr>
          <w:lang w:val="en-US"/>
        </w:rPr>
        <w:t>dat</w:t>
      </w:r>
      <w:r>
        <w:rPr>
          <w:lang w:val="en-US"/>
        </w:rPr>
        <w:t>ive</w:t>
      </w:r>
      <w:proofErr w:type="spellEnd"/>
      <w:r w:rsidRPr="00A97DBE">
        <w:rPr>
          <w:lang w:val="en-US"/>
        </w:rPr>
        <w:t xml:space="preserve"> homeostasis in </w:t>
      </w:r>
      <w:r>
        <w:rPr>
          <w:lang w:val="en-US"/>
        </w:rPr>
        <w:t xml:space="preserve">the </w:t>
      </w:r>
      <w:r w:rsidRPr="00A97DBE">
        <w:rPr>
          <w:lang w:val="en-US"/>
        </w:rPr>
        <w:t>tissue</w:t>
      </w:r>
      <w:r>
        <w:rPr>
          <w:lang w:val="en-US"/>
        </w:rPr>
        <w:t xml:space="preserve"> of </w:t>
      </w:r>
      <w:proofErr w:type="spellStart"/>
      <w:r>
        <w:rPr>
          <w:lang w:val="en-US"/>
        </w:rPr>
        <w:t>thepancreas</w:t>
      </w:r>
      <w:proofErr w:type="spellEnd"/>
      <w:r>
        <w:rPr>
          <w:lang w:val="en-US"/>
        </w:rPr>
        <w:t xml:space="preserve"> is investigated in</w:t>
      </w:r>
      <w:r w:rsidRPr="00A97DBE">
        <w:rPr>
          <w:lang w:val="en-US"/>
        </w:rPr>
        <w:t xml:space="preserve"> 37 rats (18 newborns, 9 one-month</w:t>
      </w:r>
      <w:r>
        <w:rPr>
          <w:lang w:val="en-US"/>
        </w:rPr>
        <w:t>-old</w:t>
      </w:r>
      <w:r w:rsidRPr="00A97DBE">
        <w:rPr>
          <w:lang w:val="en-US"/>
        </w:rPr>
        <w:t xml:space="preserve"> and 10 two-month</w:t>
      </w:r>
      <w:r>
        <w:rPr>
          <w:lang w:val="en-US"/>
        </w:rPr>
        <w:t>-old rats</w:t>
      </w:r>
      <w:r w:rsidRPr="00A97DBE">
        <w:rPr>
          <w:lang w:val="en-US"/>
        </w:rPr>
        <w:t>)</w:t>
      </w:r>
      <w:proofErr w:type="gramStart"/>
      <w:r w:rsidRPr="00A97DBE">
        <w:rPr>
          <w:lang w:val="en-US"/>
        </w:rPr>
        <w:t>,</w:t>
      </w:r>
      <w:proofErr w:type="gramEnd"/>
      <w:r w:rsidRPr="00A97DBE">
        <w:rPr>
          <w:lang w:val="en-US"/>
        </w:rPr>
        <w:t xml:space="preserve"> in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blood serum </w:t>
      </w:r>
      <w:r>
        <w:rPr>
          <w:lang w:val="en-US"/>
        </w:rPr>
        <w:t xml:space="preserve">it is </w:t>
      </w:r>
      <w:proofErr w:type="spellStart"/>
      <w:r>
        <w:rPr>
          <w:lang w:val="en-US"/>
        </w:rPr>
        <w:t>investigatedin</w:t>
      </w:r>
      <w:proofErr w:type="spellEnd"/>
      <w:r w:rsidRPr="00A97DBE">
        <w:rPr>
          <w:lang w:val="en-US"/>
        </w:rPr>
        <w:t xml:space="preserve"> 23</w:t>
      </w:r>
      <w:r>
        <w:rPr>
          <w:lang w:val="en-US"/>
        </w:rPr>
        <w:t xml:space="preserve"> rats</w:t>
      </w:r>
      <w:r w:rsidRPr="00A97DBE">
        <w:rPr>
          <w:lang w:val="en-US"/>
        </w:rPr>
        <w:t xml:space="preserve"> (10 one-month</w:t>
      </w:r>
      <w:r>
        <w:rPr>
          <w:lang w:val="en-US"/>
        </w:rPr>
        <w:t>-old</w:t>
      </w:r>
      <w:r w:rsidRPr="00A97DBE">
        <w:rPr>
          <w:lang w:val="en-US"/>
        </w:rPr>
        <w:t xml:space="preserve"> and 13 two-month</w:t>
      </w:r>
      <w:r>
        <w:rPr>
          <w:lang w:val="en-US"/>
        </w:rPr>
        <w:t>-old rats</w:t>
      </w:r>
      <w:r w:rsidRPr="00A97DBE">
        <w:rPr>
          <w:lang w:val="en-US"/>
        </w:rPr>
        <w:t xml:space="preserve">).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P</w:t>
      </w:r>
      <w:r>
        <w:rPr>
          <w:lang w:val="en-US"/>
        </w:rPr>
        <w:t>O</w:t>
      </w:r>
      <w:r>
        <w:rPr>
          <w:lang w:val="en-US"/>
        </w:rPr>
        <w:t>La</w:t>
      </w:r>
      <w:r w:rsidRPr="00A97DBE">
        <w:rPr>
          <w:lang w:val="en-US"/>
        </w:rPr>
        <w:t>ctivity</w:t>
      </w:r>
      <w:proofErr w:type="spellEnd"/>
      <w:r w:rsidRPr="00A97DBE">
        <w:rPr>
          <w:lang w:val="en-US"/>
        </w:rPr>
        <w:t xml:space="preserve"> </w:t>
      </w:r>
      <w:r>
        <w:rPr>
          <w:lang w:val="en-US"/>
        </w:rPr>
        <w:t>is</w:t>
      </w:r>
      <w:r w:rsidRPr="00A97DBE">
        <w:rPr>
          <w:lang w:val="en-US"/>
        </w:rPr>
        <w:t xml:space="preserve"> de</w:t>
      </w:r>
      <w:r>
        <w:rPr>
          <w:lang w:val="en-US"/>
        </w:rPr>
        <w:t>termi</w:t>
      </w:r>
      <w:r w:rsidRPr="00A97DBE">
        <w:rPr>
          <w:lang w:val="en-US"/>
        </w:rPr>
        <w:t xml:space="preserve">ned </w:t>
      </w:r>
      <w:r>
        <w:rPr>
          <w:lang w:val="en-US"/>
        </w:rPr>
        <w:t>according to</w:t>
      </w:r>
      <w:r w:rsidRPr="00A97DBE">
        <w:rPr>
          <w:lang w:val="en-US"/>
        </w:rPr>
        <w:t xml:space="preserve"> the </w:t>
      </w:r>
      <w:r>
        <w:rPr>
          <w:lang w:val="en-US"/>
        </w:rPr>
        <w:t>content</w:t>
      </w:r>
      <w:r w:rsidRPr="00A97DBE">
        <w:rPr>
          <w:lang w:val="en-US"/>
        </w:rPr>
        <w:t xml:space="preserve"> of </w:t>
      </w:r>
      <w:proofErr w:type="spellStart"/>
      <w:r w:rsidRPr="00A97DBE">
        <w:rPr>
          <w:lang w:val="en-US"/>
        </w:rPr>
        <w:t>dien</w:t>
      </w:r>
      <w:r>
        <w:rPr>
          <w:lang w:val="en-US"/>
        </w:rPr>
        <w:t>e</w:t>
      </w:r>
      <w:proofErr w:type="spellEnd"/>
      <w:r w:rsidRPr="00A97DBE">
        <w:rPr>
          <w:lang w:val="en-US"/>
        </w:rPr>
        <w:t xml:space="preserve"> conjugates (DC) and </w:t>
      </w:r>
      <w:proofErr w:type="spellStart"/>
      <w:r>
        <w:rPr>
          <w:lang w:val="en-US"/>
        </w:rPr>
        <w:t>malon</w:t>
      </w:r>
      <w:r w:rsidRPr="00A97DBE">
        <w:rPr>
          <w:lang w:val="en-US"/>
        </w:rPr>
        <w:t>dialdehyde</w:t>
      </w:r>
      <w:proofErr w:type="spellEnd"/>
      <w:r w:rsidRPr="00A97DBE">
        <w:rPr>
          <w:lang w:val="en-US"/>
        </w:rPr>
        <w:t xml:space="preserve"> (</w:t>
      </w:r>
      <w:r>
        <w:rPr>
          <w:lang w:val="en-US"/>
        </w:rPr>
        <w:t>MDA</w:t>
      </w:r>
      <w:r w:rsidRPr="00A97DBE">
        <w:rPr>
          <w:lang w:val="en-US"/>
        </w:rPr>
        <w:t xml:space="preserve">),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AOS activity </w:t>
      </w:r>
      <w:r>
        <w:rPr>
          <w:lang w:val="en-US"/>
        </w:rPr>
        <w:t>is</w:t>
      </w:r>
      <w:r w:rsidRPr="00A97DBE">
        <w:rPr>
          <w:lang w:val="en-US"/>
        </w:rPr>
        <w:t xml:space="preserve"> de</w:t>
      </w:r>
      <w:r>
        <w:rPr>
          <w:lang w:val="en-US"/>
        </w:rPr>
        <w:t>termi</w:t>
      </w:r>
      <w:r w:rsidRPr="00A97DBE">
        <w:rPr>
          <w:lang w:val="en-US"/>
        </w:rPr>
        <w:t xml:space="preserve">ned </w:t>
      </w:r>
      <w:r>
        <w:rPr>
          <w:lang w:val="en-US"/>
        </w:rPr>
        <w:t>according to</w:t>
      </w:r>
      <w:r w:rsidRPr="00A97DBE">
        <w:rPr>
          <w:lang w:val="en-US"/>
        </w:rPr>
        <w:t xml:space="preserve"> the </w:t>
      </w:r>
      <w:r>
        <w:rPr>
          <w:lang w:val="en-US"/>
        </w:rPr>
        <w:lastRenderedPageBreak/>
        <w:t>activity of superoxide dismutase</w:t>
      </w:r>
      <w:r w:rsidRPr="00A97DBE">
        <w:rPr>
          <w:lang w:val="en-US"/>
        </w:rPr>
        <w:t xml:space="preserve"> (SOD) on the Stat Fax 303 Plus biochem</w:t>
      </w:r>
      <w:r w:rsidRPr="00A97DBE">
        <w:rPr>
          <w:lang w:val="en-US"/>
        </w:rPr>
        <w:t>i</w:t>
      </w:r>
      <w:r w:rsidRPr="00A97DBE">
        <w:rPr>
          <w:lang w:val="en-US"/>
        </w:rPr>
        <w:t>cal analyzer and catalase (</w:t>
      </w:r>
      <w:r>
        <w:rPr>
          <w:lang w:val="en-US"/>
        </w:rPr>
        <w:t>CAT) on the SF-46</w:t>
      </w:r>
      <w:r w:rsidRPr="00A97DBE">
        <w:rPr>
          <w:lang w:val="en-US"/>
        </w:rPr>
        <w:t xml:space="preserve"> spectrophotometer.</w:t>
      </w:r>
    </w:p>
    <w:p w:rsidR="006B5A11" w:rsidRPr="00A97DBE" w:rsidRDefault="006B5A11" w:rsidP="006B5A11">
      <w:pPr>
        <w:ind w:firstLine="708"/>
        <w:jc w:val="both"/>
        <w:rPr>
          <w:lang w:val="en-US"/>
        </w:rPr>
      </w:pPr>
      <w:proofErr w:type="gramStart"/>
      <w:r>
        <w:rPr>
          <w:b/>
          <w:lang w:val="en-US"/>
        </w:rPr>
        <w:t>The r</w:t>
      </w:r>
      <w:r w:rsidRPr="00173A4A">
        <w:rPr>
          <w:b/>
          <w:lang w:val="en-US"/>
        </w:rPr>
        <w:t>esults of the study.</w:t>
      </w:r>
      <w:proofErr w:type="gramEnd"/>
      <w:r>
        <w:rPr>
          <w:b/>
          <w:lang w:val="uk-UA"/>
        </w:rPr>
        <w:t xml:space="preserve"> </w:t>
      </w:r>
      <w:r>
        <w:rPr>
          <w:lang w:val="en-US"/>
        </w:rPr>
        <w:t>The increase of the content</w:t>
      </w:r>
      <w:r w:rsidRPr="00A97DBE">
        <w:rPr>
          <w:lang w:val="en-US"/>
        </w:rPr>
        <w:t xml:space="preserve"> of </w:t>
      </w:r>
      <w:r>
        <w:rPr>
          <w:lang w:val="en-US"/>
        </w:rPr>
        <w:t>DC</w:t>
      </w:r>
      <w:r w:rsidRPr="00A97DBE">
        <w:rPr>
          <w:lang w:val="en-US"/>
        </w:rPr>
        <w:t xml:space="preserve"> (</w:t>
      </w:r>
      <w:r w:rsidRPr="00173A4A">
        <w:rPr>
          <w:lang w:val="en-US"/>
        </w:rPr>
        <w:t>for 9</w:t>
      </w:r>
      <w:proofErr w:type="gramStart"/>
      <w:r w:rsidRPr="00173A4A">
        <w:rPr>
          <w:lang w:val="en-US"/>
        </w:rPr>
        <w:t>,3</w:t>
      </w:r>
      <w:proofErr w:type="gramEnd"/>
      <w:r w:rsidRPr="00173A4A">
        <w:rPr>
          <w:lang w:val="en-US"/>
        </w:rPr>
        <w:t xml:space="preserve">%, </w:t>
      </w:r>
      <w:r w:rsidRPr="00173A4A">
        <w:rPr>
          <w:lang w:val="uk-UA"/>
        </w:rPr>
        <w:t>р&lt;0,01</w:t>
      </w:r>
      <w:r w:rsidRPr="00173A4A">
        <w:rPr>
          <w:lang w:val="en-US"/>
        </w:rPr>
        <w:t>)</w:t>
      </w:r>
      <w:r w:rsidRPr="00A97DBE">
        <w:rPr>
          <w:lang w:val="en-US"/>
        </w:rPr>
        <w:t xml:space="preserve"> and </w:t>
      </w:r>
      <w:r>
        <w:rPr>
          <w:lang w:val="en-US"/>
        </w:rPr>
        <w:t>MDA</w:t>
      </w:r>
      <w:r w:rsidRPr="00A97DBE">
        <w:rPr>
          <w:lang w:val="en-US"/>
        </w:rPr>
        <w:t xml:space="preserve"> (for 69,2</w:t>
      </w:r>
      <w:r w:rsidRPr="00173A4A">
        <w:rPr>
          <w:lang w:val="en-US"/>
        </w:rPr>
        <w:t xml:space="preserve">%, </w:t>
      </w:r>
      <w:r w:rsidRPr="00173A4A">
        <w:rPr>
          <w:lang w:val="uk-UA"/>
        </w:rPr>
        <w:t>р&lt;0,01</w:t>
      </w:r>
      <w:r w:rsidRPr="00173A4A">
        <w:rPr>
          <w:lang w:val="en-US"/>
        </w:rPr>
        <w:t>)</w:t>
      </w:r>
      <w:r>
        <w:rPr>
          <w:lang w:val="en-US"/>
        </w:rPr>
        <w:t xml:space="preserve"> is discovered in</w:t>
      </w:r>
      <w:r w:rsidRPr="00173A4A">
        <w:rPr>
          <w:lang w:val="en-US"/>
        </w:rPr>
        <w:t xml:space="preserve"> newborn infant </w:t>
      </w:r>
      <w:proofErr w:type="spellStart"/>
      <w:r w:rsidRPr="00173A4A">
        <w:rPr>
          <w:lang w:val="en-US"/>
        </w:rPr>
        <w:t>rats</w:t>
      </w:r>
      <w:r>
        <w:rPr>
          <w:lang w:val="en-US"/>
        </w:rPr>
        <w:t>.</w:t>
      </w:r>
      <w:r w:rsidRPr="00173A4A">
        <w:rPr>
          <w:lang w:val="en-US"/>
        </w:rPr>
        <w:t>The</w:t>
      </w:r>
      <w:proofErr w:type="spellEnd"/>
      <w:r w:rsidRPr="00173A4A">
        <w:rPr>
          <w:lang w:val="en-US"/>
        </w:rPr>
        <w:t xml:space="preserve"> ratio of these indicators is </w:t>
      </w:r>
      <w:r>
        <w:rPr>
          <w:lang w:val="en-US"/>
        </w:rPr>
        <w:t>reduced</w:t>
      </w:r>
      <w:r w:rsidRPr="00173A4A">
        <w:rPr>
          <w:lang w:val="en-US"/>
        </w:rPr>
        <w:t xml:space="preserve"> by 36,9% (</w:t>
      </w:r>
      <w:r w:rsidRPr="00173A4A">
        <w:rPr>
          <w:lang w:val="uk-UA"/>
        </w:rPr>
        <w:t>р&lt;0,01</w:t>
      </w:r>
      <w:r w:rsidRPr="00173A4A">
        <w:rPr>
          <w:lang w:val="en-US"/>
        </w:rPr>
        <w:t>)</w:t>
      </w:r>
      <w:r w:rsidRPr="00A97DBE">
        <w:rPr>
          <w:lang w:val="en-US"/>
        </w:rPr>
        <w:t xml:space="preserve"> that demonstrates primary accumulation of </w:t>
      </w:r>
      <w:r>
        <w:rPr>
          <w:lang w:val="en-US"/>
        </w:rPr>
        <w:t xml:space="preserve">the POL </w:t>
      </w:r>
      <w:r w:rsidRPr="00A97DBE">
        <w:rPr>
          <w:lang w:val="en-US"/>
        </w:rPr>
        <w:t xml:space="preserve">by-products. </w:t>
      </w:r>
      <w:r>
        <w:rPr>
          <w:lang w:val="en-US"/>
        </w:rPr>
        <w:t>The l</w:t>
      </w:r>
      <w:r w:rsidRPr="00A97DBE">
        <w:rPr>
          <w:lang w:val="en-US"/>
        </w:rPr>
        <w:t xml:space="preserve">evel of AOS indicators </w:t>
      </w:r>
      <w:r>
        <w:rPr>
          <w:lang w:val="en-US"/>
        </w:rPr>
        <w:t>is signif</w:t>
      </w:r>
      <w:r>
        <w:rPr>
          <w:lang w:val="en-US"/>
        </w:rPr>
        <w:t>i</w:t>
      </w:r>
      <w:r>
        <w:rPr>
          <w:lang w:val="en-US"/>
        </w:rPr>
        <w:t>cantly lower</w:t>
      </w:r>
      <w:r w:rsidRPr="00A97DBE">
        <w:rPr>
          <w:lang w:val="en-US"/>
        </w:rPr>
        <w:t xml:space="preserve"> than </w:t>
      </w:r>
      <w:r>
        <w:rPr>
          <w:lang w:val="en-US"/>
        </w:rPr>
        <w:t>in the</w:t>
      </w:r>
      <w:r w:rsidRPr="00A97DBE">
        <w:rPr>
          <w:lang w:val="en-US"/>
        </w:rPr>
        <w:t xml:space="preserve"> animals of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control group (decrease of the SOD and </w:t>
      </w:r>
      <w:r>
        <w:rPr>
          <w:lang w:val="en-US"/>
        </w:rPr>
        <w:t>C</w:t>
      </w:r>
      <w:r w:rsidRPr="00A97DBE">
        <w:rPr>
          <w:lang w:val="en-US"/>
        </w:rPr>
        <w:t>AT</w:t>
      </w:r>
      <w:r>
        <w:rPr>
          <w:lang w:val="uk-UA"/>
        </w:rPr>
        <w:t xml:space="preserve"> </w:t>
      </w:r>
      <w:r w:rsidRPr="00A97DBE">
        <w:rPr>
          <w:lang w:val="en-US"/>
        </w:rPr>
        <w:t>activity for 23</w:t>
      </w:r>
      <w:proofErr w:type="gramStart"/>
      <w:r w:rsidRPr="00A97DBE">
        <w:rPr>
          <w:lang w:val="en-US"/>
        </w:rPr>
        <w:t>,3</w:t>
      </w:r>
      <w:proofErr w:type="gramEnd"/>
      <w:r w:rsidRPr="00A97DBE">
        <w:rPr>
          <w:lang w:val="en-US"/>
        </w:rPr>
        <w:t xml:space="preserve">% and 23,6% </w:t>
      </w:r>
      <w:r w:rsidRPr="00173A4A">
        <w:rPr>
          <w:lang w:val="en-US"/>
        </w:rPr>
        <w:t>(</w:t>
      </w:r>
      <w:r w:rsidRPr="00173A4A">
        <w:rPr>
          <w:lang w:val="uk-UA"/>
        </w:rPr>
        <w:t>р&lt;0,01</w:t>
      </w:r>
      <w:r w:rsidRPr="00173A4A">
        <w:rPr>
          <w:lang w:val="en-US"/>
        </w:rPr>
        <w:t>)</w:t>
      </w:r>
      <w:r>
        <w:rPr>
          <w:lang w:val="uk-UA"/>
        </w:rPr>
        <w:t xml:space="preserve"> </w:t>
      </w:r>
      <w:r w:rsidRPr="00A97DBE">
        <w:rPr>
          <w:lang w:val="en-US"/>
        </w:rPr>
        <w:t xml:space="preserve">respectively) that reflects </w:t>
      </w:r>
      <w:r>
        <w:rPr>
          <w:lang w:val="en-US"/>
        </w:rPr>
        <w:t>the lack</w:t>
      </w:r>
      <w:r w:rsidRPr="00A97DBE">
        <w:rPr>
          <w:lang w:val="en-US"/>
        </w:rPr>
        <w:t xml:space="preserve"> of the protective mechanisms </w:t>
      </w:r>
      <w:r>
        <w:rPr>
          <w:lang w:val="en-US"/>
        </w:rPr>
        <w:t>d</w:t>
      </w:r>
      <w:r>
        <w:rPr>
          <w:lang w:val="en-US"/>
        </w:rPr>
        <w:t>i</w:t>
      </w:r>
      <w:r>
        <w:rPr>
          <w:lang w:val="en-US"/>
        </w:rPr>
        <w:t>rected at</w:t>
      </w:r>
      <w:r w:rsidRPr="00A97DBE">
        <w:rPr>
          <w:lang w:val="en-US"/>
        </w:rPr>
        <w:t xml:space="preserve"> conservation and support of </w:t>
      </w:r>
      <w:r>
        <w:rPr>
          <w:lang w:val="en-US"/>
        </w:rPr>
        <w:t>the</w:t>
      </w:r>
      <w:r w:rsidRPr="00A97DBE">
        <w:rPr>
          <w:lang w:val="en-US"/>
        </w:rPr>
        <w:t xml:space="preserve"> homeostasis in </w:t>
      </w:r>
      <w:r>
        <w:rPr>
          <w:lang w:val="en-US"/>
        </w:rPr>
        <w:t>the</w:t>
      </w:r>
      <w:r w:rsidRPr="00A97DBE">
        <w:rPr>
          <w:lang w:val="en-US"/>
        </w:rPr>
        <w:t xml:space="preserve"> organism, and development of an oxid</w:t>
      </w:r>
      <w:r w:rsidRPr="00A97DBE">
        <w:rPr>
          <w:lang w:val="en-US"/>
        </w:rPr>
        <w:t>a</w:t>
      </w:r>
      <w:r w:rsidRPr="00A97DBE">
        <w:rPr>
          <w:lang w:val="en-US"/>
        </w:rPr>
        <w:t xml:space="preserve">tive stress. </w:t>
      </w:r>
      <w:r>
        <w:rPr>
          <w:lang w:val="en-US"/>
        </w:rPr>
        <w:t>In</w:t>
      </w:r>
      <w:r w:rsidRPr="00A97DBE">
        <w:rPr>
          <w:lang w:val="en-US"/>
        </w:rPr>
        <w:t xml:space="preserve"> 1-month-old infant rats </w:t>
      </w:r>
      <w:r>
        <w:rPr>
          <w:lang w:val="en-US"/>
        </w:rPr>
        <w:t>the level</w:t>
      </w:r>
      <w:r w:rsidRPr="00A97DBE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Pr="00A97DBE">
        <w:rPr>
          <w:lang w:val="en-US"/>
        </w:rPr>
        <w:t>OA</w:t>
      </w:r>
      <w:r>
        <w:rPr>
          <w:lang w:val="en-US"/>
        </w:rPr>
        <w:t>H lesion</w:t>
      </w:r>
      <w:r w:rsidRPr="00A97DBE">
        <w:rPr>
          <w:lang w:val="en-US"/>
        </w:rPr>
        <w:t xml:space="preserve"> in </w:t>
      </w:r>
      <w:r>
        <w:rPr>
          <w:lang w:val="en-US"/>
        </w:rPr>
        <w:t>the pancreas</w:t>
      </w:r>
      <w:r w:rsidRPr="00A97DBE">
        <w:rPr>
          <w:lang w:val="en-US"/>
        </w:rPr>
        <w:t xml:space="preserve"> is less than </w:t>
      </w:r>
      <w:r>
        <w:rPr>
          <w:lang w:val="en-US"/>
        </w:rPr>
        <w:t>in</w:t>
      </w:r>
      <w:r w:rsidRPr="00A97DBE">
        <w:rPr>
          <w:lang w:val="en-US"/>
        </w:rPr>
        <w:t xml:space="preserve"> ne</w:t>
      </w:r>
      <w:r w:rsidRPr="00A97DBE">
        <w:rPr>
          <w:lang w:val="en-US"/>
        </w:rPr>
        <w:t>w</w:t>
      </w:r>
      <w:r w:rsidRPr="00A97DBE">
        <w:rPr>
          <w:lang w:val="en-US"/>
        </w:rPr>
        <w:t xml:space="preserve">borns due to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lower </w:t>
      </w:r>
      <w:r>
        <w:rPr>
          <w:lang w:val="en-US"/>
        </w:rPr>
        <w:t xml:space="preserve">POL </w:t>
      </w:r>
      <w:r w:rsidRPr="00A97DBE">
        <w:rPr>
          <w:lang w:val="en-US"/>
        </w:rPr>
        <w:t xml:space="preserve">activity and </w:t>
      </w:r>
      <w:r>
        <w:rPr>
          <w:lang w:val="en-US"/>
        </w:rPr>
        <w:t>the increase</w:t>
      </w:r>
      <w:r w:rsidRPr="00A97DBE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Pr="00A97DBE">
        <w:rPr>
          <w:lang w:val="en-US"/>
        </w:rPr>
        <w:t>AOS</w:t>
      </w:r>
      <w:r>
        <w:rPr>
          <w:lang w:val="uk-UA"/>
        </w:rPr>
        <w:t xml:space="preserve"> </w:t>
      </w:r>
      <w:r w:rsidRPr="00A97DBE">
        <w:rPr>
          <w:lang w:val="en-US"/>
        </w:rPr>
        <w:t>activity but its physi</w:t>
      </w:r>
      <w:r w:rsidRPr="00A97DBE">
        <w:rPr>
          <w:lang w:val="en-US"/>
        </w:rPr>
        <w:t>o</w:t>
      </w:r>
      <w:r w:rsidRPr="00A97DBE">
        <w:rPr>
          <w:lang w:val="en-US"/>
        </w:rPr>
        <w:t>logical reserve is insufficient for suspension of the</w:t>
      </w:r>
      <w:r>
        <w:rPr>
          <w:lang w:val="en-US"/>
        </w:rPr>
        <w:t xml:space="preserve"> POL</w:t>
      </w:r>
      <w:r w:rsidRPr="00A97DBE">
        <w:rPr>
          <w:lang w:val="en-US"/>
        </w:rPr>
        <w:t xml:space="preserve"> processes which developed in the prenatal period and </w:t>
      </w:r>
      <w:r>
        <w:rPr>
          <w:lang w:val="en-US"/>
        </w:rPr>
        <w:t>ther</w:t>
      </w:r>
      <w:r>
        <w:rPr>
          <w:lang w:val="en-US"/>
        </w:rPr>
        <w:t>e</w:t>
      </w:r>
      <w:r>
        <w:rPr>
          <w:lang w:val="en-US"/>
        </w:rPr>
        <w:t xml:space="preserve">fore </w:t>
      </w:r>
      <w:r w:rsidRPr="00A97DBE">
        <w:rPr>
          <w:lang w:val="en-US"/>
        </w:rPr>
        <w:t xml:space="preserve">for prevention of structural changes in </w:t>
      </w:r>
      <w:proofErr w:type="spellStart"/>
      <w:r w:rsidRPr="00A97DBE">
        <w:rPr>
          <w:lang w:val="en-US"/>
        </w:rPr>
        <w:t>pan</w:t>
      </w:r>
      <w:r>
        <w:rPr>
          <w:lang w:val="en-US"/>
        </w:rPr>
        <w:t>c</w:t>
      </w:r>
      <w:r w:rsidRPr="00A97DBE">
        <w:rPr>
          <w:lang w:val="en-US"/>
        </w:rPr>
        <w:t>rea</w:t>
      </w:r>
      <w:r>
        <w:rPr>
          <w:lang w:val="en-US"/>
        </w:rPr>
        <w:t>citis</w:t>
      </w:r>
      <w:proofErr w:type="spellEnd"/>
      <w:r w:rsidRPr="00A97DBE">
        <w:rPr>
          <w:lang w:val="en-US"/>
        </w:rPr>
        <w:t xml:space="preserve">. </w:t>
      </w:r>
      <w:r>
        <w:rPr>
          <w:lang w:val="en-US"/>
        </w:rPr>
        <w:t xml:space="preserve">In </w:t>
      </w:r>
      <w:r w:rsidRPr="00A97DBE">
        <w:rPr>
          <w:lang w:val="en-US"/>
        </w:rPr>
        <w:t>2-month</w:t>
      </w:r>
      <w:r>
        <w:rPr>
          <w:lang w:val="en-US"/>
        </w:rPr>
        <w:t>-old</w:t>
      </w:r>
      <w:r w:rsidRPr="00A97DBE">
        <w:rPr>
          <w:lang w:val="en-US"/>
        </w:rPr>
        <w:t xml:space="preserve"> infant rats the </w:t>
      </w:r>
      <w:r>
        <w:rPr>
          <w:lang w:val="en-US"/>
        </w:rPr>
        <w:t xml:space="preserve">POL </w:t>
      </w:r>
      <w:r w:rsidRPr="00A97DBE">
        <w:rPr>
          <w:lang w:val="en-US"/>
        </w:rPr>
        <w:t>activity i</w:t>
      </w:r>
      <w:r w:rsidRPr="00A97DBE">
        <w:rPr>
          <w:lang w:val="en-US"/>
        </w:rPr>
        <w:t>s</w:t>
      </w:r>
      <w:r w:rsidRPr="00A97DBE">
        <w:rPr>
          <w:lang w:val="en-US"/>
        </w:rPr>
        <w:t xml:space="preserve">n't changed, the AOS activity is moderately increased due to </w:t>
      </w:r>
      <w:r>
        <w:rPr>
          <w:lang w:val="en-US"/>
        </w:rPr>
        <w:t>the increase</w:t>
      </w:r>
      <w:r w:rsidRPr="00A97DBE">
        <w:rPr>
          <w:lang w:val="en-US"/>
        </w:rPr>
        <w:t xml:space="preserve"> of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theC</w:t>
      </w:r>
      <w:r w:rsidRPr="00A97DBE">
        <w:rPr>
          <w:lang w:val="en-US"/>
        </w:rPr>
        <w:t>AT</w:t>
      </w:r>
      <w:proofErr w:type="spellEnd"/>
      <w:r w:rsidRPr="00A97DBE">
        <w:rPr>
          <w:lang w:val="en-US"/>
        </w:rPr>
        <w:t xml:space="preserve"> activity </w:t>
      </w:r>
      <w:r>
        <w:rPr>
          <w:lang w:val="en-US"/>
        </w:rPr>
        <w:t>that is</w:t>
      </w:r>
      <w:r w:rsidRPr="00A97DBE">
        <w:rPr>
          <w:lang w:val="en-US"/>
        </w:rPr>
        <w:t xml:space="preserve"> sufficient for prevention of accumulation </w:t>
      </w:r>
      <w:r w:rsidRPr="004826AA">
        <w:rPr>
          <w:lang w:val="en-US"/>
        </w:rPr>
        <w:t xml:space="preserve">of </w:t>
      </w:r>
      <w:r w:rsidRPr="004826AA">
        <w:t>Н</w:t>
      </w:r>
      <w:r w:rsidRPr="004826AA">
        <w:rPr>
          <w:vertAlign w:val="subscript"/>
          <w:lang w:val="en-US"/>
        </w:rPr>
        <w:t>2</w:t>
      </w:r>
      <w:r w:rsidRPr="004826AA">
        <w:t>О</w:t>
      </w:r>
      <w:r w:rsidRPr="004826AA">
        <w:rPr>
          <w:vertAlign w:val="subscript"/>
          <w:lang w:val="en-US"/>
        </w:rPr>
        <w:t>2</w:t>
      </w:r>
      <w:r>
        <w:rPr>
          <w:lang w:val="en-US"/>
        </w:rPr>
        <w:t>that is</w:t>
      </w:r>
      <w:r w:rsidRPr="004826AA">
        <w:rPr>
          <w:lang w:val="en-US"/>
        </w:rPr>
        <w:t xml:space="preserve"> toxi</w:t>
      </w:r>
      <w:r>
        <w:rPr>
          <w:lang w:val="en-US"/>
        </w:rPr>
        <w:t>c</w:t>
      </w:r>
      <w:r w:rsidRPr="00A97DBE">
        <w:rPr>
          <w:lang w:val="en-US"/>
        </w:rPr>
        <w:t xml:space="preserve"> for cells in </w:t>
      </w:r>
      <w:r>
        <w:rPr>
          <w:lang w:val="en-US"/>
        </w:rPr>
        <w:t>the</w:t>
      </w:r>
      <w:r w:rsidRPr="00A97DBE">
        <w:rPr>
          <w:lang w:val="en-US"/>
        </w:rPr>
        <w:t xml:space="preserve"> tissue</w:t>
      </w:r>
      <w:r>
        <w:rPr>
          <w:lang w:val="en-US"/>
        </w:rPr>
        <w:t xml:space="preserve"> of the pancreas</w:t>
      </w:r>
      <w:r w:rsidRPr="00A97DBE">
        <w:rPr>
          <w:lang w:val="en-US"/>
        </w:rPr>
        <w:t xml:space="preserve">. In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blood serum </w:t>
      </w:r>
      <w:r>
        <w:rPr>
          <w:lang w:val="en-US"/>
        </w:rPr>
        <w:t>the level</w:t>
      </w:r>
      <w:r w:rsidRPr="00A97DBE">
        <w:rPr>
          <w:lang w:val="en-US"/>
        </w:rPr>
        <w:t xml:space="preserve"> of </w:t>
      </w:r>
      <w:r>
        <w:rPr>
          <w:lang w:val="en-US"/>
        </w:rPr>
        <w:t>the</w:t>
      </w:r>
      <w:r w:rsidRPr="00A97DBE">
        <w:rPr>
          <w:lang w:val="en-US"/>
        </w:rPr>
        <w:t xml:space="preserve"> OA</w:t>
      </w:r>
      <w:r>
        <w:rPr>
          <w:lang w:val="en-US"/>
        </w:rPr>
        <w:t>H lesion</w:t>
      </w:r>
      <w:r w:rsidRPr="00A97DBE">
        <w:rPr>
          <w:lang w:val="en-US"/>
        </w:rPr>
        <w:t xml:space="preserve"> both </w:t>
      </w:r>
      <w:r>
        <w:rPr>
          <w:lang w:val="en-US"/>
        </w:rPr>
        <w:t>in</w:t>
      </w:r>
      <w:r w:rsidRPr="00A97DBE">
        <w:rPr>
          <w:lang w:val="en-US"/>
        </w:rPr>
        <w:t xml:space="preserve"> 1-month-old and </w:t>
      </w:r>
      <w:r>
        <w:rPr>
          <w:lang w:val="en-US"/>
        </w:rPr>
        <w:t>in</w:t>
      </w:r>
      <w:r w:rsidRPr="00A97DBE">
        <w:rPr>
          <w:lang w:val="en-US"/>
        </w:rPr>
        <w:t xml:space="preserve"> 2-month-old infant rats is higher than in </w:t>
      </w:r>
      <w:r>
        <w:rPr>
          <w:lang w:val="en-US"/>
        </w:rPr>
        <w:t>the pancreas</w:t>
      </w:r>
      <w:r w:rsidRPr="00A97DBE">
        <w:rPr>
          <w:lang w:val="en-US"/>
        </w:rPr>
        <w:t xml:space="preserve"> due to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larger activation </w:t>
      </w:r>
      <w:r>
        <w:rPr>
          <w:lang w:val="en-US"/>
        </w:rPr>
        <w:t xml:space="preserve">of POL and the </w:t>
      </w:r>
      <w:r w:rsidRPr="00A97DBE">
        <w:rPr>
          <w:lang w:val="en-US"/>
        </w:rPr>
        <w:t>decrease of AOS activity that causes</w:t>
      </w:r>
      <w:r>
        <w:rPr>
          <w:lang w:val="en-US"/>
        </w:rPr>
        <w:t xml:space="preserve"> the</w:t>
      </w:r>
      <w:r w:rsidRPr="00A97DBE">
        <w:rPr>
          <w:lang w:val="en-US"/>
        </w:rPr>
        <w:t xml:space="preserve"> development of a systemic oxidative stress owing to </w:t>
      </w:r>
      <w:r>
        <w:rPr>
          <w:lang w:val="en-US"/>
        </w:rPr>
        <w:t>the</w:t>
      </w:r>
      <w:r w:rsidRPr="00A97DBE">
        <w:rPr>
          <w:lang w:val="en-US"/>
        </w:rPr>
        <w:t xml:space="preserve"> lesion </w:t>
      </w:r>
      <w:r>
        <w:rPr>
          <w:lang w:val="en-US"/>
        </w:rPr>
        <w:t xml:space="preserve">of </w:t>
      </w:r>
      <w:r w:rsidRPr="00A97DBE">
        <w:rPr>
          <w:lang w:val="en-US"/>
        </w:rPr>
        <w:t xml:space="preserve">not only </w:t>
      </w:r>
      <w:r>
        <w:rPr>
          <w:lang w:val="en-US"/>
        </w:rPr>
        <w:t>pa</w:t>
      </w:r>
      <w:r>
        <w:rPr>
          <w:lang w:val="en-US"/>
        </w:rPr>
        <w:t>n</w:t>
      </w:r>
      <w:r>
        <w:rPr>
          <w:lang w:val="en-US"/>
        </w:rPr>
        <w:t>creas</w:t>
      </w:r>
      <w:r w:rsidRPr="00A97DBE">
        <w:rPr>
          <w:lang w:val="en-US"/>
        </w:rPr>
        <w:t xml:space="preserve"> but also other organs.</w:t>
      </w:r>
    </w:p>
    <w:p w:rsidR="006B5A11" w:rsidRPr="00A97DBE" w:rsidRDefault="006B5A11" w:rsidP="006B5A11">
      <w:pPr>
        <w:ind w:firstLine="708"/>
        <w:jc w:val="both"/>
        <w:rPr>
          <w:lang w:val="en-US"/>
        </w:rPr>
      </w:pPr>
      <w:proofErr w:type="gramStart"/>
      <w:r w:rsidRPr="00F84B06">
        <w:rPr>
          <w:b/>
          <w:lang w:val="en-US"/>
        </w:rPr>
        <w:t>Conclusions.</w:t>
      </w:r>
      <w:proofErr w:type="gramEnd"/>
      <w:r w:rsidRPr="00A97DBE">
        <w:rPr>
          <w:lang w:val="en-US"/>
        </w:rPr>
        <w:t xml:space="preserve"> The </w:t>
      </w:r>
      <w:proofErr w:type="spellStart"/>
      <w:r w:rsidRPr="00A97DBE">
        <w:rPr>
          <w:lang w:val="en-US"/>
        </w:rPr>
        <w:t>hypo</w:t>
      </w:r>
      <w:r>
        <w:rPr>
          <w:lang w:val="en-US"/>
        </w:rPr>
        <w:t>caloric</w:t>
      </w:r>
      <w:proofErr w:type="spellEnd"/>
      <w:r w:rsidRPr="00A97DBE">
        <w:rPr>
          <w:lang w:val="en-US"/>
        </w:rPr>
        <w:t xml:space="preserve"> diet of pregnant rats with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deficiency of nutrients has </w:t>
      </w:r>
      <w:r>
        <w:rPr>
          <w:lang w:val="en-US"/>
        </w:rPr>
        <w:t xml:space="preserve">its </w:t>
      </w:r>
      <w:r w:rsidRPr="00A97DBE">
        <w:rPr>
          <w:lang w:val="en-US"/>
        </w:rPr>
        <w:t>ne</w:t>
      </w:r>
      <w:r w:rsidRPr="00A97DBE">
        <w:rPr>
          <w:lang w:val="en-US"/>
        </w:rPr>
        <w:t>g</w:t>
      </w:r>
      <w:r w:rsidRPr="00A97DBE">
        <w:rPr>
          <w:lang w:val="en-US"/>
        </w:rPr>
        <w:t xml:space="preserve">ative effect on </w:t>
      </w:r>
      <w:r>
        <w:rPr>
          <w:lang w:val="en-US"/>
        </w:rPr>
        <w:t xml:space="preserve">the </w:t>
      </w:r>
      <w:r w:rsidRPr="00A97DBE">
        <w:rPr>
          <w:lang w:val="en-US"/>
        </w:rPr>
        <w:t>OA</w:t>
      </w:r>
      <w:r>
        <w:rPr>
          <w:lang w:val="en-US"/>
        </w:rPr>
        <w:t>H</w:t>
      </w:r>
      <w:r w:rsidRPr="00A97DBE">
        <w:rPr>
          <w:lang w:val="en-US"/>
        </w:rPr>
        <w:t xml:space="preserve"> in </w:t>
      </w:r>
      <w:r>
        <w:rPr>
          <w:lang w:val="en-US"/>
        </w:rPr>
        <w:t>the pancreas</w:t>
      </w:r>
      <w:r w:rsidRPr="00A97DBE">
        <w:rPr>
          <w:lang w:val="en-US"/>
        </w:rPr>
        <w:t xml:space="preserve"> and</w:t>
      </w:r>
      <w:r>
        <w:rPr>
          <w:lang w:val="en-US"/>
        </w:rPr>
        <w:t xml:space="preserve"> the</w:t>
      </w:r>
      <w:r w:rsidRPr="00A97DBE">
        <w:rPr>
          <w:lang w:val="en-US"/>
        </w:rPr>
        <w:t xml:space="preserve"> blood serum of their posterity </w:t>
      </w:r>
      <w:r>
        <w:rPr>
          <w:lang w:val="en-US"/>
        </w:rPr>
        <w:t xml:space="preserve">the </w:t>
      </w:r>
      <w:r w:rsidRPr="00A97DBE">
        <w:rPr>
          <w:lang w:val="en-US"/>
        </w:rPr>
        <w:t>changes</w:t>
      </w:r>
      <w:r>
        <w:rPr>
          <w:lang w:val="en-US"/>
        </w:rPr>
        <w:t xml:space="preserve"> of</w:t>
      </w:r>
      <w:r>
        <w:rPr>
          <w:lang w:val="uk-UA"/>
        </w:rPr>
        <w:t xml:space="preserve"> </w:t>
      </w:r>
      <w:r w:rsidRPr="00A97DBE">
        <w:rPr>
          <w:lang w:val="en-US"/>
        </w:rPr>
        <w:t xml:space="preserve">which cause </w:t>
      </w:r>
      <w:r>
        <w:rPr>
          <w:lang w:val="en-US"/>
        </w:rPr>
        <w:t>the lesion</w:t>
      </w:r>
      <w:r w:rsidRPr="00A97DBE">
        <w:rPr>
          <w:lang w:val="en-US"/>
        </w:rPr>
        <w:t xml:space="preserve"> of cellular membranes and intracellular structures. They can be one of </w:t>
      </w:r>
      <w:r>
        <w:rPr>
          <w:lang w:val="en-US"/>
        </w:rPr>
        <w:t xml:space="preserve">the </w:t>
      </w:r>
      <w:r w:rsidRPr="00A97DBE">
        <w:rPr>
          <w:lang w:val="en-US"/>
        </w:rPr>
        <w:t xml:space="preserve">important links of </w:t>
      </w:r>
      <w:r>
        <w:rPr>
          <w:lang w:val="en-US"/>
        </w:rPr>
        <w:t>the</w:t>
      </w:r>
      <w:r w:rsidRPr="00A97DBE">
        <w:rPr>
          <w:lang w:val="en-US"/>
        </w:rPr>
        <w:t xml:space="preserve"> pathogenesis of prenatal </w:t>
      </w:r>
      <w:r>
        <w:rPr>
          <w:lang w:val="en-US"/>
        </w:rPr>
        <w:t>lesion</w:t>
      </w:r>
      <w:r w:rsidRPr="00A97DBE">
        <w:rPr>
          <w:lang w:val="en-US"/>
        </w:rPr>
        <w:t xml:space="preserve"> of </w:t>
      </w:r>
      <w:r>
        <w:rPr>
          <w:lang w:val="en-US"/>
        </w:rPr>
        <w:t>the pancreas that is</w:t>
      </w:r>
      <w:r w:rsidRPr="00A97DBE">
        <w:rPr>
          <w:lang w:val="en-US"/>
        </w:rPr>
        <w:t xml:space="preserve"> potentially unsafe for </w:t>
      </w:r>
      <w:r>
        <w:rPr>
          <w:lang w:val="en-US"/>
        </w:rPr>
        <w:t xml:space="preserve">the </w:t>
      </w:r>
      <w:r w:rsidRPr="00A97DBE">
        <w:rPr>
          <w:lang w:val="en-US"/>
        </w:rPr>
        <w:t>develo</w:t>
      </w:r>
      <w:r w:rsidRPr="00A97DBE">
        <w:rPr>
          <w:lang w:val="en-US"/>
        </w:rPr>
        <w:t>p</w:t>
      </w:r>
      <w:r w:rsidRPr="00A97DBE">
        <w:rPr>
          <w:lang w:val="en-US"/>
        </w:rPr>
        <w:t xml:space="preserve">ment in the post-natal period </w:t>
      </w:r>
      <w:r>
        <w:rPr>
          <w:lang w:val="en-US"/>
        </w:rPr>
        <w:t xml:space="preserve">of </w:t>
      </w:r>
      <w:r w:rsidRPr="00A97DBE">
        <w:rPr>
          <w:lang w:val="en-US"/>
        </w:rPr>
        <w:t xml:space="preserve">not only its functional disorders and </w:t>
      </w:r>
      <w:r>
        <w:rPr>
          <w:lang w:val="en-US"/>
        </w:rPr>
        <w:t>also its</w:t>
      </w:r>
      <w:r w:rsidRPr="00A97DBE">
        <w:rPr>
          <w:lang w:val="en-US"/>
        </w:rPr>
        <w:t xml:space="preserve"> organic pathology.</w:t>
      </w:r>
    </w:p>
    <w:p w:rsidR="006B5A11" w:rsidRPr="00A97DBE" w:rsidRDefault="006B5A11" w:rsidP="006B5A11">
      <w:pPr>
        <w:ind w:firstLine="708"/>
        <w:jc w:val="both"/>
        <w:rPr>
          <w:lang w:val="en-US"/>
        </w:rPr>
      </w:pPr>
      <w:r w:rsidRPr="00A04503">
        <w:rPr>
          <w:b/>
          <w:lang w:val="en-US"/>
        </w:rPr>
        <w:t>Keywords:</w:t>
      </w:r>
      <w:r>
        <w:rPr>
          <w:b/>
          <w:lang w:val="uk-UA"/>
        </w:rPr>
        <w:t xml:space="preserve"> </w:t>
      </w:r>
      <w:proofErr w:type="spellStart"/>
      <w:r>
        <w:rPr>
          <w:lang w:val="en-US"/>
        </w:rPr>
        <w:t>hypoc</w:t>
      </w:r>
      <w:r w:rsidRPr="00A97DBE">
        <w:rPr>
          <w:lang w:val="en-US"/>
        </w:rPr>
        <w:t>alori</w:t>
      </w:r>
      <w:r>
        <w:rPr>
          <w:lang w:val="en-US"/>
        </w:rPr>
        <w:t>c</w:t>
      </w:r>
      <w:proofErr w:type="spellEnd"/>
      <w:r w:rsidRPr="00A97DBE">
        <w:rPr>
          <w:lang w:val="en-US"/>
        </w:rPr>
        <w:t xml:space="preserve"> diet, oxid</w:t>
      </w:r>
      <w:r>
        <w:rPr>
          <w:lang w:val="en-US"/>
        </w:rPr>
        <w:t>ative</w:t>
      </w:r>
      <w:r w:rsidRPr="00A97DBE">
        <w:rPr>
          <w:lang w:val="en-US"/>
        </w:rPr>
        <w:t xml:space="preserve"> and </w:t>
      </w:r>
      <w:proofErr w:type="spellStart"/>
      <w:r w:rsidRPr="00A97DBE">
        <w:rPr>
          <w:lang w:val="en-US"/>
        </w:rPr>
        <w:t>antioxidati</w:t>
      </w:r>
      <w:r>
        <w:rPr>
          <w:lang w:val="en-US"/>
        </w:rPr>
        <w:t>ve</w:t>
      </w:r>
      <w:proofErr w:type="spellEnd"/>
      <w:r w:rsidRPr="00A97DBE">
        <w:rPr>
          <w:lang w:val="en-US"/>
        </w:rPr>
        <w:t xml:space="preserve"> homeostasis, pancreas, posterity of rats.</w:t>
      </w:r>
    </w:p>
    <w:p w:rsidR="006715E3" w:rsidRPr="006B5A11" w:rsidRDefault="006715E3">
      <w:pPr>
        <w:rPr>
          <w:lang w:val="en-US"/>
        </w:rPr>
      </w:pPr>
      <w:bookmarkStart w:id="0" w:name="_GoBack"/>
      <w:bookmarkEnd w:id="0"/>
    </w:p>
    <w:sectPr w:rsidR="006715E3" w:rsidRPr="006B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32"/>
    <w:rsid w:val="006715E3"/>
    <w:rsid w:val="006B5A11"/>
    <w:rsid w:val="0080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B5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B5A11"/>
    <w:pPr>
      <w:spacing w:before="100" w:beforeAutospacing="1" w:after="100" w:afterAutospacing="1"/>
    </w:pPr>
    <w:rPr>
      <w:sz w:val="28"/>
      <w:szCs w:val="28"/>
    </w:rPr>
  </w:style>
  <w:style w:type="character" w:styleId="a4">
    <w:name w:val="Hyperlink"/>
    <w:rsid w:val="006B5A11"/>
    <w:rPr>
      <w:color w:val="0000FF"/>
      <w:u w:val="single"/>
    </w:rPr>
  </w:style>
  <w:style w:type="character" w:styleId="a5">
    <w:name w:val="Strong"/>
    <w:qFormat/>
    <w:rsid w:val="006B5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B5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B5A11"/>
    <w:pPr>
      <w:spacing w:before="100" w:beforeAutospacing="1" w:after="100" w:afterAutospacing="1"/>
    </w:pPr>
    <w:rPr>
      <w:sz w:val="28"/>
      <w:szCs w:val="28"/>
    </w:rPr>
  </w:style>
  <w:style w:type="character" w:styleId="a4">
    <w:name w:val="Hyperlink"/>
    <w:rsid w:val="006B5A11"/>
    <w:rPr>
      <w:color w:val="0000FF"/>
      <w:u w:val="single"/>
    </w:rPr>
  </w:style>
  <w:style w:type="character" w:styleId="a5">
    <w:name w:val="Strong"/>
    <w:qFormat/>
    <w:rsid w:val="006B5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Hagan%20JP%5BAuthor%5D&amp;cauthor=true&amp;cauthor_uid=174733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Alder%20H%5BAuthor%5D&amp;cauthor=true&amp;cauthor_uid=17473300" TargetMode="External"/><Relationship Id="rId5" Type="http://schemas.openxmlformats.org/officeDocument/2006/relationships/hyperlink" Target="https://www.ncbi.nlm.nih.gov/pubmed/?term=Volinia%20S%5BAuthor%5D&amp;cauthor=true&amp;cauthor_uid=174733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3293</Words>
  <Characters>18776</Characters>
  <Application>Microsoft Office Word</Application>
  <DocSecurity>0</DocSecurity>
  <Lines>156</Lines>
  <Paragraphs>44</Paragraphs>
  <ScaleCrop>false</ScaleCrop>
  <Company>Krokoz™</Company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2018-11-22T09:49:00Z</dcterms:created>
  <dcterms:modified xsi:type="dcterms:W3CDTF">2018-11-22T09:50:00Z</dcterms:modified>
</cp:coreProperties>
</file>