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64" w:rsidRPr="005F72A8" w:rsidRDefault="00D57A64" w:rsidP="00D57A64">
      <w:pPr>
        <w:rPr>
          <w:sz w:val="28"/>
          <w:szCs w:val="28"/>
        </w:rPr>
      </w:pPr>
      <w:r w:rsidRPr="005F72A8">
        <w:rPr>
          <w:sz w:val="28"/>
          <w:szCs w:val="28"/>
        </w:rPr>
        <w:t>УДК 616.37-056.25-092.9:57.088.6</w:t>
      </w:r>
    </w:p>
    <w:p w:rsidR="00D57A64" w:rsidRPr="005F72A8" w:rsidRDefault="00D57A64" w:rsidP="00D57A64">
      <w:pPr>
        <w:jc w:val="center"/>
        <w:rPr>
          <w:b/>
          <w:i/>
          <w:sz w:val="28"/>
          <w:szCs w:val="28"/>
        </w:rPr>
      </w:pPr>
      <w:r w:rsidRPr="005F72A8">
        <w:rPr>
          <w:b/>
          <w:i/>
          <w:sz w:val="28"/>
          <w:szCs w:val="28"/>
        </w:rPr>
        <w:t>В. А. Сиренко</w:t>
      </w:r>
    </w:p>
    <w:p w:rsidR="00D57A64" w:rsidRPr="005F72A8" w:rsidRDefault="00D57A64" w:rsidP="00D57A64">
      <w:pPr>
        <w:jc w:val="center"/>
        <w:rPr>
          <w:b/>
          <w:i/>
          <w:sz w:val="28"/>
          <w:szCs w:val="28"/>
        </w:rPr>
      </w:pPr>
      <w:r w:rsidRPr="005F72A8">
        <w:rPr>
          <w:b/>
          <w:i/>
          <w:sz w:val="28"/>
          <w:szCs w:val="28"/>
        </w:rPr>
        <w:t>Харьковский национальный медицинский университет</w:t>
      </w:r>
    </w:p>
    <w:p w:rsidR="00D57A64" w:rsidRPr="005F72A8" w:rsidRDefault="00D57A64" w:rsidP="00D57A6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F72A8">
        <w:rPr>
          <w:rFonts w:ascii="Arial" w:hAnsi="Arial" w:cs="Arial"/>
          <w:b/>
          <w:caps/>
          <w:sz w:val="28"/>
          <w:szCs w:val="28"/>
        </w:rPr>
        <w:t xml:space="preserve">Окислительно-антиоксидантНый гомеостаз </w:t>
      </w:r>
    </w:p>
    <w:p w:rsidR="00D57A64" w:rsidRPr="005F72A8" w:rsidRDefault="00D57A64" w:rsidP="00D57A6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F72A8">
        <w:rPr>
          <w:rFonts w:ascii="Arial" w:hAnsi="Arial" w:cs="Arial"/>
          <w:b/>
          <w:caps/>
          <w:sz w:val="28"/>
          <w:szCs w:val="28"/>
        </w:rPr>
        <w:t xml:space="preserve">У потомства крыс, получавших во время беременности питание с избытком пищевых ингредиентов </w:t>
      </w:r>
    </w:p>
    <w:p w:rsidR="00D57A64" w:rsidRPr="005F72A8" w:rsidRDefault="00D57A64" w:rsidP="00D57A64">
      <w:pPr>
        <w:rPr>
          <w:sz w:val="28"/>
          <w:szCs w:val="28"/>
        </w:rPr>
      </w:pPr>
    </w:p>
    <w:p w:rsidR="00D57A64" w:rsidRPr="005F72A8" w:rsidRDefault="00D57A64" w:rsidP="00D57A64">
      <w:pPr>
        <w:jc w:val="both"/>
        <w:rPr>
          <w:sz w:val="28"/>
          <w:szCs w:val="28"/>
        </w:rPr>
      </w:pPr>
      <w:r w:rsidRPr="005F72A8">
        <w:rPr>
          <w:sz w:val="28"/>
          <w:szCs w:val="28"/>
        </w:rPr>
        <w:tab/>
      </w:r>
      <w:r w:rsidRPr="005F72A8">
        <w:rPr>
          <w:b/>
          <w:sz w:val="28"/>
          <w:szCs w:val="28"/>
        </w:rPr>
        <w:t xml:space="preserve">Введение. </w:t>
      </w:r>
      <w:r w:rsidRPr="005F72A8">
        <w:rPr>
          <w:sz w:val="28"/>
          <w:szCs w:val="28"/>
        </w:rPr>
        <w:t>Патология поджелудочной железы (ПЖ) является актуальной проблемой современной клинической и экспериментальной медицины [1, 2], я</w:t>
      </w:r>
      <w:r w:rsidRPr="005F72A8">
        <w:rPr>
          <w:sz w:val="28"/>
          <w:szCs w:val="28"/>
        </w:rPr>
        <w:t>в</w:t>
      </w:r>
      <w:r w:rsidRPr="005F72A8">
        <w:rPr>
          <w:sz w:val="28"/>
          <w:szCs w:val="28"/>
        </w:rPr>
        <w:t>ляясь одним из наиболее сложных и наименее изученных разделов гастроэнтер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логии. В первую очередь это касается детского возраста в связи с тенденцией к неуклонному росту распространённости панкреатической патолог</w:t>
      </w:r>
      <w:proofErr w:type="gramStart"/>
      <w:r w:rsidRPr="005F72A8">
        <w:rPr>
          <w:sz w:val="28"/>
          <w:szCs w:val="28"/>
        </w:rPr>
        <w:t>ии и её</w:t>
      </w:r>
      <w:proofErr w:type="gramEnd"/>
      <w:r w:rsidRPr="005F72A8">
        <w:rPr>
          <w:sz w:val="28"/>
          <w:szCs w:val="28"/>
        </w:rPr>
        <w:t xml:space="preserve"> «омол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жению» [</w:t>
      </w:r>
      <w:r w:rsidRPr="005F72A8">
        <w:rPr>
          <w:sz w:val="28"/>
          <w:szCs w:val="28"/>
          <w:lang w:val="uk-UA"/>
        </w:rPr>
        <w:t>3</w:t>
      </w:r>
      <w:r w:rsidRPr="005F72A8">
        <w:rPr>
          <w:sz w:val="28"/>
          <w:szCs w:val="28"/>
        </w:rPr>
        <w:t xml:space="preserve">, </w:t>
      </w:r>
      <w:r w:rsidRPr="005F72A8">
        <w:rPr>
          <w:sz w:val="28"/>
          <w:szCs w:val="28"/>
          <w:lang w:val="uk-UA"/>
        </w:rPr>
        <w:t>4</w:t>
      </w:r>
      <w:r w:rsidRPr="005F72A8">
        <w:rPr>
          <w:sz w:val="28"/>
          <w:szCs w:val="28"/>
        </w:rPr>
        <w:t xml:space="preserve">, </w:t>
      </w:r>
      <w:r w:rsidRPr="005F72A8">
        <w:rPr>
          <w:sz w:val="28"/>
          <w:szCs w:val="28"/>
          <w:lang w:val="uk-UA"/>
        </w:rPr>
        <w:t>5</w:t>
      </w:r>
      <w:r w:rsidRPr="005F72A8">
        <w:rPr>
          <w:sz w:val="28"/>
          <w:szCs w:val="28"/>
        </w:rPr>
        <w:t xml:space="preserve">, </w:t>
      </w:r>
      <w:r w:rsidRPr="005F72A8">
        <w:rPr>
          <w:sz w:val="28"/>
          <w:szCs w:val="28"/>
          <w:lang w:val="uk-UA"/>
        </w:rPr>
        <w:t>6</w:t>
      </w:r>
      <w:r w:rsidRPr="005F72A8">
        <w:rPr>
          <w:sz w:val="28"/>
          <w:szCs w:val="28"/>
        </w:rPr>
        <w:t>]. Нередко признаки поражения ПЖ наблюдаются у детей ра</w:t>
      </w:r>
      <w:r w:rsidRPr="005F72A8">
        <w:rPr>
          <w:sz w:val="28"/>
          <w:szCs w:val="28"/>
        </w:rPr>
        <w:t>н</w:t>
      </w:r>
      <w:r w:rsidRPr="005F72A8">
        <w:rPr>
          <w:sz w:val="28"/>
          <w:szCs w:val="28"/>
        </w:rPr>
        <w:t xml:space="preserve">него возраста. Это свидетельствует о том, что истоки патологии ПЖ могут быть в </w:t>
      </w:r>
      <w:proofErr w:type="spellStart"/>
      <w:r w:rsidRPr="005F72A8">
        <w:rPr>
          <w:sz w:val="28"/>
          <w:szCs w:val="28"/>
        </w:rPr>
        <w:t>пренатальном</w:t>
      </w:r>
      <w:proofErr w:type="spellEnd"/>
      <w:r w:rsidRPr="005F72A8">
        <w:rPr>
          <w:sz w:val="28"/>
          <w:szCs w:val="28"/>
        </w:rPr>
        <w:t xml:space="preserve"> периоде онтогенеза и её причинами могут быть вредные факторы внешней среды, негативно влияющие на систему мать-плод и вызывающие нар</w:t>
      </w:r>
      <w:r w:rsidRPr="005F72A8">
        <w:rPr>
          <w:sz w:val="28"/>
          <w:szCs w:val="28"/>
        </w:rPr>
        <w:t>у</w:t>
      </w:r>
      <w:r w:rsidRPr="005F72A8">
        <w:rPr>
          <w:sz w:val="28"/>
          <w:szCs w:val="28"/>
        </w:rPr>
        <w:t>шение нормального формирования ПЖ на различных этапах внутриутробного развития плода [</w:t>
      </w:r>
      <w:r w:rsidRPr="005F72A8">
        <w:rPr>
          <w:sz w:val="28"/>
          <w:szCs w:val="28"/>
          <w:lang w:val="uk-UA"/>
        </w:rPr>
        <w:t>7</w:t>
      </w:r>
      <w:r w:rsidRPr="005F72A8">
        <w:rPr>
          <w:sz w:val="28"/>
          <w:szCs w:val="28"/>
        </w:rPr>
        <w:t xml:space="preserve">, </w:t>
      </w:r>
      <w:r w:rsidRPr="005F72A8">
        <w:rPr>
          <w:sz w:val="28"/>
          <w:szCs w:val="28"/>
          <w:lang w:val="uk-UA"/>
        </w:rPr>
        <w:t>8</w:t>
      </w:r>
      <w:r w:rsidRPr="005F72A8">
        <w:rPr>
          <w:sz w:val="28"/>
          <w:szCs w:val="28"/>
        </w:rPr>
        <w:t>].</w:t>
      </w:r>
    </w:p>
    <w:p w:rsidR="00D57A64" w:rsidRPr="005F72A8" w:rsidRDefault="00D57A64" w:rsidP="00D57A64">
      <w:pPr>
        <w:jc w:val="both"/>
        <w:rPr>
          <w:sz w:val="28"/>
          <w:szCs w:val="28"/>
        </w:rPr>
      </w:pPr>
      <w:r w:rsidRPr="005F72A8">
        <w:rPr>
          <w:sz w:val="28"/>
          <w:szCs w:val="28"/>
        </w:rPr>
        <w:tab/>
      </w:r>
      <w:proofErr w:type="gramStart"/>
      <w:r w:rsidRPr="005F72A8">
        <w:rPr>
          <w:sz w:val="28"/>
          <w:szCs w:val="28"/>
        </w:rPr>
        <w:t>Многочисленные исследования патологии ПЖ преимущественно посвящ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ны изучению различных аспектов проблем острого и </w:t>
      </w:r>
      <w:proofErr w:type="spellStart"/>
      <w:r w:rsidRPr="005F72A8">
        <w:rPr>
          <w:sz w:val="28"/>
          <w:szCs w:val="28"/>
        </w:rPr>
        <w:t>хро-нического</w:t>
      </w:r>
      <w:proofErr w:type="spellEnd"/>
      <w:r w:rsidRPr="005F72A8">
        <w:rPr>
          <w:sz w:val="28"/>
          <w:szCs w:val="28"/>
        </w:rPr>
        <w:t xml:space="preserve"> панкреатита (ОП, ХП), </w:t>
      </w:r>
      <w:proofErr w:type="spellStart"/>
      <w:r w:rsidRPr="005F72A8">
        <w:rPr>
          <w:sz w:val="28"/>
          <w:szCs w:val="28"/>
        </w:rPr>
        <w:t>стеатоза</w:t>
      </w:r>
      <w:proofErr w:type="spellEnd"/>
      <w:r w:rsidRPr="005F72A8">
        <w:rPr>
          <w:sz w:val="28"/>
          <w:szCs w:val="28"/>
        </w:rPr>
        <w:t xml:space="preserve"> ПЖ, поражения ПЖ при метаболическом синдроме и др. О</w:t>
      </w:r>
      <w:r w:rsidRPr="005F72A8">
        <w:rPr>
          <w:sz w:val="28"/>
          <w:szCs w:val="28"/>
        </w:rPr>
        <w:t>д</w:t>
      </w:r>
      <w:r w:rsidRPr="005F72A8">
        <w:rPr>
          <w:sz w:val="28"/>
          <w:szCs w:val="28"/>
        </w:rPr>
        <w:t xml:space="preserve">нако недостаточно изучена роль </w:t>
      </w:r>
      <w:proofErr w:type="spellStart"/>
      <w:r w:rsidRPr="005F72A8">
        <w:rPr>
          <w:sz w:val="28"/>
          <w:szCs w:val="28"/>
        </w:rPr>
        <w:t>пренатальных</w:t>
      </w:r>
      <w:proofErr w:type="spellEnd"/>
      <w:r w:rsidRPr="005F72A8">
        <w:rPr>
          <w:sz w:val="28"/>
          <w:szCs w:val="28"/>
        </w:rPr>
        <w:t xml:space="preserve"> проблем в развитии поражения ПЖ плода (в частности,  несбалансированного питания матери) и патогенез фун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циональных расстройств и структурных нарушений ПЖ в такой с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туации.</w:t>
      </w:r>
      <w:proofErr w:type="gramEnd"/>
    </w:p>
    <w:p w:rsidR="00D57A64" w:rsidRPr="005F72A8" w:rsidRDefault="00D57A64" w:rsidP="00D57A64">
      <w:pPr>
        <w:jc w:val="both"/>
        <w:rPr>
          <w:sz w:val="28"/>
          <w:szCs w:val="28"/>
        </w:rPr>
      </w:pPr>
      <w:r w:rsidRPr="005F72A8">
        <w:rPr>
          <w:sz w:val="28"/>
          <w:szCs w:val="28"/>
        </w:rPr>
        <w:tab/>
        <w:t>Известно, что одним из важных механизмов повреждения клеток при ра</w:t>
      </w:r>
      <w:r w:rsidRPr="005F72A8">
        <w:rPr>
          <w:sz w:val="28"/>
          <w:szCs w:val="28"/>
        </w:rPr>
        <w:t>з</w:t>
      </w:r>
      <w:r w:rsidRPr="005F72A8">
        <w:rPr>
          <w:sz w:val="28"/>
          <w:szCs w:val="28"/>
        </w:rPr>
        <w:t xml:space="preserve">личной патологии, в том числе и заболеваниях ПЖ, являются нарушения </w:t>
      </w:r>
      <w:proofErr w:type="spellStart"/>
      <w:r w:rsidRPr="005F72A8">
        <w:rPr>
          <w:sz w:val="28"/>
          <w:szCs w:val="28"/>
        </w:rPr>
        <w:t>окисл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тельно</w:t>
      </w:r>
      <w:proofErr w:type="spellEnd"/>
      <w:r w:rsidRPr="005F72A8">
        <w:rPr>
          <w:sz w:val="28"/>
          <w:szCs w:val="28"/>
        </w:rPr>
        <w:t xml:space="preserve">-антиоксидантного гомеостаза (ОАГ). </w:t>
      </w:r>
      <w:proofErr w:type="spellStart"/>
      <w:r w:rsidRPr="005F72A8">
        <w:rPr>
          <w:sz w:val="28"/>
          <w:szCs w:val="28"/>
        </w:rPr>
        <w:t>Верёвкина</w:t>
      </w:r>
      <w:proofErr w:type="spellEnd"/>
      <w:r w:rsidRPr="005F72A8">
        <w:rPr>
          <w:sz w:val="28"/>
          <w:szCs w:val="28"/>
        </w:rPr>
        <w:t xml:space="preserve"> Т.И. (2004) [</w:t>
      </w:r>
      <w:r w:rsidRPr="005F72A8">
        <w:rPr>
          <w:sz w:val="28"/>
          <w:szCs w:val="28"/>
          <w:lang w:val="uk-UA"/>
        </w:rPr>
        <w:t>9</w:t>
      </w:r>
      <w:r w:rsidRPr="005F72A8">
        <w:rPr>
          <w:sz w:val="28"/>
          <w:szCs w:val="28"/>
        </w:rPr>
        <w:t>] установ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 xml:space="preserve">ла, что ХП алкогольной и </w:t>
      </w:r>
      <w:proofErr w:type="spellStart"/>
      <w:r w:rsidRPr="005F72A8">
        <w:rPr>
          <w:sz w:val="28"/>
          <w:szCs w:val="28"/>
        </w:rPr>
        <w:t>билиарнозависимой</w:t>
      </w:r>
      <w:proofErr w:type="spellEnd"/>
      <w:r w:rsidRPr="005F72A8">
        <w:rPr>
          <w:sz w:val="28"/>
          <w:szCs w:val="28"/>
        </w:rPr>
        <w:t xml:space="preserve"> этиологии, сопровождается выр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женной активацией процессов перекисного окисления липидов (ПОЛ) на фоне изменений активности ферментов антиоксидантной системы (АОС). Автор пок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 xml:space="preserve">зала, что определение уровня диеновых </w:t>
      </w:r>
      <w:proofErr w:type="spellStart"/>
      <w:r w:rsidRPr="005F72A8">
        <w:rPr>
          <w:sz w:val="28"/>
          <w:szCs w:val="28"/>
        </w:rPr>
        <w:t>конъюгатов</w:t>
      </w:r>
      <w:proofErr w:type="spellEnd"/>
      <w:r w:rsidRPr="005F72A8">
        <w:rPr>
          <w:sz w:val="28"/>
          <w:szCs w:val="28"/>
        </w:rPr>
        <w:t xml:space="preserve"> (ДК) и активности </w:t>
      </w:r>
      <w:proofErr w:type="spellStart"/>
      <w:r w:rsidRPr="005F72A8">
        <w:rPr>
          <w:sz w:val="28"/>
          <w:szCs w:val="28"/>
        </w:rPr>
        <w:t>суперо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сиддисмутазы</w:t>
      </w:r>
      <w:proofErr w:type="spellEnd"/>
      <w:r w:rsidRPr="005F72A8">
        <w:rPr>
          <w:sz w:val="28"/>
          <w:szCs w:val="28"/>
        </w:rPr>
        <w:t xml:space="preserve"> (СОД) в плазме крови являются дополнительными критериями оценки степени тяжести заболевания и маркёрами эффективности лечения ХП. Аналогичные результаты о развитии </w:t>
      </w:r>
      <w:proofErr w:type="spellStart"/>
      <w:r w:rsidRPr="005F72A8">
        <w:rPr>
          <w:sz w:val="28"/>
          <w:szCs w:val="28"/>
        </w:rPr>
        <w:t>оксидативного</w:t>
      </w:r>
      <w:proofErr w:type="spellEnd"/>
      <w:r w:rsidRPr="005F72A8">
        <w:rPr>
          <w:sz w:val="28"/>
          <w:szCs w:val="28"/>
        </w:rPr>
        <w:t xml:space="preserve"> стресса при ОП и ХП разли</w:t>
      </w:r>
      <w:r w:rsidRPr="005F72A8">
        <w:rPr>
          <w:sz w:val="28"/>
          <w:szCs w:val="28"/>
        </w:rPr>
        <w:t>ч</w:t>
      </w:r>
      <w:r w:rsidRPr="005F72A8">
        <w:rPr>
          <w:sz w:val="28"/>
          <w:szCs w:val="28"/>
        </w:rPr>
        <w:t>ной этиологии получены в клинических и экспериментальных исследованиях и другими исследователями [1</w:t>
      </w:r>
      <w:r w:rsidRPr="005F72A8">
        <w:rPr>
          <w:sz w:val="28"/>
          <w:szCs w:val="28"/>
          <w:lang w:val="uk-UA"/>
        </w:rPr>
        <w:t>0</w:t>
      </w:r>
      <w:r w:rsidRPr="005F72A8">
        <w:rPr>
          <w:sz w:val="28"/>
          <w:szCs w:val="28"/>
        </w:rPr>
        <w:t>, 1</w:t>
      </w:r>
      <w:r w:rsidRPr="005F72A8">
        <w:rPr>
          <w:sz w:val="28"/>
          <w:szCs w:val="28"/>
          <w:lang w:val="uk-UA"/>
        </w:rPr>
        <w:t>1</w:t>
      </w:r>
      <w:r w:rsidRPr="005F72A8">
        <w:rPr>
          <w:sz w:val="28"/>
          <w:szCs w:val="28"/>
        </w:rPr>
        <w:t>, 1</w:t>
      </w:r>
      <w:r w:rsidRPr="005F72A8">
        <w:rPr>
          <w:sz w:val="28"/>
          <w:szCs w:val="28"/>
          <w:lang w:val="uk-UA"/>
        </w:rPr>
        <w:t>2</w:t>
      </w:r>
      <w:r w:rsidRPr="005F72A8">
        <w:rPr>
          <w:sz w:val="28"/>
          <w:szCs w:val="28"/>
        </w:rPr>
        <w:t>]. При этом значение нарушений ОАГ в пат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генезе повреждения ПЖ у детей, матери которых подверглись влиянию негати</w:t>
      </w:r>
      <w:r w:rsidRPr="005F72A8">
        <w:rPr>
          <w:sz w:val="28"/>
          <w:szCs w:val="28"/>
        </w:rPr>
        <w:t>в</w:t>
      </w:r>
      <w:r w:rsidRPr="005F72A8">
        <w:rPr>
          <w:sz w:val="28"/>
          <w:szCs w:val="28"/>
        </w:rPr>
        <w:t>ных экзогенных факторов в течение беременности, ещё изучено недостаточно. Это об</w:t>
      </w:r>
      <w:r w:rsidRPr="005F72A8">
        <w:rPr>
          <w:sz w:val="28"/>
          <w:szCs w:val="28"/>
        </w:rPr>
        <w:t>у</w:t>
      </w:r>
      <w:r w:rsidRPr="005F72A8">
        <w:rPr>
          <w:sz w:val="28"/>
          <w:szCs w:val="28"/>
        </w:rPr>
        <w:t>словливает актуальность исследований в данном научном направлении и необходимость экспериментальных исследований для получения данных о сост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янии морфофункционального состояния ПЖ и </w:t>
      </w:r>
      <w:r w:rsidRPr="005F72A8">
        <w:rPr>
          <w:sz w:val="28"/>
          <w:szCs w:val="28"/>
        </w:rPr>
        <w:lastRenderedPageBreak/>
        <w:t>активности системы ПОЛ-АОС, которые н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возможно получить при клинических исследованиях.</w:t>
      </w:r>
    </w:p>
    <w:p w:rsidR="00D57A64" w:rsidRPr="005F72A8" w:rsidRDefault="00D57A64" w:rsidP="00D57A64">
      <w:pPr>
        <w:jc w:val="both"/>
        <w:rPr>
          <w:sz w:val="28"/>
          <w:szCs w:val="28"/>
        </w:rPr>
      </w:pPr>
      <w:r w:rsidRPr="005F72A8">
        <w:rPr>
          <w:sz w:val="28"/>
          <w:szCs w:val="28"/>
        </w:rPr>
        <w:tab/>
      </w:r>
      <w:r w:rsidRPr="005F72A8">
        <w:rPr>
          <w:b/>
          <w:sz w:val="28"/>
          <w:szCs w:val="28"/>
        </w:rPr>
        <w:t xml:space="preserve">Цель исследования. </w:t>
      </w:r>
      <w:r w:rsidRPr="005F72A8">
        <w:rPr>
          <w:sz w:val="28"/>
          <w:szCs w:val="28"/>
        </w:rPr>
        <w:t>Изучение особенностей ОАГ в ПЖ и с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>воротке крови крыс-матерей, получавших в течение беременности несбалансированное питание с избытком углеводов и жиров, и их новорождённого, одномесячного и двухм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сячного потомства. 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  <w:lang w:val="uk-UA"/>
        </w:rPr>
      </w:pPr>
      <w:r w:rsidRPr="005F72A8">
        <w:rPr>
          <w:b/>
          <w:sz w:val="28"/>
          <w:szCs w:val="28"/>
        </w:rPr>
        <w:t xml:space="preserve">Материал и методы исследования. </w:t>
      </w:r>
      <w:r w:rsidRPr="005F72A8">
        <w:rPr>
          <w:sz w:val="28"/>
          <w:szCs w:val="28"/>
        </w:rPr>
        <w:t>Экспериментальное исследование пр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ведено</w:t>
      </w:r>
      <w:r w:rsidRPr="005F72A8">
        <w:rPr>
          <w:b/>
          <w:sz w:val="28"/>
          <w:szCs w:val="28"/>
        </w:rPr>
        <w:t xml:space="preserve"> </w:t>
      </w:r>
      <w:r w:rsidRPr="005F72A8">
        <w:rPr>
          <w:sz w:val="28"/>
          <w:szCs w:val="28"/>
        </w:rPr>
        <w:t xml:space="preserve">на 70 </w:t>
      </w:r>
      <w:proofErr w:type="spellStart"/>
      <w:r w:rsidRPr="005F72A8">
        <w:rPr>
          <w:sz w:val="28"/>
          <w:szCs w:val="28"/>
        </w:rPr>
        <w:t>рандомбредных</w:t>
      </w:r>
      <w:proofErr w:type="spellEnd"/>
      <w:r w:rsidRPr="005F72A8">
        <w:rPr>
          <w:sz w:val="28"/>
          <w:szCs w:val="28"/>
        </w:rPr>
        <w:t xml:space="preserve"> крысах популяции WAG/G </w:t>
      </w:r>
      <w:proofErr w:type="spellStart"/>
      <w:r w:rsidRPr="005F72A8">
        <w:rPr>
          <w:sz w:val="28"/>
          <w:szCs w:val="28"/>
        </w:rPr>
        <w:t>Sto</w:t>
      </w:r>
      <w:proofErr w:type="spellEnd"/>
      <w:r w:rsidRPr="005F72A8">
        <w:rPr>
          <w:sz w:val="28"/>
          <w:szCs w:val="28"/>
        </w:rPr>
        <w:t>. Изучено состояние ОАГ в ткани ПЖ у 63 крыс (6-ти крыс-матерей, 16-ти новорождённых, 15-ти о</w:t>
      </w:r>
      <w:r w:rsidRPr="005F72A8">
        <w:rPr>
          <w:sz w:val="28"/>
          <w:szCs w:val="28"/>
        </w:rPr>
        <w:t>д</w:t>
      </w:r>
      <w:r w:rsidRPr="005F72A8">
        <w:rPr>
          <w:sz w:val="28"/>
          <w:szCs w:val="28"/>
        </w:rPr>
        <w:t xml:space="preserve">номесячных и 26-ти двухмесячных крысят) и в сыворотке крови у 45 крыс (6-ти крыс-матерей, 20-ти одномесячных и 19-ти двухмесячных крысят). </w:t>
      </w:r>
      <w:r w:rsidRPr="005F72A8">
        <w:rPr>
          <w:bCs/>
          <w:sz w:val="28"/>
          <w:szCs w:val="28"/>
          <w:lang w:eastAsia="uk-UA"/>
        </w:rPr>
        <w:t>Моделиров</w:t>
      </w:r>
      <w:r w:rsidRPr="005F72A8">
        <w:rPr>
          <w:bCs/>
          <w:sz w:val="28"/>
          <w:szCs w:val="28"/>
          <w:lang w:eastAsia="uk-UA"/>
        </w:rPr>
        <w:t>а</w:t>
      </w:r>
      <w:r w:rsidRPr="005F72A8">
        <w:rPr>
          <w:bCs/>
          <w:sz w:val="28"/>
          <w:szCs w:val="28"/>
          <w:lang w:eastAsia="uk-UA"/>
        </w:rPr>
        <w:t>ние влияния алиментарного фактора на крыс осуществлялось с использованием экспериментальной модели, разработанной на кафедре патологической физиол</w:t>
      </w:r>
      <w:r w:rsidRPr="005F72A8">
        <w:rPr>
          <w:bCs/>
          <w:sz w:val="28"/>
          <w:szCs w:val="28"/>
          <w:lang w:eastAsia="uk-UA"/>
        </w:rPr>
        <w:t>о</w:t>
      </w:r>
      <w:r w:rsidRPr="005F72A8">
        <w:rPr>
          <w:bCs/>
          <w:sz w:val="28"/>
          <w:szCs w:val="28"/>
          <w:lang w:eastAsia="uk-UA"/>
        </w:rPr>
        <w:t xml:space="preserve">гии им. Д.Е. </w:t>
      </w:r>
      <w:proofErr w:type="spellStart"/>
      <w:r w:rsidRPr="005F72A8">
        <w:rPr>
          <w:bCs/>
          <w:sz w:val="28"/>
          <w:szCs w:val="28"/>
          <w:lang w:eastAsia="uk-UA"/>
        </w:rPr>
        <w:t>Альперна</w:t>
      </w:r>
      <w:proofErr w:type="spellEnd"/>
      <w:r w:rsidRPr="005F72A8">
        <w:rPr>
          <w:bCs/>
          <w:sz w:val="28"/>
          <w:szCs w:val="28"/>
          <w:lang w:eastAsia="uk-UA"/>
        </w:rPr>
        <w:t xml:space="preserve"> ХНМУ</w:t>
      </w:r>
      <w:r w:rsidRPr="005F72A8">
        <w:rPr>
          <w:sz w:val="28"/>
          <w:szCs w:val="28"/>
          <w:lang w:val="uk-UA"/>
        </w:rPr>
        <w:t xml:space="preserve"> [17].</w:t>
      </w:r>
    </w:p>
    <w:p w:rsidR="00D57A64" w:rsidRPr="005F72A8" w:rsidRDefault="00D57A64" w:rsidP="00D57A64">
      <w:pPr>
        <w:jc w:val="both"/>
        <w:rPr>
          <w:sz w:val="28"/>
          <w:szCs w:val="28"/>
        </w:rPr>
      </w:pPr>
      <w:r w:rsidRPr="005F72A8">
        <w:rPr>
          <w:sz w:val="28"/>
          <w:szCs w:val="28"/>
        </w:rPr>
        <w:tab/>
        <w:t>Активность ПОЛ оценивали на основании содержания первичных и втори</w:t>
      </w:r>
      <w:r w:rsidRPr="005F72A8">
        <w:rPr>
          <w:sz w:val="28"/>
          <w:szCs w:val="28"/>
        </w:rPr>
        <w:t>ч</w:t>
      </w:r>
      <w:r w:rsidRPr="005F72A8">
        <w:rPr>
          <w:sz w:val="28"/>
          <w:szCs w:val="28"/>
        </w:rPr>
        <w:t xml:space="preserve">ных продуктов ПОЛ (ДК и МДА), активность АОС – на основании активности СОД </w:t>
      </w:r>
      <w:r w:rsidRPr="005F72A8">
        <w:rPr>
          <w:sz w:val="28"/>
          <w:szCs w:val="28"/>
          <w:lang w:val="uk-UA" w:bidi="he-IL"/>
        </w:rPr>
        <w:t xml:space="preserve">на </w:t>
      </w:r>
      <w:r w:rsidRPr="005F72A8">
        <w:rPr>
          <w:sz w:val="28"/>
          <w:szCs w:val="28"/>
          <w:lang w:bidi="he-IL"/>
        </w:rPr>
        <w:t xml:space="preserve">биохимическом анализаторе </w:t>
      </w:r>
      <w:proofErr w:type="spellStart"/>
      <w:r w:rsidRPr="005F72A8">
        <w:rPr>
          <w:sz w:val="28"/>
          <w:szCs w:val="28"/>
          <w:lang w:bidi="he-IL"/>
        </w:rPr>
        <w:t>Stat</w:t>
      </w:r>
      <w:proofErr w:type="spellEnd"/>
      <w:r w:rsidRPr="005F72A8">
        <w:rPr>
          <w:sz w:val="28"/>
          <w:szCs w:val="28"/>
          <w:lang w:bidi="he-IL"/>
        </w:rPr>
        <w:t xml:space="preserve"> </w:t>
      </w:r>
      <w:proofErr w:type="spellStart"/>
      <w:r w:rsidRPr="005F72A8">
        <w:rPr>
          <w:sz w:val="28"/>
          <w:szCs w:val="28"/>
          <w:lang w:bidi="he-IL"/>
        </w:rPr>
        <w:t>Fax</w:t>
      </w:r>
      <w:proofErr w:type="spellEnd"/>
      <w:r w:rsidRPr="005F72A8">
        <w:rPr>
          <w:sz w:val="28"/>
          <w:szCs w:val="28"/>
          <w:lang w:bidi="he-IL"/>
        </w:rPr>
        <w:t xml:space="preserve"> 303 </w:t>
      </w:r>
      <w:proofErr w:type="spellStart"/>
      <w:r w:rsidRPr="005F72A8">
        <w:rPr>
          <w:sz w:val="28"/>
          <w:szCs w:val="28"/>
          <w:lang w:bidi="he-IL"/>
        </w:rPr>
        <w:t>Plus</w:t>
      </w:r>
      <w:proofErr w:type="spellEnd"/>
      <w:r w:rsidRPr="005F72A8">
        <w:rPr>
          <w:sz w:val="28"/>
          <w:szCs w:val="28"/>
        </w:rPr>
        <w:t xml:space="preserve"> и каталазы (КАТ) на спе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трофотометре СФ-46 [1</w:t>
      </w:r>
      <w:r w:rsidRPr="005F72A8">
        <w:rPr>
          <w:sz w:val="28"/>
          <w:szCs w:val="28"/>
          <w:lang w:val="uk-UA"/>
        </w:rPr>
        <w:t>3</w:t>
      </w:r>
      <w:r w:rsidRPr="005F72A8">
        <w:rPr>
          <w:sz w:val="28"/>
          <w:szCs w:val="28"/>
        </w:rPr>
        <w:t>, 1</w:t>
      </w:r>
      <w:r w:rsidRPr="005F72A8">
        <w:rPr>
          <w:sz w:val="28"/>
          <w:szCs w:val="28"/>
          <w:lang w:val="uk-UA"/>
        </w:rPr>
        <w:t>4</w:t>
      </w:r>
      <w:r w:rsidRPr="005F72A8">
        <w:rPr>
          <w:sz w:val="28"/>
          <w:szCs w:val="28"/>
        </w:rPr>
        <w:t>, 1</w:t>
      </w:r>
      <w:r w:rsidRPr="005F72A8">
        <w:rPr>
          <w:sz w:val="28"/>
          <w:szCs w:val="28"/>
          <w:lang w:val="uk-UA"/>
        </w:rPr>
        <w:t>5</w:t>
      </w:r>
      <w:r w:rsidRPr="005F72A8">
        <w:rPr>
          <w:sz w:val="28"/>
          <w:szCs w:val="28"/>
        </w:rPr>
        <w:t>].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proofErr w:type="gramStart"/>
      <w:r w:rsidRPr="005F72A8">
        <w:rPr>
          <w:sz w:val="28"/>
          <w:szCs w:val="28"/>
        </w:rPr>
        <w:t>Содержание животных и эксперименты проводились согласно положений «Европейской конвенции о защите позвоночных животных, которые использую</w:t>
      </w:r>
      <w:r w:rsidRPr="005F72A8">
        <w:rPr>
          <w:sz w:val="28"/>
          <w:szCs w:val="28"/>
        </w:rPr>
        <w:t>т</w:t>
      </w:r>
      <w:r w:rsidRPr="005F72A8">
        <w:rPr>
          <w:sz w:val="28"/>
          <w:szCs w:val="28"/>
        </w:rPr>
        <w:t xml:space="preserve">ся для экспериментов и других научных целей» (Страсбург, 1986), </w:t>
      </w:r>
      <w:r w:rsidRPr="005F72A8">
        <w:rPr>
          <w:sz w:val="28"/>
          <w:szCs w:val="28"/>
          <w:lang w:val="uk-UA"/>
        </w:rPr>
        <w:t>«Загальних етичних принципів експериментів на тваринах»,</w:t>
      </w:r>
      <w:r w:rsidRPr="005F72A8">
        <w:rPr>
          <w:sz w:val="28"/>
          <w:szCs w:val="28"/>
        </w:rPr>
        <w:t xml:space="preserve"> утвержденных Первым наци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нальным конгрессом по биоэтике (Киев, 2001).</w:t>
      </w:r>
      <w:proofErr w:type="gramEnd"/>
      <w:r w:rsidRPr="005F72A8">
        <w:rPr>
          <w:sz w:val="28"/>
          <w:szCs w:val="28"/>
        </w:rPr>
        <w:t xml:space="preserve"> Выведение животных из экспер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мента проводилось с использованием ингаляционного введения углек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слого газа. Статистическую обработку результатов проводили с использованием программы S</w:t>
      </w:r>
      <w:r w:rsidRPr="005F72A8">
        <w:rPr>
          <w:caps/>
          <w:sz w:val="28"/>
          <w:szCs w:val="28"/>
        </w:rPr>
        <w:t>tatistica</w:t>
      </w:r>
      <w:r w:rsidRPr="005F72A8">
        <w:rPr>
          <w:sz w:val="28"/>
          <w:szCs w:val="28"/>
        </w:rPr>
        <w:t xml:space="preserve">-10. Для оценки достоверности различий применяли критерий U Манна-Уитни. </w:t>
      </w:r>
    </w:p>
    <w:p w:rsidR="00D57A64" w:rsidRPr="005F72A8" w:rsidRDefault="00D57A64" w:rsidP="00D57A64">
      <w:pPr>
        <w:jc w:val="both"/>
        <w:rPr>
          <w:color w:val="FF0000"/>
          <w:sz w:val="28"/>
          <w:szCs w:val="28"/>
        </w:rPr>
      </w:pPr>
      <w:r w:rsidRPr="005F72A8">
        <w:rPr>
          <w:b/>
          <w:sz w:val="28"/>
          <w:szCs w:val="28"/>
        </w:rPr>
        <w:t xml:space="preserve">Результаты и их обсуждение. </w:t>
      </w:r>
      <w:r w:rsidRPr="005F72A8">
        <w:rPr>
          <w:sz w:val="28"/>
          <w:szCs w:val="28"/>
        </w:rPr>
        <w:t>В результате исследования состояния ОАГ в ткани ПЖ крыс-матерей установлена активизация ПОЛ. Об этом свидетельствует сущ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ственное накопление как первичных (ДК), так и вторичных (МДА) продуктов ПОЛ (табл. 1). При этом соотношение ДК/МДА уменьшено (на 13,37%, 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&lt;0,01), т.е. у животных имеет место уже не ранняя стадия окисления, а высокая степень активности процессов ПОЛ, поскольку увеличение концентрации МДА является маркёром значительной степени эндогенной интоксикации [1</w:t>
      </w:r>
      <w:r w:rsidRPr="005F72A8">
        <w:rPr>
          <w:sz w:val="28"/>
          <w:szCs w:val="28"/>
          <w:lang w:val="uk-UA"/>
        </w:rPr>
        <w:t>1</w:t>
      </w:r>
      <w:r w:rsidRPr="005F72A8">
        <w:rPr>
          <w:sz w:val="28"/>
          <w:szCs w:val="28"/>
        </w:rPr>
        <w:t>]. Показатели а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тивности АОС (СОД и КАТ) оказались значительно ниже таковых у крыс группы контроля (см. табл. 1), что отражает недостаточность защитных механизмов, направленных на сохранение и поддержку гомеостаза в организме. Следует отм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тить, что соотношение показателей активности СОД/КАТ снижено на 6,22%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&lt;0,01), а это значит, что активность КАТ достаточна для дезактивации того к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личества перекиси водорода (Н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), которое образуется в</w:t>
      </w:r>
      <w:r>
        <w:rPr>
          <w:sz w:val="28"/>
          <w:szCs w:val="28"/>
        </w:rPr>
        <w:t xml:space="preserve"> </w:t>
      </w:r>
      <w:r w:rsidRPr="005F72A8">
        <w:rPr>
          <w:sz w:val="28"/>
          <w:szCs w:val="28"/>
        </w:rPr>
        <w:t xml:space="preserve">результате каталитической активности СОД в реакции </w:t>
      </w:r>
      <w:proofErr w:type="spellStart"/>
      <w:r w:rsidRPr="005F72A8">
        <w:rPr>
          <w:sz w:val="28"/>
          <w:szCs w:val="28"/>
        </w:rPr>
        <w:t>дисмутации</w:t>
      </w:r>
      <w:proofErr w:type="spellEnd"/>
      <w:r w:rsidRPr="005F72A8">
        <w:rPr>
          <w:sz w:val="28"/>
          <w:szCs w:val="28"/>
        </w:rPr>
        <w:t xml:space="preserve"> </w:t>
      </w:r>
      <w:proofErr w:type="spellStart"/>
      <w:r w:rsidRPr="005F72A8">
        <w:rPr>
          <w:sz w:val="28"/>
          <w:szCs w:val="28"/>
        </w:rPr>
        <w:t>суперокси</w:t>
      </w:r>
      <w:r w:rsidRPr="005F72A8">
        <w:rPr>
          <w:sz w:val="28"/>
          <w:szCs w:val="28"/>
        </w:rPr>
        <w:t>д</w:t>
      </w:r>
      <w:r w:rsidRPr="005F72A8">
        <w:rPr>
          <w:sz w:val="28"/>
          <w:szCs w:val="28"/>
        </w:rPr>
        <w:t>ных</w:t>
      </w:r>
      <w:proofErr w:type="spellEnd"/>
      <w:r w:rsidRPr="005F72A8">
        <w:rPr>
          <w:sz w:val="28"/>
          <w:szCs w:val="28"/>
        </w:rPr>
        <w:t xml:space="preserve"> анионных радикалов (О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  <w:vertAlign w:val="superscript"/>
        </w:rPr>
        <w:t>-</w:t>
      </w:r>
      <w:r w:rsidRPr="005F72A8">
        <w:rPr>
          <w:sz w:val="28"/>
          <w:szCs w:val="28"/>
        </w:rPr>
        <w:t xml:space="preserve">). 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</w:p>
    <w:p w:rsidR="00D57A64" w:rsidRPr="005F72A8" w:rsidRDefault="00D57A64" w:rsidP="00D57A64">
      <w:pPr>
        <w:spacing w:line="360" w:lineRule="auto"/>
        <w:jc w:val="right"/>
        <w:rPr>
          <w:sz w:val="28"/>
          <w:szCs w:val="28"/>
        </w:rPr>
      </w:pPr>
      <w:r w:rsidRPr="005F72A8">
        <w:rPr>
          <w:sz w:val="28"/>
          <w:szCs w:val="28"/>
        </w:rPr>
        <w:t>Таблица 1</w:t>
      </w:r>
    </w:p>
    <w:p w:rsidR="00D57A64" w:rsidRPr="005F72A8" w:rsidRDefault="00D57A64" w:rsidP="00D57A64">
      <w:pPr>
        <w:jc w:val="center"/>
        <w:rPr>
          <w:sz w:val="28"/>
          <w:szCs w:val="28"/>
        </w:rPr>
      </w:pPr>
      <w:r w:rsidRPr="005F72A8">
        <w:rPr>
          <w:sz w:val="28"/>
          <w:szCs w:val="28"/>
        </w:rPr>
        <w:t>Показатели активности ПОЛ и АОС (М±</w:t>
      </w:r>
      <w:r w:rsidRPr="005F72A8">
        <w:rPr>
          <w:sz w:val="28"/>
          <w:szCs w:val="28"/>
          <w:lang w:val="en-US"/>
        </w:rPr>
        <w:t>m</w:t>
      </w:r>
      <w:r w:rsidRPr="005F72A8">
        <w:rPr>
          <w:sz w:val="28"/>
          <w:szCs w:val="28"/>
        </w:rPr>
        <w:t>) в ткани ПЗ и сыворотке крови у крыс-матерей, п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лучавших несбалансированное питание </w:t>
      </w:r>
    </w:p>
    <w:p w:rsidR="00D57A64" w:rsidRPr="005F72A8" w:rsidRDefault="00D57A64" w:rsidP="00D57A64">
      <w:pPr>
        <w:jc w:val="center"/>
        <w:rPr>
          <w:sz w:val="28"/>
          <w:szCs w:val="28"/>
        </w:rPr>
      </w:pPr>
      <w:r w:rsidRPr="005F72A8">
        <w:rPr>
          <w:sz w:val="28"/>
          <w:szCs w:val="28"/>
        </w:rPr>
        <w:t xml:space="preserve">с избытком питательных веществ в течение беременности </w:t>
      </w:r>
    </w:p>
    <w:p w:rsidR="00D57A64" w:rsidRPr="005F72A8" w:rsidRDefault="00D57A64" w:rsidP="00D57A64">
      <w:pPr>
        <w:jc w:val="center"/>
        <w:rPr>
          <w:sz w:val="28"/>
          <w:szCs w:val="28"/>
        </w:rPr>
      </w:pPr>
      <w:r w:rsidRPr="005F72A8">
        <w:rPr>
          <w:sz w:val="28"/>
          <w:szCs w:val="28"/>
        </w:rPr>
        <w:t>(</w:t>
      </w:r>
      <w:proofErr w:type="gramStart"/>
      <w:r w:rsidRPr="005F72A8">
        <w:rPr>
          <w:sz w:val="28"/>
          <w:szCs w:val="28"/>
        </w:rPr>
        <w:t>в</w:t>
      </w:r>
      <w:proofErr w:type="gramEnd"/>
      <w:r w:rsidRPr="005F72A8">
        <w:rPr>
          <w:sz w:val="28"/>
          <w:szCs w:val="28"/>
        </w:rPr>
        <w:t xml:space="preserve"> % от н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рматива)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4320"/>
      </w:tblGrid>
      <w:tr w:rsidR="00D57A64" w:rsidRPr="008D7F5A" w:rsidTr="00912C5F">
        <w:trPr>
          <w:trHeight w:val="323"/>
        </w:trPr>
        <w:tc>
          <w:tcPr>
            <w:tcW w:w="172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Показатели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Крысы-матери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ПЖ (n=6)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Кровь (n=6)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ДК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164,15±1,16**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 xml:space="preserve">109,5±3,09* </w:t>
            </w:r>
            <w:r w:rsidRPr="008D7F5A">
              <w:rPr>
                <w:i/>
                <w:sz w:val="28"/>
                <w:szCs w:val="28"/>
              </w:rPr>
              <w:t>(</w:t>
            </w:r>
            <w:proofErr w:type="spellStart"/>
            <w:r w:rsidRPr="008D7F5A">
              <w:rPr>
                <w:i/>
                <w:sz w:val="28"/>
                <w:szCs w:val="28"/>
              </w:rPr>
              <w:t>р</w:t>
            </w:r>
            <w:r w:rsidRPr="008D7F5A">
              <w:rPr>
                <w:i/>
                <w:smallCaps/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i/>
                <w:sz w:val="28"/>
                <w:szCs w:val="28"/>
              </w:rPr>
              <w:t>&lt;0,01)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E6E6E6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proofErr w:type="spellStart"/>
            <w:r w:rsidRPr="008D7F5A">
              <w:rPr>
                <w:sz w:val="28"/>
                <w:szCs w:val="28"/>
              </w:rPr>
              <w:t>ДК</w:t>
            </w:r>
            <w:r w:rsidRPr="008D7F5A">
              <w:rPr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sz w:val="28"/>
                <w:szCs w:val="28"/>
                <w:vertAlign w:val="subscript"/>
              </w:rPr>
              <w:t>/с</w:t>
            </w: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150,58±3,7**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МДА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194,3±9,4**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 xml:space="preserve">129,68±6,24** </w:t>
            </w:r>
            <w:r w:rsidRPr="008D7F5A">
              <w:rPr>
                <w:i/>
                <w:sz w:val="28"/>
                <w:szCs w:val="28"/>
              </w:rPr>
              <w:t>(</w:t>
            </w:r>
            <w:proofErr w:type="spellStart"/>
            <w:r w:rsidRPr="008D7F5A">
              <w:rPr>
                <w:i/>
                <w:sz w:val="28"/>
                <w:szCs w:val="28"/>
              </w:rPr>
              <w:t>р</w:t>
            </w:r>
            <w:r w:rsidRPr="008D7F5A">
              <w:rPr>
                <w:i/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i/>
                <w:sz w:val="28"/>
                <w:szCs w:val="28"/>
              </w:rPr>
              <w:t>&lt;0,01)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E6E6E6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proofErr w:type="spellStart"/>
            <w:r w:rsidRPr="008D7F5A">
              <w:rPr>
                <w:sz w:val="28"/>
                <w:szCs w:val="28"/>
              </w:rPr>
              <w:t>МДА</w:t>
            </w:r>
            <w:r w:rsidRPr="008D7F5A">
              <w:rPr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sz w:val="28"/>
                <w:szCs w:val="28"/>
                <w:vertAlign w:val="subscript"/>
              </w:rPr>
              <w:t>/с</w:t>
            </w: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151,8±12,4**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ДК/МДА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86,63±4,28*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84,0±2,14**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СОД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72,43±0,6**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 xml:space="preserve">111,37±3,33* </w:t>
            </w:r>
            <w:r w:rsidRPr="008D7F5A">
              <w:rPr>
                <w:i/>
                <w:sz w:val="28"/>
                <w:szCs w:val="28"/>
              </w:rPr>
              <w:t>(</w:t>
            </w:r>
            <w:proofErr w:type="spellStart"/>
            <w:r w:rsidRPr="008D7F5A">
              <w:rPr>
                <w:i/>
                <w:sz w:val="28"/>
                <w:szCs w:val="28"/>
              </w:rPr>
              <w:t>р</w:t>
            </w:r>
            <w:r w:rsidRPr="008D7F5A">
              <w:rPr>
                <w:i/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i/>
                <w:sz w:val="28"/>
                <w:szCs w:val="28"/>
              </w:rPr>
              <w:t>&lt;0,01)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E6E6E6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proofErr w:type="spellStart"/>
            <w:r w:rsidRPr="008D7F5A">
              <w:rPr>
                <w:sz w:val="28"/>
                <w:szCs w:val="28"/>
              </w:rPr>
              <w:t>СОД</w:t>
            </w:r>
            <w:r w:rsidRPr="008D7F5A">
              <w:rPr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sz w:val="28"/>
                <w:szCs w:val="28"/>
                <w:vertAlign w:val="subscript"/>
              </w:rPr>
              <w:t>/с</w:t>
            </w: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65,55±3,33**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КАТ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76,57±2,25**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 xml:space="preserve">123,58±3,27** </w:t>
            </w:r>
            <w:bookmarkStart w:id="0" w:name="OLE_LINK1"/>
            <w:bookmarkStart w:id="1" w:name="OLE_LINK2"/>
            <w:r w:rsidRPr="008D7F5A">
              <w:rPr>
                <w:i/>
                <w:sz w:val="28"/>
                <w:szCs w:val="28"/>
              </w:rPr>
              <w:t>(</w:t>
            </w:r>
            <w:proofErr w:type="spellStart"/>
            <w:r w:rsidRPr="008D7F5A">
              <w:rPr>
                <w:i/>
                <w:sz w:val="28"/>
                <w:szCs w:val="28"/>
              </w:rPr>
              <w:t>р</w:t>
            </w:r>
            <w:r w:rsidRPr="008D7F5A">
              <w:rPr>
                <w:i/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i/>
                <w:sz w:val="28"/>
                <w:szCs w:val="28"/>
              </w:rPr>
              <w:t>&lt;0,01)</w:t>
            </w:r>
            <w:bookmarkEnd w:id="0"/>
            <w:bookmarkEnd w:id="1"/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E6E6E6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proofErr w:type="spellStart"/>
            <w:r w:rsidRPr="008D7F5A">
              <w:rPr>
                <w:sz w:val="28"/>
                <w:szCs w:val="28"/>
              </w:rPr>
              <w:t>КАТ</w:t>
            </w:r>
            <w:r w:rsidRPr="008D7F5A">
              <w:rPr>
                <w:sz w:val="28"/>
                <w:szCs w:val="28"/>
                <w:vertAlign w:val="subscript"/>
              </w:rPr>
              <w:t>пж</w:t>
            </w:r>
            <w:proofErr w:type="spellEnd"/>
            <w:r w:rsidRPr="008D7F5A">
              <w:rPr>
                <w:sz w:val="28"/>
                <w:szCs w:val="28"/>
                <w:vertAlign w:val="subscript"/>
              </w:rPr>
              <w:t>/с</w:t>
            </w: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63,67±2,93**</w:t>
            </w:r>
          </w:p>
        </w:tc>
      </w:tr>
      <w:tr w:rsidR="00D57A64" w:rsidRPr="008D7F5A" w:rsidTr="00912C5F">
        <w:trPr>
          <w:trHeight w:val="32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СОД/КАТ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93,78±1,14**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jc w:val="center"/>
              <w:rPr>
                <w:sz w:val="28"/>
                <w:szCs w:val="28"/>
              </w:rPr>
            </w:pPr>
            <w:r w:rsidRPr="008D7F5A">
              <w:rPr>
                <w:sz w:val="28"/>
                <w:szCs w:val="28"/>
              </w:rPr>
              <w:t>90,65±3,81*</w:t>
            </w:r>
          </w:p>
        </w:tc>
      </w:tr>
    </w:tbl>
    <w:p w:rsidR="00D57A64" w:rsidRPr="005F72A8" w:rsidRDefault="00D57A64" w:rsidP="00D57A64">
      <w:pPr>
        <w:rPr>
          <w:sz w:val="28"/>
          <w:szCs w:val="28"/>
        </w:rPr>
      </w:pPr>
      <w:r w:rsidRPr="005F72A8">
        <w:rPr>
          <w:sz w:val="28"/>
          <w:szCs w:val="28"/>
        </w:rPr>
        <w:t xml:space="preserve">Примечания: 1. **- 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&lt;0,01; * - р&lt;0,05 – сравнение с группой контр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ля.</w:t>
      </w:r>
    </w:p>
    <w:p w:rsidR="00D57A64" w:rsidRPr="005F72A8" w:rsidRDefault="00D57A64" w:rsidP="00D57A64">
      <w:pPr>
        <w:tabs>
          <w:tab w:val="left" w:pos="1440"/>
        </w:tabs>
        <w:ind w:left="1800" w:hanging="1800"/>
        <w:rPr>
          <w:sz w:val="28"/>
          <w:szCs w:val="28"/>
        </w:rPr>
      </w:pPr>
      <w:r w:rsidRPr="005F72A8">
        <w:rPr>
          <w:sz w:val="28"/>
          <w:szCs w:val="28"/>
        </w:rPr>
        <w:tab/>
        <w:t xml:space="preserve">2.  </w:t>
      </w:r>
      <w:proofErr w:type="spellStart"/>
      <w:r w:rsidRPr="005F72A8">
        <w:rPr>
          <w:sz w:val="28"/>
          <w:szCs w:val="28"/>
        </w:rPr>
        <w:t>р</w:t>
      </w:r>
      <w:r w:rsidRPr="005F72A8">
        <w:rPr>
          <w:sz w:val="28"/>
          <w:szCs w:val="28"/>
          <w:vertAlign w:val="subscript"/>
        </w:rPr>
        <w:t>пж</w:t>
      </w:r>
      <w:proofErr w:type="spellEnd"/>
      <w:r w:rsidRPr="005F72A8">
        <w:rPr>
          <w:sz w:val="28"/>
          <w:szCs w:val="28"/>
        </w:rPr>
        <w:t xml:space="preserve"> – сравнение с показателями в ПЖ. </w:t>
      </w:r>
    </w:p>
    <w:p w:rsidR="00D57A64" w:rsidRPr="005F72A8" w:rsidRDefault="00D57A64" w:rsidP="00D57A64">
      <w:pPr>
        <w:spacing w:line="360" w:lineRule="auto"/>
        <w:rPr>
          <w:sz w:val="28"/>
          <w:szCs w:val="28"/>
        </w:rPr>
      </w:pP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Показатели ДК и МДА в сыворотке крови достоверно повышены, однако существенно меньше, чем в ткани ПЖ (см. табл. 1). При этом соотношение ДК/МДА снижено (в крови, как и в ПЖ, также преобладает накопление втори</w:t>
      </w:r>
      <w:r w:rsidRPr="005F72A8">
        <w:rPr>
          <w:sz w:val="28"/>
          <w:szCs w:val="28"/>
        </w:rPr>
        <w:t>ч</w:t>
      </w:r>
      <w:r w:rsidRPr="005F72A8">
        <w:rPr>
          <w:sz w:val="28"/>
          <w:szCs w:val="28"/>
        </w:rPr>
        <w:t>ных продуктов ПОЛ) и не отличается от такового в ткани ПЖ. О более высокой степени активности процессов ПОЛ в ткани ПЖ свидетельствует повышение б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лее, чем в 1,5 раза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 xml:space="preserve">&lt;0,01) соотношения уровней первичных и вторичных продуктов ПОЛ в </w:t>
      </w:r>
      <w:proofErr w:type="spellStart"/>
      <w:r w:rsidRPr="005F72A8">
        <w:rPr>
          <w:sz w:val="28"/>
          <w:szCs w:val="28"/>
        </w:rPr>
        <w:t>гомогенате</w:t>
      </w:r>
      <w:proofErr w:type="spellEnd"/>
      <w:r w:rsidRPr="005F72A8">
        <w:rPr>
          <w:sz w:val="28"/>
          <w:szCs w:val="28"/>
        </w:rPr>
        <w:t xml:space="preserve"> ПЖ и сыв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ротке крови. 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proofErr w:type="gramStart"/>
      <w:r w:rsidRPr="005F72A8">
        <w:rPr>
          <w:sz w:val="28"/>
          <w:szCs w:val="28"/>
        </w:rPr>
        <w:t>Уровень показателей АОС в сыворотке крови у крыс-матерей, в отличие от таковых в ткани ПЖ не снижены, а достоверно повышены не только в сравнении с их значениями в сыворотке крови у крыс группы контроля, но и в сравнении с содержанием СОД и КАТ в ткани ПЖ соответственно на 54,65% и 64,62% (см. табл. 1).</w:t>
      </w:r>
      <w:proofErr w:type="gramEnd"/>
      <w:r w:rsidRPr="005F72A8">
        <w:rPr>
          <w:sz w:val="28"/>
          <w:szCs w:val="28"/>
        </w:rPr>
        <w:t xml:space="preserve"> О более высокой степени активности АОС крови свидетельствует сниж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ние соотношения уровней СОД и КАТ в </w:t>
      </w:r>
      <w:proofErr w:type="spellStart"/>
      <w:r w:rsidRPr="005F72A8">
        <w:rPr>
          <w:sz w:val="28"/>
          <w:szCs w:val="28"/>
        </w:rPr>
        <w:t>гомогенате</w:t>
      </w:r>
      <w:proofErr w:type="spellEnd"/>
      <w:r w:rsidRPr="005F72A8">
        <w:rPr>
          <w:sz w:val="28"/>
          <w:szCs w:val="28"/>
        </w:rPr>
        <w:t xml:space="preserve"> ПЖ и сыворотке крови (</w:t>
      </w:r>
      <w:proofErr w:type="spellStart"/>
      <w:r w:rsidRPr="005F72A8">
        <w:rPr>
          <w:sz w:val="28"/>
          <w:szCs w:val="28"/>
        </w:rPr>
        <w:t>СОД</w:t>
      </w:r>
      <w:r w:rsidRPr="005F72A8">
        <w:rPr>
          <w:sz w:val="28"/>
          <w:szCs w:val="28"/>
          <w:vertAlign w:val="subscript"/>
        </w:rPr>
        <w:t>пж</w:t>
      </w:r>
      <w:proofErr w:type="spellEnd"/>
      <w:r w:rsidRPr="005F72A8">
        <w:rPr>
          <w:sz w:val="28"/>
          <w:szCs w:val="28"/>
          <w:vertAlign w:val="subscript"/>
        </w:rPr>
        <w:t>/с</w:t>
      </w:r>
      <w:r w:rsidRPr="005F72A8">
        <w:rPr>
          <w:sz w:val="28"/>
          <w:szCs w:val="28"/>
        </w:rPr>
        <w:t xml:space="preserve">; </w:t>
      </w:r>
      <w:proofErr w:type="spellStart"/>
      <w:r w:rsidRPr="005F72A8">
        <w:rPr>
          <w:sz w:val="28"/>
          <w:szCs w:val="28"/>
        </w:rPr>
        <w:t>КАТ</w:t>
      </w:r>
      <w:r w:rsidRPr="005F72A8">
        <w:rPr>
          <w:sz w:val="28"/>
          <w:szCs w:val="28"/>
          <w:vertAlign w:val="subscript"/>
        </w:rPr>
        <w:t>пж</w:t>
      </w:r>
      <w:proofErr w:type="spellEnd"/>
      <w:r w:rsidRPr="005F72A8">
        <w:rPr>
          <w:sz w:val="28"/>
          <w:szCs w:val="28"/>
          <w:vertAlign w:val="subscript"/>
        </w:rPr>
        <w:t>/с</w:t>
      </w:r>
      <w:r w:rsidRPr="005F72A8">
        <w:rPr>
          <w:sz w:val="28"/>
          <w:szCs w:val="28"/>
        </w:rPr>
        <w:t>) с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ответственно на 34,45% и 36,33%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&lt;0,01).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Таким образом, установлено, что у крыс, которые в течение беременности получали несбалансированное питание с избытком углеводов и жиров, имеет м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сто нарушение ОАГ как в крови, так и в ткани ПЖ. Причём, если в крови актив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ция ПОЛ сопровождается повышением активности АОС, то в ткани ПЖ активность АОС снижена. Т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 xml:space="preserve">кие изменения ОАГ в ткани ПЖ манифестируют наличие у обследованных животных выраженного </w:t>
      </w:r>
      <w:proofErr w:type="spellStart"/>
      <w:r w:rsidRPr="005F72A8">
        <w:rPr>
          <w:sz w:val="28"/>
          <w:szCs w:val="28"/>
        </w:rPr>
        <w:lastRenderedPageBreak/>
        <w:t>оксидативного</w:t>
      </w:r>
      <w:proofErr w:type="spellEnd"/>
      <w:r w:rsidRPr="005F72A8">
        <w:rPr>
          <w:sz w:val="28"/>
          <w:szCs w:val="28"/>
        </w:rPr>
        <w:t xml:space="preserve"> стресса, потенциально небезопасного для повреждения мембран и клеточных структур ПЖ. Исходя из этого, можно заключить, что он является одним из патогенетических звеньев п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вреждения ПЖ, которое в дальнейшем может привести к развитию ХП и сахарного диаб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та. 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У новорождённых крысят, также как и у их матерей, в ПЖ установлена а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тивация ПОЛ, поскольку имеется достоверное повышение показателей ДК и МДА (табл. 2). По сравнению с показателями крыс-матерей уровень ДК в новорождё</w:t>
      </w:r>
      <w:r w:rsidRPr="005F72A8">
        <w:rPr>
          <w:sz w:val="28"/>
          <w:szCs w:val="28"/>
        </w:rPr>
        <w:t>н</w:t>
      </w:r>
      <w:r w:rsidRPr="005F72A8">
        <w:rPr>
          <w:sz w:val="28"/>
          <w:szCs w:val="28"/>
        </w:rPr>
        <w:t>ных меньший на 37,22%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&lt;0,01), а содержание МДА несколько больше (на 5,41%, р&gt;0,05); соотношение ДК/МДА меньше норм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тивного значения на 37,16% (р&lt;0,01), что свидетельствует о преимущественном накоплении вторичных пр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дуктов ПОЛ, степень которого достоверно выше, чем у крыс-матерей (показ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тель ДК/МДА меньше на 23,79%). Но, в отличие от самок, у новорождённых крысят выявлено повышение активности АОС: активность СОД и КАТ достоверно пр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вышала её </w:t>
      </w:r>
      <w:proofErr w:type="gramStart"/>
      <w:r w:rsidRPr="005F72A8">
        <w:rPr>
          <w:sz w:val="28"/>
          <w:szCs w:val="28"/>
        </w:rPr>
        <w:t>уровень</w:t>
      </w:r>
      <w:proofErr w:type="gramEnd"/>
      <w:r w:rsidRPr="005F72A8">
        <w:rPr>
          <w:sz w:val="28"/>
          <w:szCs w:val="28"/>
        </w:rPr>
        <w:t xml:space="preserve"> как у животных группы контроля, так и у крыс-матерей (см. табл. 1, 2). При этом соотношение показателей СОД/КАТ умеренно (но достове</w:t>
      </w:r>
      <w:r w:rsidRPr="005F72A8">
        <w:rPr>
          <w:sz w:val="28"/>
          <w:szCs w:val="28"/>
        </w:rPr>
        <w:t>р</w:t>
      </w:r>
      <w:r w:rsidRPr="005F72A8">
        <w:rPr>
          <w:sz w:val="28"/>
          <w:szCs w:val="28"/>
        </w:rPr>
        <w:t>но) увеличено, что дает основания для предп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ложения относительно накопления Н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 xml:space="preserve"> в ткани ПЖ в результате относительной недостаточности активности КАТ. Результаты исследования свидетельствуют, что </w:t>
      </w:r>
      <w:proofErr w:type="spellStart"/>
      <w:r w:rsidRPr="005F72A8">
        <w:rPr>
          <w:sz w:val="28"/>
          <w:szCs w:val="28"/>
        </w:rPr>
        <w:t>оксидативный</w:t>
      </w:r>
      <w:proofErr w:type="spellEnd"/>
      <w:r w:rsidRPr="005F72A8">
        <w:rPr>
          <w:sz w:val="28"/>
          <w:szCs w:val="28"/>
        </w:rPr>
        <w:t xml:space="preserve"> стресс в ПЖ нов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рождённых крысят повлёк активацию АОС, </w:t>
      </w:r>
    </w:p>
    <w:p w:rsidR="00D57A64" w:rsidRPr="005F72A8" w:rsidRDefault="00D57A64" w:rsidP="00D57A64">
      <w:pPr>
        <w:spacing w:line="360" w:lineRule="auto"/>
        <w:jc w:val="right"/>
        <w:rPr>
          <w:sz w:val="28"/>
          <w:szCs w:val="28"/>
        </w:rPr>
      </w:pPr>
      <w:r w:rsidRPr="005F72A8">
        <w:rPr>
          <w:sz w:val="28"/>
          <w:szCs w:val="28"/>
        </w:rPr>
        <w:t>Таблица 2</w:t>
      </w:r>
    </w:p>
    <w:p w:rsidR="00D57A64" w:rsidRPr="005F72A8" w:rsidRDefault="00D57A64" w:rsidP="00D57A64">
      <w:pPr>
        <w:jc w:val="center"/>
        <w:rPr>
          <w:sz w:val="28"/>
          <w:szCs w:val="28"/>
        </w:rPr>
      </w:pPr>
      <w:r w:rsidRPr="005F72A8">
        <w:rPr>
          <w:sz w:val="28"/>
          <w:szCs w:val="28"/>
        </w:rPr>
        <w:t>Показатели активности ПОЛ и АОС (М±</w:t>
      </w:r>
      <w:r w:rsidRPr="005F72A8">
        <w:rPr>
          <w:sz w:val="28"/>
          <w:szCs w:val="28"/>
          <w:lang w:val="en-US"/>
        </w:rPr>
        <w:t>m</w:t>
      </w:r>
      <w:r w:rsidRPr="005F72A8">
        <w:rPr>
          <w:sz w:val="28"/>
          <w:szCs w:val="28"/>
        </w:rPr>
        <w:t xml:space="preserve">) в ткани ПЖ и сыворотке крови у потомства крыс-матерей, получавших несбалансированное питание с избытком питательных веществ в течение беременности </w:t>
      </w:r>
    </w:p>
    <w:p w:rsidR="00D57A64" w:rsidRPr="005F72A8" w:rsidRDefault="00D57A64" w:rsidP="00D57A64">
      <w:pPr>
        <w:spacing w:after="120"/>
        <w:jc w:val="center"/>
        <w:rPr>
          <w:sz w:val="28"/>
          <w:szCs w:val="28"/>
        </w:rPr>
      </w:pPr>
      <w:r w:rsidRPr="005F72A8">
        <w:rPr>
          <w:sz w:val="28"/>
          <w:szCs w:val="28"/>
        </w:rPr>
        <w:t>(</w:t>
      </w:r>
      <w:proofErr w:type="gramStart"/>
      <w:r w:rsidRPr="005F72A8">
        <w:rPr>
          <w:sz w:val="28"/>
          <w:szCs w:val="28"/>
        </w:rPr>
        <w:t>в</w:t>
      </w:r>
      <w:proofErr w:type="gramEnd"/>
      <w:r w:rsidRPr="005F72A8">
        <w:rPr>
          <w:sz w:val="28"/>
          <w:szCs w:val="28"/>
        </w:rPr>
        <w:t xml:space="preserve"> % от н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рматива)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620"/>
        <w:gridCol w:w="1800"/>
        <w:gridCol w:w="1800"/>
      </w:tblGrid>
      <w:tr w:rsidR="00D57A64" w:rsidRPr="00DE5016" w:rsidTr="00912C5F">
        <w:trPr>
          <w:trHeight w:val="141"/>
        </w:trPr>
        <w:tc>
          <w:tcPr>
            <w:tcW w:w="136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Показат</w:t>
            </w:r>
            <w:r w:rsidRPr="00C152C3">
              <w:t>е</w:t>
            </w:r>
            <w:r w:rsidRPr="00C152C3">
              <w:t>ли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jc w:val="center"/>
            </w:pPr>
            <w:r w:rsidRPr="00C152C3">
              <w:t>Группы крысят</w:t>
            </w:r>
          </w:p>
        </w:tc>
      </w:tr>
      <w:tr w:rsidR="00D57A64" w:rsidRPr="00DE5016" w:rsidTr="00912C5F">
        <w:trPr>
          <w:trHeight w:val="140"/>
        </w:trPr>
        <w:tc>
          <w:tcPr>
            <w:tcW w:w="136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Новоро</w:t>
            </w:r>
            <w:r w:rsidRPr="00C152C3">
              <w:t>ж</w:t>
            </w:r>
            <w:r w:rsidRPr="00C152C3">
              <w:t>дённые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1-месячные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2 месячные</w:t>
            </w:r>
          </w:p>
        </w:tc>
      </w:tr>
      <w:tr w:rsidR="00D57A64" w:rsidRPr="00DE5016" w:rsidTr="00912C5F">
        <w:trPr>
          <w:trHeight w:val="205"/>
        </w:trPr>
        <w:tc>
          <w:tcPr>
            <w:tcW w:w="13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D57A64" w:rsidRPr="00C152C3" w:rsidRDefault="00D57A64" w:rsidP="00912C5F">
            <w:pPr>
              <w:jc w:val="center"/>
            </w:pPr>
            <w:r w:rsidRPr="00C152C3">
              <w:t>ПЖ</w:t>
            </w:r>
          </w:p>
          <w:p w:rsidR="00D57A64" w:rsidRPr="00C152C3" w:rsidRDefault="00D57A64" w:rsidP="00912C5F">
            <w:pPr>
              <w:jc w:val="center"/>
            </w:pPr>
            <w:r w:rsidRPr="00C152C3">
              <w:t>(n=</w:t>
            </w:r>
            <w:r w:rsidRPr="008D7F5A">
              <w:rPr>
                <w:lang w:val="uk-UA"/>
              </w:rPr>
              <w:t>1</w:t>
            </w:r>
            <w:r w:rsidRPr="00C152C3">
              <w:t>6</w:t>
            </w:r>
            <w:r w:rsidRPr="008D7F5A">
              <w:rPr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D57A64" w:rsidRPr="00C152C3" w:rsidRDefault="00D57A64" w:rsidP="00912C5F">
            <w:pPr>
              <w:jc w:val="center"/>
            </w:pPr>
            <w:r w:rsidRPr="00C152C3">
              <w:t>ПЖ</w:t>
            </w:r>
          </w:p>
          <w:p w:rsidR="00D57A64" w:rsidRPr="00C152C3" w:rsidRDefault="00D57A64" w:rsidP="00912C5F">
            <w:pPr>
              <w:jc w:val="center"/>
            </w:pPr>
            <w:r w:rsidRPr="00C152C3">
              <w:t>(n=</w:t>
            </w:r>
            <w:r w:rsidRPr="008D7F5A">
              <w:rPr>
                <w:lang w:val="uk-UA"/>
              </w:rPr>
              <w:t>15)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jc w:val="center"/>
            </w:pPr>
            <w:r w:rsidRPr="00C152C3">
              <w:t>Кровь</w:t>
            </w:r>
          </w:p>
          <w:p w:rsidR="00D57A64" w:rsidRPr="00C152C3" w:rsidRDefault="00D57A64" w:rsidP="00912C5F">
            <w:pPr>
              <w:jc w:val="center"/>
            </w:pPr>
            <w:r w:rsidRPr="00C152C3">
              <w:t>(n=20</w:t>
            </w:r>
            <w:r w:rsidRPr="008D7F5A"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D57A64" w:rsidRPr="00C152C3" w:rsidRDefault="00D57A64" w:rsidP="00912C5F">
            <w:pPr>
              <w:jc w:val="center"/>
            </w:pPr>
            <w:r w:rsidRPr="00C152C3">
              <w:t>ПЖ</w:t>
            </w:r>
          </w:p>
          <w:p w:rsidR="00D57A64" w:rsidRPr="00C152C3" w:rsidRDefault="00D57A64" w:rsidP="00912C5F">
            <w:pPr>
              <w:jc w:val="center"/>
            </w:pPr>
            <w:r w:rsidRPr="00C152C3">
              <w:t>(n=26</w:t>
            </w:r>
            <w:r w:rsidRPr="008D7F5A"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jc w:val="center"/>
            </w:pPr>
            <w:r w:rsidRPr="00C152C3">
              <w:t>Кровь</w:t>
            </w:r>
          </w:p>
          <w:p w:rsidR="00D57A64" w:rsidRPr="00C152C3" w:rsidRDefault="00D57A64" w:rsidP="00912C5F">
            <w:pPr>
              <w:jc w:val="center"/>
            </w:pPr>
            <w:r w:rsidRPr="00C152C3">
              <w:t>(n=</w:t>
            </w:r>
            <w:r w:rsidRPr="008D7F5A">
              <w:rPr>
                <w:lang w:val="uk-UA"/>
              </w:rPr>
              <w:t>19)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7A64" w:rsidRPr="00C152C3" w:rsidRDefault="00D57A64" w:rsidP="00912C5F">
            <w:pPr>
              <w:spacing w:before="60" w:after="60"/>
            </w:pPr>
            <w:r w:rsidRPr="008D7F5A">
              <w:rPr>
                <w:lang w:val="uk-UA"/>
              </w:rPr>
              <w:t>ДК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C152C3">
              <w:t>26</w:t>
            </w:r>
            <w:r w:rsidRPr="008D7F5A">
              <w:rPr>
                <w:lang w:val="en-US"/>
              </w:rPr>
              <w:t>,</w:t>
            </w:r>
            <w:r w:rsidRPr="00C152C3">
              <w:t>9±</w:t>
            </w:r>
            <w:r w:rsidRPr="008D7F5A">
              <w:rPr>
                <w:lang w:val="en-US"/>
              </w:rPr>
              <w:t>0,</w:t>
            </w:r>
            <w:r w:rsidRPr="00C152C3">
              <w:t>8**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104,</w:t>
            </w:r>
            <w:r w:rsidRPr="00C152C3">
              <w:t>3±</w:t>
            </w:r>
            <w:r w:rsidRPr="008D7F5A">
              <w:rPr>
                <w:lang w:val="en-US"/>
              </w:rPr>
              <w:t>0,</w:t>
            </w:r>
            <w:r w:rsidRPr="00C152C3">
              <w:t>5**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</w:rPr>
              <w:t>&lt;0,0</w:t>
            </w:r>
            <w:r w:rsidRPr="008D7F5A">
              <w:rPr>
                <w:i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97</w:t>
            </w:r>
            <w:r w:rsidRPr="008D7F5A">
              <w:rPr>
                <w:lang w:val="en-US"/>
              </w:rPr>
              <w:t>,</w:t>
            </w:r>
            <w:r w:rsidRPr="00C152C3">
              <w:t>9±0</w:t>
            </w:r>
            <w:r w:rsidRPr="008D7F5A">
              <w:rPr>
                <w:lang w:val="en-US"/>
              </w:rPr>
              <w:t>,</w:t>
            </w:r>
            <w:r w:rsidRPr="00C152C3">
              <w:t>73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95,6±0,4**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 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95,4±0,4**</w:t>
            </w:r>
          </w:p>
          <w:p w:rsidR="00D57A64" w:rsidRPr="00C152C3" w:rsidRDefault="00D57A64" w:rsidP="00912C5F">
            <w:pPr>
              <w:jc w:val="center"/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spacing w:before="60" w:after="60"/>
            </w:pPr>
            <w:proofErr w:type="spellStart"/>
            <w:r w:rsidRPr="00C152C3">
              <w:t>ДК</w:t>
            </w:r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107</w:t>
            </w:r>
            <w:r w:rsidRPr="008D7F5A">
              <w:rPr>
                <w:lang w:val="en-US"/>
              </w:rPr>
              <w:t>,</w:t>
            </w:r>
            <w:r w:rsidRPr="00C152C3">
              <w:t>65±</w:t>
            </w:r>
            <w:r w:rsidRPr="008D7F5A">
              <w:rPr>
                <w:lang w:val="en-US"/>
              </w:rPr>
              <w:t>1,1</w:t>
            </w:r>
            <w:r w:rsidRPr="00C152C3">
              <w:t xml:space="preserve">1  </w:t>
            </w: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&lt;0,01)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 xml:space="preserve">100,35±0,81  </w:t>
            </w:r>
            <w:r w:rsidRPr="008D7F5A">
              <w:rPr>
                <w:i/>
              </w:rPr>
              <w:t>(р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&lt;0,01)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МДА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C152C3">
              <w:t>9</w:t>
            </w:r>
            <w:r w:rsidRPr="008D7F5A">
              <w:rPr>
                <w:lang w:val="en-US"/>
              </w:rPr>
              <w:t>9,</w:t>
            </w:r>
            <w:r w:rsidRPr="00C152C3">
              <w:t>7±5</w:t>
            </w:r>
            <w:r w:rsidRPr="008D7F5A">
              <w:rPr>
                <w:lang w:val="en-US"/>
              </w:rPr>
              <w:t>,</w:t>
            </w:r>
            <w:r w:rsidRPr="00C152C3">
              <w:t>7**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107</w:t>
            </w:r>
            <w:r w:rsidRPr="008D7F5A">
              <w:rPr>
                <w:lang w:val="en-US"/>
              </w:rPr>
              <w:t>,</w:t>
            </w:r>
            <w:r w:rsidRPr="00C152C3">
              <w:t>3±2</w:t>
            </w:r>
            <w:r w:rsidRPr="008D7F5A">
              <w:rPr>
                <w:lang w:val="en-US"/>
              </w:rPr>
              <w:t>,</w:t>
            </w:r>
            <w:r w:rsidRPr="00C152C3">
              <w:t>6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</w:rPr>
              <w:t>&lt;0,0</w:t>
            </w:r>
            <w:r w:rsidRPr="008D7F5A">
              <w:rPr>
                <w:i/>
                <w:lang w:val="uk-UA"/>
              </w:rPr>
              <w:t>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97</w:t>
            </w:r>
            <w:r w:rsidRPr="008D7F5A">
              <w:rPr>
                <w:lang w:val="en-US"/>
              </w:rPr>
              <w:t>,</w:t>
            </w:r>
            <w:r w:rsidRPr="00C152C3">
              <w:t>8±0</w:t>
            </w:r>
            <w:r w:rsidRPr="008D7F5A">
              <w:rPr>
                <w:lang w:val="en-US"/>
              </w:rPr>
              <w:t>,</w:t>
            </w:r>
            <w:r w:rsidRPr="00C152C3">
              <w:t>4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105,7±0,8</w:t>
            </w:r>
          </w:p>
          <w:p w:rsidR="00D57A64" w:rsidRPr="008D7F5A" w:rsidRDefault="00D57A64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spacing w:before="60"/>
              <w:jc w:val="center"/>
            </w:pPr>
            <w:r w:rsidRPr="00C152C3">
              <w:t>101,7±1,7</w:t>
            </w:r>
          </w:p>
          <w:p w:rsidR="00D57A64" w:rsidRPr="00C152C3" w:rsidRDefault="00D57A64" w:rsidP="00912C5F">
            <w:pPr>
              <w:spacing w:after="60"/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 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&lt;0,05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spacing w:before="60" w:after="60"/>
            </w:pPr>
            <w:proofErr w:type="spellStart"/>
            <w:r w:rsidRPr="00C152C3">
              <w:t>МДА</w:t>
            </w:r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110</w:t>
            </w:r>
            <w:r w:rsidRPr="008D7F5A">
              <w:rPr>
                <w:lang w:val="en-US"/>
              </w:rPr>
              <w:t>,</w:t>
            </w:r>
            <w:r w:rsidRPr="00C152C3">
              <w:t>8</w:t>
            </w:r>
            <w:r w:rsidRPr="008D7F5A">
              <w:rPr>
                <w:lang w:val="en-US"/>
              </w:rPr>
              <w:t>6</w:t>
            </w:r>
            <w:r w:rsidRPr="00C152C3">
              <w:t>±3</w:t>
            </w:r>
            <w:r w:rsidRPr="008D7F5A">
              <w:rPr>
                <w:lang w:val="en-US"/>
              </w:rPr>
              <w:t>,</w:t>
            </w:r>
            <w:r w:rsidRPr="00C152C3">
              <w:t xml:space="preserve">29*  </w:t>
            </w: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&lt;0,01)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spacing w:before="60"/>
              <w:jc w:val="center"/>
            </w:pPr>
            <w:r w:rsidRPr="00C152C3">
              <w:t xml:space="preserve">103,89±1,75 </w:t>
            </w:r>
          </w:p>
          <w:p w:rsidR="00D57A64" w:rsidRPr="00C152C3" w:rsidRDefault="00D57A64" w:rsidP="00912C5F">
            <w:pPr>
              <w:spacing w:after="60"/>
              <w:jc w:val="center"/>
            </w:pP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&lt;0,01; 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&lt;0,05)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spacing w:before="60" w:after="60"/>
              <w:rPr>
                <w:lang w:val="uk-UA"/>
              </w:rPr>
            </w:pPr>
            <w:r w:rsidRPr="00C152C3">
              <w:t>ДК/МДА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6</w:t>
            </w:r>
            <w:r w:rsidRPr="00C152C3">
              <w:t>2</w:t>
            </w:r>
            <w:r w:rsidRPr="008D7F5A">
              <w:rPr>
                <w:lang w:val="en-US"/>
              </w:rPr>
              <w:t>,</w:t>
            </w:r>
            <w:r w:rsidRPr="00C152C3">
              <w:t>84±1</w:t>
            </w:r>
            <w:r w:rsidRPr="008D7F5A">
              <w:rPr>
                <w:lang w:val="en-US"/>
              </w:rPr>
              <w:t>,</w:t>
            </w:r>
            <w:r w:rsidRPr="00C152C3">
              <w:t>8**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spacing w:before="60"/>
              <w:jc w:val="center"/>
            </w:pPr>
            <w:r w:rsidRPr="00C152C3">
              <w:t>9</w:t>
            </w:r>
            <w:r w:rsidRPr="008D7F5A">
              <w:rPr>
                <w:lang w:val="en-US"/>
              </w:rPr>
              <w:t>7,</w:t>
            </w:r>
            <w:r w:rsidRPr="00C152C3">
              <w:t>82±2</w:t>
            </w:r>
            <w:r w:rsidRPr="008D7F5A">
              <w:rPr>
                <w:lang w:val="en-US"/>
              </w:rPr>
              <w:t>,</w:t>
            </w:r>
            <w:r w:rsidRPr="00C152C3">
              <w:t>4</w:t>
            </w:r>
          </w:p>
          <w:p w:rsidR="00D57A64" w:rsidRPr="00C152C3" w:rsidRDefault="00D57A64" w:rsidP="00912C5F">
            <w:pPr>
              <w:spacing w:after="60"/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 xml:space="preserve">&lt;0,05; 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н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97</w:t>
            </w:r>
            <w:r w:rsidRPr="008D7F5A">
              <w:rPr>
                <w:lang w:val="en-US"/>
              </w:rPr>
              <w:t>,</w:t>
            </w:r>
            <w:r w:rsidRPr="00C152C3">
              <w:t>3±</w:t>
            </w:r>
            <w:r w:rsidRPr="008D7F5A">
              <w:rPr>
                <w:lang w:val="en-US"/>
              </w:rPr>
              <w:t>1,</w:t>
            </w:r>
            <w:r w:rsidRPr="00C152C3">
              <w:t>5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93,8±0,7*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н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94,9±1,8**</w:t>
            </w:r>
          </w:p>
          <w:p w:rsidR="00D57A64" w:rsidRPr="008D7F5A" w:rsidRDefault="00D57A64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spacing w:before="60" w:after="60"/>
            </w:pPr>
            <w:r w:rsidRPr="00C152C3">
              <w:t>СОД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115,0±</w:t>
            </w:r>
            <w:r w:rsidRPr="008D7F5A">
              <w:rPr>
                <w:lang w:val="en-US"/>
              </w:rPr>
              <w:t>0,</w:t>
            </w:r>
            <w:r w:rsidRPr="00C152C3">
              <w:t>6**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13</w:t>
            </w:r>
            <w:r w:rsidRPr="00C152C3">
              <w:t>1</w:t>
            </w:r>
            <w:r w:rsidRPr="008D7F5A">
              <w:rPr>
                <w:lang w:val="en-US"/>
              </w:rPr>
              <w:t>,</w:t>
            </w:r>
            <w:r w:rsidRPr="00C152C3">
              <w:t>1±1</w:t>
            </w:r>
            <w:r w:rsidRPr="008D7F5A">
              <w:rPr>
                <w:lang w:val="en-US"/>
              </w:rPr>
              <w:t>,</w:t>
            </w:r>
            <w:r w:rsidRPr="00C152C3">
              <w:t>0**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104</w:t>
            </w:r>
            <w:r w:rsidRPr="008D7F5A">
              <w:rPr>
                <w:lang w:val="en-US"/>
              </w:rPr>
              <w:t>,5</w:t>
            </w:r>
            <w:r w:rsidRPr="00C152C3">
              <w:t>±</w:t>
            </w:r>
            <w:r w:rsidRPr="008D7F5A">
              <w:rPr>
                <w:lang w:val="en-US"/>
              </w:rPr>
              <w:t>0,</w:t>
            </w:r>
            <w:r w:rsidRPr="00C152C3">
              <w:t>6**</w:t>
            </w:r>
          </w:p>
          <w:p w:rsidR="00D57A64" w:rsidRPr="008D7F5A" w:rsidRDefault="00D57A64" w:rsidP="00912C5F">
            <w:pPr>
              <w:jc w:val="center"/>
              <w:rPr>
                <w:color w:val="FF0000"/>
              </w:rPr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98,6±0,2**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 н, 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97,3±0,4**</w:t>
            </w:r>
          </w:p>
          <w:p w:rsidR="00D57A64" w:rsidRPr="00C152C3" w:rsidRDefault="00D57A64" w:rsidP="00912C5F">
            <w:pPr>
              <w:jc w:val="center"/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spacing w:before="60" w:after="60"/>
            </w:pPr>
            <w:proofErr w:type="spellStart"/>
            <w:r w:rsidRPr="00C152C3">
              <w:lastRenderedPageBreak/>
              <w:t>СОД</w:t>
            </w:r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C152C3">
              <w:t>22</w:t>
            </w:r>
            <w:r w:rsidRPr="008D7F5A">
              <w:rPr>
                <w:lang w:val="en-US"/>
              </w:rPr>
              <w:t>,</w:t>
            </w:r>
            <w:r w:rsidRPr="00C152C3">
              <w:t>81±0</w:t>
            </w:r>
            <w:r w:rsidRPr="008D7F5A">
              <w:rPr>
                <w:lang w:val="en-US"/>
              </w:rPr>
              <w:t>,</w:t>
            </w:r>
            <w:r w:rsidRPr="00C152C3">
              <w:t xml:space="preserve">76**  </w:t>
            </w: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&lt;0,01)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 xml:space="preserve">102,68±0,64**  </w:t>
            </w:r>
            <w:r w:rsidRPr="008D7F5A">
              <w:rPr>
                <w:i/>
              </w:rPr>
              <w:t>(р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&lt;0,01)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spacing w:before="60" w:after="60"/>
            </w:pPr>
            <w:r w:rsidRPr="00C152C3">
              <w:t>К</w:t>
            </w:r>
            <w:r w:rsidRPr="008D7F5A">
              <w:rPr>
                <w:lang w:val="uk-UA"/>
              </w:rPr>
              <w:t>АТ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112</w:t>
            </w:r>
            <w:r w:rsidRPr="008D7F5A">
              <w:rPr>
                <w:lang w:val="en-US"/>
              </w:rPr>
              <w:t>,</w:t>
            </w:r>
            <w:r w:rsidRPr="00C152C3">
              <w:t>6±</w:t>
            </w:r>
            <w:r w:rsidRPr="008D7F5A">
              <w:rPr>
                <w:lang w:val="en-US"/>
              </w:rPr>
              <w:t>0,7</w:t>
            </w:r>
            <w:r w:rsidRPr="00C152C3">
              <w:t>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106</w:t>
            </w:r>
            <w:r w:rsidRPr="008D7F5A">
              <w:rPr>
                <w:lang w:val="en-US"/>
              </w:rPr>
              <w:t>,</w:t>
            </w:r>
            <w:r w:rsidRPr="00C152C3">
              <w:t>6±</w:t>
            </w:r>
            <w:r w:rsidRPr="008D7F5A">
              <w:rPr>
                <w:lang w:val="en-US"/>
              </w:rPr>
              <w:t>0,</w:t>
            </w:r>
            <w:r w:rsidRPr="00C152C3">
              <w:t>9**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</w:t>
            </w:r>
            <w:r w:rsidRPr="008D7F5A">
              <w:rPr>
                <w:lang w:val="en-US"/>
              </w:rPr>
              <w:t>9,</w:t>
            </w:r>
            <w:r w:rsidRPr="00C152C3">
              <w:t>36±</w:t>
            </w:r>
            <w:r w:rsidRPr="008D7F5A">
              <w:rPr>
                <w:lang w:val="en-US"/>
              </w:rPr>
              <w:t>0,6</w:t>
            </w:r>
            <w:r w:rsidRPr="00C152C3">
              <w:t>8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  <w:p w:rsidR="00D57A64" w:rsidRPr="008D7F5A" w:rsidRDefault="00D57A64" w:rsidP="00912C5F">
            <w:pPr>
              <w:jc w:val="center"/>
              <w:rPr>
                <w:lang w:val="en-US"/>
              </w:rPr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spacing w:before="60"/>
              <w:jc w:val="center"/>
            </w:pPr>
            <w:r w:rsidRPr="00C152C3">
              <w:t>104,3±0,6**</w:t>
            </w:r>
          </w:p>
          <w:p w:rsidR="00D57A64" w:rsidRPr="00C152C3" w:rsidRDefault="00D57A64" w:rsidP="00912C5F">
            <w:pPr>
              <w:spacing w:after="60"/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 н</w:t>
            </w:r>
            <w:r w:rsidRPr="008D7F5A">
              <w:rPr>
                <w:i/>
              </w:rPr>
              <w:t>&lt;0,01; 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99,4±0,4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spacing w:before="60" w:after="60"/>
            </w:pPr>
            <w:proofErr w:type="spellStart"/>
            <w:r w:rsidRPr="00C152C3">
              <w:t>КАТ</w:t>
            </w:r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57A64" w:rsidRPr="008D7F5A" w:rsidRDefault="00D57A64" w:rsidP="00912C5F">
            <w:pPr>
              <w:jc w:val="center"/>
              <w:rPr>
                <w:lang w:val="en-US"/>
              </w:rPr>
            </w:pPr>
            <w:r w:rsidRPr="008D7F5A">
              <w:rPr>
                <w:lang w:val="en-US"/>
              </w:rPr>
              <w:t>10</w:t>
            </w:r>
            <w:r w:rsidRPr="00C152C3">
              <w:t>6</w:t>
            </w:r>
            <w:r w:rsidRPr="008D7F5A">
              <w:rPr>
                <w:lang w:val="en-US"/>
              </w:rPr>
              <w:t>,</w:t>
            </w:r>
            <w:r w:rsidRPr="00C152C3">
              <w:t>5</w:t>
            </w:r>
            <w:r w:rsidRPr="008D7F5A">
              <w:rPr>
                <w:lang w:val="en-US"/>
              </w:rPr>
              <w:t>1</w:t>
            </w:r>
            <w:r w:rsidRPr="00C152C3">
              <w:t>±1</w:t>
            </w:r>
            <w:r w:rsidRPr="008D7F5A">
              <w:rPr>
                <w:lang w:val="en-US"/>
              </w:rPr>
              <w:t>,</w:t>
            </w:r>
            <w:r w:rsidRPr="00C152C3">
              <w:t xml:space="preserve">07**  </w:t>
            </w: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&lt;0,01)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 xml:space="preserve">105,33±0,09**  </w:t>
            </w:r>
            <w:r w:rsidRPr="008D7F5A">
              <w:rPr>
                <w:i/>
              </w:rPr>
              <w:t>(</w:t>
            </w: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&lt;0,01)</w:t>
            </w:r>
          </w:p>
        </w:tc>
      </w:tr>
      <w:tr w:rsidR="00D57A64" w:rsidRPr="00F83CB1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7A64" w:rsidRPr="008D7F5A" w:rsidRDefault="00D57A64" w:rsidP="00912C5F">
            <w:pPr>
              <w:spacing w:before="60" w:after="60"/>
              <w:rPr>
                <w:lang w:val="uk-UA"/>
              </w:rPr>
            </w:pPr>
            <w:r w:rsidRPr="00C152C3">
              <w:t>СОД/КАТ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10</w:t>
            </w:r>
            <w:r w:rsidRPr="00C152C3">
              <w:t>3</w:t>
            </w:r>
            <w:r w:rsidRPr="008D7F5A">
              <w:rPr>
                <w:lang w:val="en-US"/>
              </w:rPr>
              <w:t>,1</w:t>
            </w:r>
            <w:r w:rsidRPr="00C152C3">
              <w:t>±</w:t>
            </w:r>
            <w:r w:rsidRPr="008D7F5A">
              <w:rPr>
                <w:lang w:val="en-US"/>
              </w:rPr>
              <w:t>0,1</w:t>
            </w:r>
            <w:r w:rsidRPr="00C152C3">
              <w:t>**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C152C3">
              <w:t>21</w:t>
            </w:r>
            <w:r w:rsidRPr="008D7F5A">
              <w:rPr>
                <w:lang w:val="en-US"/>
              </w:rPr>
              <w:t>,</w:t>
            </w:r>
            <w:r w:rsidRPr="00C152C3">
              <w:t>8±1</w:t>
            </w:r>
            <w:r w:rsidRPr="008D7F5A">
              <w:rPr>
                <w:lang w:val="en-US"/>
              </w:rPr>
              <w:t>,</w:t>
            </w:r>
            <w:r w:rsidRPr="00C152C3">
              <w:t>4**</w:t>
            </w:r>
          </w:p>
          <w:p w:rsidR="00D57A64" w:rsidRPr="000A33B8" w:rsidRDefault="00D57A64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gramStart"/>
            <w:r w:rsidRPr="008D7F5A">
              <w:rPr>
                <w:i/>
                <w:vertAlign w:val="subscript"/>
              </w:rPr>
              <w:t>,н</w:t>
            </w:r>
            <w:proofErr w:type="spellEnd"/>
            <w:proofErr w:type="gramEnd"/>
            <w:r w:rsidRPr="008D7F5A">
              <w:rPr>
                <w:i/>
              </w:rPr>
              <w:t>&lt;0,01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C152C3">
              <w:t>04</w:t>
            </w:r>
            <w:r w:rsidRPr="008D7F5A">
              <w:rPr>
                <w:lang w:val="en-US"/>
              </w:rPr>
              <w:t>,</w:t>
            </w:r>
            <w:r w:rsidRPr="00C152C3">
              <w:t>8±0</w:t>
            </w:r>
            <w:r w:rsidRPr="008D7F5A">
              <w:rPr>
                <w:lang w:val="en-US"/>
              </w:rPr>
              <w:t>,</w:t>
            </w:r>
            <w:r w:rsidRPr="00C152C3">
              <w:t>8**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r w:rsidRPr="008D7F5A">
              <w:rPr>
                <w:i/>
              </w:rPr>
              <w:t>&lt;0,01</w:t>
            </w:r>
          </w:p>
          <w:p w:rsidR="00D57A64" w:rsidRPr="008D7F5A" w:rsidRDefault="00D57A64" w:rsidP="00912C5F">
            <w:pPr>
              <w:jc w:val="center"/>
              <w:rPr>
                <w:b/>
              </w:rPr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57A64" w:rsidRPr="00C152C3" w:rsidRDefault="00D57A64" w:rsidP="00912C5F">
            <w:pPr>
              <w:spacing w:before="60"/>
              <w:jc w:val="center"/>
            </w:pPr>
            <w:r w:rsidRPr="00C152C3">
              <w:t>95,6±0,7**</w:t>
            </w:r>
          </w:p>
          <w:p w:rsidR="00D57A64" w:rsidRPr="00C152C3" w:rsidRDefault="00D57A64" w:rsidP="00912C5F">
            <w:pPr>
              <w:spacing w:after="60"/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</w:t>
            </w:r>
            <w:proofErr w:type="spellEnd"/>
            <w:proofErr w:type="gramStart"/>
            <w:r w:rsidRPr="008D7F5A">
              <w:rPr>
                <w:i/>
                <w:vertAlign w:val="subscript"/>
                <w:lang w:val="uk-UA"/>
              </w:rPr>
              <w:t>,н</w:t>
            </w:r>
            <w:proofErr w:type="gram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A64" w:rsidRPr="00C152C3" w:rsidRDefault="00D57A64" w:rsidP="00912C5F">
            <w:pPr>
              <w:jc w:val="center"/>
            </w:pPr>
            <w:r w:rsidRPr="00C152C3">
              <w:t>98,3±0,4</w:t>
            </w:r>
          </w:p>
          <w:p w:rsidR="00D57A64" w:rsidRPr="008D7F5A" w:rsidRDefault="00D57A64" w:rsidP="00912C5F">
            <w:pPr>
              <w:jc w:val="center"/>
              <w:rPr>
                <w:i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м,1</w:t>
            </w:r>
            <w:r w:rsidRPr="008D7F5A">
              <w:rPr>
                <w:i/>
              </w:rPr>
              <w:t>&lt;0,01</w:t>
            </w:r>
          </w:p>
          <w:p w:rsidR="00D57A64" w:rsidRPr="00C152C3" w:rsidRDefault="00D57A64" w:rsidP="00912C5F">
            <w:pPr>
              <w:jc w:val="center"/>
            </w:pPr>
            <w:proofErr w:type="spellStart"/>
            <w:r w:rsidRPr="008D7F5A">
              <w:rPr>
                <w:b/>
                <w:i/>
              </w:rPr>
              <w:t>р</w:t>
            </w:r>
            <w:r w:rsidRPr="008D7F5A">
              <w:rPr>
                <w:b/>
                <w:i/>
                <w:vertAlign w:val="subscript"/>
              </w:rPr>
              <w:t>ПЖ</w:t>
            </w:r>
            <w:proofErr w:type="spellEnd"/>
            <w:r w:rsidRPr="008D7F5A">
              <w:rPr>
                <w:b/>
                <w:i/>
              </w:rPr>
              <w:t>&lt;0,01</w:t>
            </w:r>
          </w:p>
        </w:tc>
      </w:tr>
    </w:tbl>
    <w:p w:rsidR="00D57A64" w:rsidRPr="005F72A8" w:rsidRDefault="00D57A64" w:rsidP="00D57A64">
      <w:pPr>
        <w:rPr>
          <w:sz w:val="28"/>
          <w:szCs w:val="28"/>
        </w:rPr>
      </w:pPr>
      <w:r w:rsidRPr="005F72A8">
        <w:rPr>
          <w:sz w:val="28"/>
          <w:szCs w:val="28"/>
        </w:rPr>
        <w:t xml:space="preserve">Примечания: 1. **- 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&lt;0,01; * - р&lt;0,05 – сравнение с группой контр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ля.</w:t>
      </w:r>
    </w:p>
    <w:p w:rsidR="00D57A64" w:rsidRPr="005F72A8" w:rsidRDefault="00D57A64" w:rsidP="00D57A64">
      <w:pPr>
        <w:rPr>
          <w:sz w:val="28"/>
          <w:szCs w:val="28"/>
        </w:rPr>
      </w:pPr>
      <w:r w:rsidRPr="005F72A8">
        <w:rPr>
          <w:sz w:val="28"/>
          <w:szCs w:val="28"/>
        </w:rPr>
        <w:t xml:space="preserve">        2. </w:t>
      </w:r>
      <w:proofErr w:type="spellStart"/>
      <w:r w:rsidRPr="005F72A8">
        <w:rPr>
          <w:sz w:val="28"/>
          <w:szCs w:val="28"/>
        </w:rPr>
        <w:t>р</w:t>
      </w:r>
      <w:r w:rsidRPr="005F72A8">
        <w:rPr>
          <w:sz w:val="28"/>
          <w:szCs w:val="28"/>
          <w:vertAlign w:val="subscript"/>
        </w:rPr>
        <w:t>м</w:t>
      </w:r>
      <w:proofErr w:type="spellEnd"/>
      <w:r w:rsidRPr="005F72A8">
        <w:rPr>
          <w:sz w:val="28"/>
          <w:szCs w:val="28"/>
        </w:rPr>
        <w:t xml:space="preserve">   – сравнение с показателями у крыс-матерей.</w:t>
      </w:r>
    </w:p>
    <w:p w:rsidR="00D57A64" w:rsidRPr="005F72A8" w:rsidRDefault="00D57A64" w:rsidP="00D57A64">
      <w:pPr>
        <w:tabs>
          <w:tab w:val="left" w:pos="1440"/>
        </w:tabs>
        <w:ind w:left="1800" w:hanging="1800"/>
        <w:rPr>
          <w:sz w:val="28"/>
          <w:szCs w:val="28"/>
        </w:rPr>
      </w:pPr>
      <w:r w:rsidRPr="005F72A8">
        <w:rPr>
          <w:sz w:val="28"/>
          <w:szCs w:val="28"/>
        </w:rPr>
        <w:t xml:space="preserve">        3. </w:t>
      </w:r>
      <w:proofErr w:type="spellStart"/>
      <w:r w:rsidRPr="005F72A8">
        <w:rPr>
          <w:sz w:val="28"/>
          <w:szCs w:val="28"/>
        </w:rPr>
        <w:t>р</w:t>
      </w:r>
      <w:r w:rsidRPr="005F72A8">
        <w:rPr>
          <w:sz w:val="28"/>
          <w:szCs w:val="28"/>
          <w:vertAlign w:val="subscript"/>
        </w:rPr>
        <w:t>н</w:t>
      </w:r>
      <w:proofErr w:type="spellEnd"/>
      <w:r w:rsidRPr="005F72A8">
        <w:rPr>
          <w:sz w:val="28"/>
          <w:szCs w:val="28"/>
        </w:rPr>
        <w:t xml:space="preserve">   – сравнение с показателями у новорождённых кр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>сят.</w:t>
      </w:r>
    </w:p>
    <w:p w:rsidR="00D57A64" w:rsidRPr="005F72A8" w:rsidRDefault="00D57A64" w:rsidP="00D57A64">
      <w:pPr>
        <w:tabs>
          <w:tab w:val="left" w:pos="1440"/>
        </w:tabs>
        <w:ind w:left="1800" w:hanging="1800"/>
        <w:rPr>
          <w:sz w:val="28"/>
          <w:szCs w:val="28"/>
        </w:rPr>
      </w:pPr>
      <w:r w:rsidRPr="005F72A8">
        <w:rPr>
          <w:sz w:val="28"/>
          <w:szCs w:val="28"/>
        </w:rPr>
        <w:t xml:space="preserve">        4. р</w:t>
      </w:r>
      <w:proofErr w:type="gramStart"/>
      <w:r w:rsidRPr="005F72A8">
        <w:rPr>
          <w:sz w:val="28"/>
          <w:szCs w:val="28"/>
          <w:vertAlign w:val="subscript"/>
        </w:rPr>
        <w:t>1</w:t>
      </w:r>
      <w:proofErr w:type="gramEnd"/>
      <w:r w:rsidRPr="005F72A8">
        <w:rPr>
          <w:sz w:val="28"/>
          <w:szCs w:val="28"/>
        </w:rPr>
        <w:t xml:space="preserve">   – сравнение с показателями у 1-месячных кр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 xml:space="preserve">сят.     </w:t>
      </w:r>
    </w:p>
    <w:p w:rsidR="00D57A64" w:rsidRPr="005F72A8" w:rsidRDefault="00D57A64" w:rsidP="00D57A64">
      <w:pPr>
        <w:tabs>
          <w:tab w:val="left" w:pos="1440"/>
        </w:tabs>
        <w:ind w:left="1800" w:hanging="1800"/>
        <w:rPr>
          <w:sz w:val="28"/>
          <w:szCs w:val="28"/>
        </w:rPr>
      </w:pPr>
      <w:r w:rsidRPr="005F72A8">
        <w:rPr>
          <w:sz w:val="28"/>
          <w:szCs w:val="28"/>
        </w:rPr>
        <w:t xml:space="preserve">        5. </w:t>
      </w:r>
      <w:proofErr w:type="spellStart"/>
      <w:r w:rsidRPr="005F72A8">
        <w:rPr>
          <w:sz w:val="28"/>
          <w:szCs w:val="28"/>
        </w:rPr>
        <w:t>р</w:t>
      </w:r>
      <w:r w:rsidRPr="005F72A8">
        <w:rPr>
          <w:sz w:val="28"/>
          <w:szCs w:val="28"/>
          <w:vertAlign w:val="subscript"/>
        </w:rPr>
        <w:t>пж</w:t>
      </w:r>
      <w:proofErr w:type="spellEnd"/>
      <w:r w:rsidRPr="005F72A8">
        <w:rPr>
          <w:sz w:val="28"/>
          <w:szCs w:val="28"/>
        </w:rPr>
        <w:t xml:space="preserve"> – сравнение с показателями в ПЖ. </w:t>
      </w:r>
    </w:p>
    <w:p w:rsidR="00D57A64" w:rsidRDefault="00D57A64" w:rsidP="00D57A64">
      <w:pPr>
        <w:spacing w:line="360" w:lineRule="auto"/>
      </w:pPr>
    </w:p>
    <w:p w:rsidR="00D57A64" w:rsidRPr="005F72A8" w:rsidRDefault="00D57A64" w:rsidP="00D57A64">
      <w:pPr>
        <w:jc w:val="both"/>
        <w:rPr>
          <w:sz w:val="28"/>
          <w:szCs w:val="28"/>
        </w:rPr>
      </w:pPr>
      <w:proofErr w:type="gramStart"/>
      <w:r w:rsidRPr="005F72A8">
        <w:rPr>
          <w:sz w:val="28"/>
          <w:szCs w:val="28"/>
        </w:rPr>
        <w:t>которая</w:t>
      </w:r>
      <w:proofErr w:type="gramEnd"/>
      <w:r w:rsidRPr="005F72A8">
        <w:rPr>
          <w:sz w:val="28"/>
          <w:szCs w:val="28"/>
        </w:rPr>
        <w:t xml:space="preserve"> является механизмом адаптации органа к неблагоприятным условиям </w:t>
      </w:r>
      <w:proofErr w:type="spellStart"/>
      <w:r w:rsidRPr="005F72A8">
        <w:rPr>
          <w:sz w:val="28"/>
          <w:szCs w:val="28"/>
        </w:rPr>
        <w:t>пренатального</w:t>
      </w:r>
      <w:proofErr w:type="spellEnd"/>
      <w:r w:rsidRPr="005F72A8">
        <w:rPr>
          <w:sz w:val="28"/>
          <w:szCs w:val="28"/>
        </w:rPr>
        <w:t xml:space="preserve"> развития в условиях чрезмерной углеводной и жировой нагрузки организма. Но, учитывая степень повышения показателей ПОЛ и АОС, можно отметить, что физиологический резерв АОС является недостаточным для пр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 xml:space="preserve">остановки процессов ПОЛ, запущенных в </w:t>
      </w:r>
      <w:proofErr w:type="spellStart"/>
      <w:r w:rsidRPr="005F72A8">
        <w:rPr>
          <w:sz w:val="28"/>
          <w:szCs w:val="28"/>
        </w:rPr>
        <w:t>пренатальном</w:t>
      </w:r>
      <w:proofErr w:type="spellEnd"/>
      <w:r w:rsidRPr="005F72A8">
        <w:rPr>
          <w:sz w:val="28"/>
          <w:szCs w:val="28"/>
        </w:rPr>
        <w:t xml:space="preserve"> периоде, </w:t>
      </w:r>
      <w:proofErr w:type="gramStart"/>
      <w:r w:rsidRPr="005F72A8">
        <w:rPr>
          <w:sz w:val="28"/>
          <w:szCs w:val="28"/>
        </w:rPr>
        <w:t>а</w:t>
      </w:r>
      <w:proofErr w:type="gramEnd"/>
      <w:r w:rsidRPr="005F72A8">
        <w:rPr>
          <w:sz w:val="28"/>
          <w:szCs w:val="28"/>
        </w:rPr>
        <w:t xml:space="preserve"> следовател</w:t>
      </w:r>
      <w:r w:rsidRPr="005F72A8">
        <w:rPr>
          <w:sz w:val="28"/>
          <w:szCs w:val="28"/>
        </w:rPr>
        <w:t>ь</w:t>
      </w:r>
      <w:r w:rsidRPr="005F72A8">
        <w:rPr>
          <w:sz w:val="28"/>
          <w:szCs w:val="28"/>
        </w:rPr>
        <w:t>но, и для предотвращения структурных измен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ний в </w:t>
      </w:r>
      <w:proofErr w:type="spellStart"/>
      <w:r w:rsidRPr="005F72A8">
        <w:rPr>
          <w:sz w:val="28"/>
          <w:szCs w:val="28"/>
        </w:rPr>
        <w:t>панкреацитах</w:t>
      </w:r>
      <w:proofErr w:type="spellEnd"/>
      <w:r w:rsidRPr="005F72A8">
        <w:rPr>
          <w:sz w:val="28"/>
          <w:szCs w:val="28"/>
        </w:rPr>
        <w:t>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У 1-месячных крысят в ткани ПЖ активность ПОЛ выражена значительно меньше, чем у крыс-матерей и новорождённых. Сравнение уровня показателей с контрольными выявило н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значительное повышение ДК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 и МДА (р&gt;0,05), а также недостоверное снижение соотношения ДК/МДА. В сыворотке крови ук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занные показатели ПОЛ также были достоверно н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же, чем у крыс-матерей, но не отличались от таковых у животных группы контроля (см. табл. 2).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Активность ферментов АОС у 1-месячных крысят превышала значения ко</w:t>
      </w:r>
      <w:r w:rsidRPr="005F72A8">
        <w:rPr>
          <w:sz w:val="28"/>
          <w:szCs w:val="28"/>
        </w:rPr>
        <w:t>н</w:t>
      </w:r>
      <w:r w:rsidRPr="005F72A8">
        <w:rPr>
          <w:sz w:val="28"/>
          <w:szCs w:val="28"/>
        </w:rPr>
        <w:t xml:space="preserve">трольного уровня (СОД на 31,1%, 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&lt;0,01, КАТ – на 6,6%, р&lt;0,01) и уровень а</w:t>
      </w:r>
      <w:r w:rsidRPr="005F72A8">
        <w:rPr>
          <w:sz w:val="28"/>
          <w:szCs w:val="28"/>
        </w:rPr>
        <w:t>к</w:t>
      </w:r>
      <w:r w:rsidRPr="005F72A8">
        <w:rPr>
          <w:sz w:val="28"/>
          <w:szCs w:val="28"/>
        </w:rPr>
        <w:t>тивности ферментов у крыс-матерей (СОД и КАТ на 58,67% и 30,03% (р&lt;0,01) с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ответственно). В сравнении с новорождёнными крысятами также установлены д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стоверные отличия, однако они оказались разнонаправленными: уровень активн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сти СОД повышен на 16,1% (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&lt;0,01), а активности КАТ – снижен на 6,0% (р&lt;0,01). В результате показатель соотношения СОД/КАТ существенно пов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 xml:space="preserve">шен при сравнении с таковым у животных группы контроля (на 21,8%, </w:t>
      </w:r>
      <w:proofErr w:type="gramStart"/>
      <w:r w:rsidRPr="005F72A8">
        <w:rPr>
          <w:sz w:val="28"/>
          <w:szCs w:val="28"/>
        </w:rPr>
        <w:t>р</w:t>
      </w:r>
      <w:proofErr w:type="gramEnd"/>
      <w:r w:rsidRPr="005F72A8">
        <w:rPr>
          <w:sz w:val="28"/>
          <w:szCs w:val="28"/>
        </w:rPr>
        <w:t>&lt;0,01), крыс-матерей и новорождённых крысят. Это свидетельствует об относительной нед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статочности активности КАТ для предотвращения накопления токсичной Н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 xml:space="preserve"> в ткани ПЖ, что, как известно, чревато серьёзн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 xml:space="preserve">ми нарушениями </w:t>
      </w:r>
      <w:proofErr w:type="spellStart"/>
      <w:r w:rsidRPr="005F72A8">
        <w:rPr>
          <w:sz w:val="28"/>
          <w:szCs w:val="28"/>
        </w:rPr>
        <w:t>биомембран</w:t>
      </w:r>
      <w:proofErr w:type="spellEnd"/>
      <w:r w:rsidRPr="005F72A8">
        <w:rPr>
          <w:sz w:val="28"/>
          <w:szCs w:val="28"/>
        </w:rPr>
        <w:t xml:space="preserve"> [1</w:t>
      </w:r>
      <w:r w:rsidRPr="005F72A8">
        <w:rPr>
          <w:sz w:val="28"/>
          <w:szCs w:val="28"/>
          <w:lang w:val="uk-UA"/>
        </w:rPr>
        <w:t>7</w:t>
      </w:r>
      <w:r w:rsidRPr="005F72A8">
        <w:rPr>
          <w:sz w:val="28"/>
          <w:szCs w:val="28"/>
        </w:rPr>
        <w:t>]. В сыворотке крови показатели активности АОС существенно ниже, чем в ПЖ, а также у крыс-матерей (см. табл. 1, 2). В сравнении с группой контроля имеется умеренное повышение активности СОД и показателя соотношения СОД/КАТ (с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ответственно на 4,5% и 4,8%, </w:t>
      </w:r>
      <w:proofErr w:type="gramStart"/>
      <w:r w:rsidRPr="005F72A8">
        <w:rPr>
          <w:sz w:val="28"/>
          <w:szCs w:val="28"/>
        </w:rPr>
        <w:lastRenderedPageBreak/>
        <w:t>р</w:t>
      </w:r>
      <w:proofErr w:type="gramEnd"/>
      <w:r w:rsidRPr="005F72A8">
        <w:rPr>
          <w:sz w:val="28"/>
          <w:szCs w:val="28"/>
        </w:rPr>
        <w:t>&lt;0,01). Таким образом, у 1-месячных крысят, так же как и у крыс-матерей, степень выраженности нарушений ОАГ в ПЖ знач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>тельно выше, чем в крови, что свидетельствует об их значимости в патогенезе п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вреждения ПЖ у потомства крыс при неблагоприятных условиях их </w:t>
      </w:r>
      <w:proofErr w:type="spellStart"/>
      <w:r w:rsidRPr="005F72A8">
        <w:rPr>
          <w:sz w:val="28"/>
          <w:szCs w:val="28"/>
        </w:rPr>
        <w:t>пренатального</w:t>
      </w:r>
      <w:proofErr w:type="spellEnd"/>
      <w:r w:rsidRPr="005F72A8">
        <w:rPr>
          <w:sz w:val="28"/>
          <w:szCs w:val="28"/>
        </w:rPr>
        <w:t xml:space="preserve"> ра</w:t>
      </w:r>
      <w:r w:rsidRPr="005F72A8">
        <w:rPr>
          <w:sz w:val="28"/>
          <w:szCs w:val="28"/>
        </w:rPr>
        <w:t>з</w:t>
      </w:r>
      <w:r w:rsidRPr="005F72A8">
        <w:rPr>
          <w:sz w:val="28"/>
          <w:szCs w:val="28"/>
        </w:rPr>
        <w:t xml:space="preserve">вития. 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У 2-месячного потомства в ПЖ и сыворотке крови отклонения от норм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тивных значений практически всех показателей ПОЛ и АОС существенно мен</w:t>
      </w:r>
      <w:r w:rsidRPr="005F72A8">
        <w:rPr>
          <w:sz w:val="28"/>
          <w:szCs w:val="28"/>
        </w:rPr>
        <w:t>ь</w:t>
      </w:r>
      <w:r w:rsidRPr="005F72A8">
        <w:rPr>
          <w:sz w:val="28"/>
          <w:szCs w:val="28"/>
        </w:rPr>
        <w:t>ше, чем у крысят остальных групп, хотя и остаются ещё статистически значим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 xml:space="preserve">ми. </w:t>
      </w:r>
      <w:proofErr w:type="gramStart"/>
      <w:r w:rsidRPr="005F72A8">
        <w:rPr>
          <w:sz w:val="28"/>
          <w:szCs w:val="28"/>
        </w:rPr>
        <w:t>Достоверных отличий между состоянием ПОЛ в ПЖ и сыворотке крови не установлено: как в ПЖ, так и в сыворотке крови уровень ДК и показатель ДК/МДА снижены при нормальных значениях МДА, т.е. имеет место некоторое преобл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 xml:space="preserve">дание уровня вторичных продуктов ПОЛ над уровнем первичных, однако в целом активность процессов ПОЛ в пределах нормы (см. табл. 2). </w:t>
      </w:r>
      <w:proofErr w:type="gramEnd"/>
    </w:p>
    <w:p w:rsidR="00D57A64" w:rsidRPr="00567167" w:rsidRDefault="00D57A64" w:rsidP="00D57A64">
      <w:pPr>
        <w:ind w:firstLine="708"/>
        <w:jc w:val="both"/>
      </w:pPr>
      <w:r w:rsidRPr="005F72A8">
        <w:rPr>
          <w:sz w:val="28"/>
          <w:szCs w:val="28"/>
        </w:rPr>
        <w:t>В отличие от крыс-матерей, новорождённых и 1-месячных крысят, у 2-месячных животных в ПЖ наблюдается сочетание умеренного снижения СОД с повышением КАТ, что об</w:t>
      </w:r>
      <w:r w:rsidRPr="005F72A8">
        <w:rPr>
          <w:sz w:val="28"/>
          <w:szCs w:val="28"/>
        </w:rPr>
        <w:t>у</w:t>
      </w:r>
      <w:r w:rsidRPr="005F72A8">
        <w:rPr>
          <w:sz w:val="28"/>
          <w:szCs w:val="28"/>
        </w:rPr>
        <w:t>словливает снижение соотношения СОД/КАТ, степень которого, однако, достоверно меньше, чем в сравниваемых группах крыс (см. табл. 2). Это свидетельствует о достаточности активности КАТ для предотвращ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ния накопления токсичной Н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 xml:space="preserve"> в ткани ПЖ. В сыворотке крови показатели АОС не достигают уровня нормативных значений, мало отличаясь от последних и от аналогичных показателей АОС в ПЖ. В целом можно констатиро</w:t>
      </w:r>
      <w:r>
        <w:t>вать, что функция АОС не н</w:t>
      </w:r>
      <w:r>
        <w:t>а</w:t>
      </w:r>
      <w:r>
        <w:t>рушена и соответствует активности процессов ПОЛ, а это значит, что существенных наруш</w:t>
      </w:r>
      <w:r>
        <w:t>е</w:t>
      </w:r>
      <w:r>
        <w:t>ний ОАГ у 2-ме-сячных крысят нет.</w:t>
      </w:r>
    </w:p>
    <w:p w:rsidR="00D57A64" w:rsidRPr="005F72A8" w:rsidRDefault="00D57A64" w:rsidP="00D57A64">
      <w:pPr>
        <w:ind w:firstLine="708"/>
        <w:rPr>
          <w:b/>
          <w:sz w:val="28"/>
          <w:szCs w:val="28"/>
        </w:rPr>
      </w:pPr>
      <w:r w:rsidRPr="005F72A8">
        <w:rPr>
          <w:b/>
          <w:sz w:val="28"/>
          <w:szCs w:val="28"/>
        </w:rPr>
        <w:t>Выводы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1. Наиболее выраженные нарушения ОАГ в ткани ПЖ выявлены у крыс-матерей, заключающиеся в существенной активации ПОЛ при снижении активн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сти АОС, что манифестирует наличие у животных выраженного </w:t>
      </w:r>
      <w:proofErr w:type="spellStart"/>
      <w:r w:rsidRPr="005F72A8">
        <w:rPr>
          <w:sz w:val="28"/>
          <w:szCs w:val="28"/>
        </w:rPr>
        <w:t>оксидативного</w:t>
      </w:r>
      <w:proofErr w:type="spellEnd"/>
      <w:r w:rsidRPr="005F72A8">
        <w:rPr>
          <w:sz w:val="28"/>
          <w:szCs w:val="28"/>
        </w:rPr>
        <w:t xml:space="preserve"> стресса, потенциально небезопасного для повреждения мембран и клеточных структур ПЖ. 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2. У новорождённых крысят в ПЖ, установлена активация ПОЛ (менее в</w:t>
      </w:r>
      <w:r w:rsidRPr="005F72A8">
        <w:rPr>
          <w:sz w:val="28"/>
          <w:szCs w:val="28"/>
        </w:rPr>
        <w:t>ы</w:t>
      </w:r>
      <w:r w:rsidRPr="005F72A8">
        <w:rPr>
          <w:sz w:val="28"/>
          <w:szCs w:val="28"/>
        </w:rPr>
        <w:t>раженная, чем у крыс-матерей) в сочетании с повышением активности АОС. Ст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пень повышения показателей ПОЛ и АОС свидетельствует о недостаточности ф</w:t>
      </w:r>
      <w:r w:rsidRPr="005F72A8">
        <w:rPr>
          <w:sz w:val="28"/>
          <w:szCs w:val="28"/>
        </w:rPr>
        <w:t>и</w:t>
      </w:r>
      <w:r w:rsidRPr="005F72A8">
        <w:rPr>
          <w:sz w:val="28"/>
          <w:szCs w:val="28"/>
        </w:rPr>
        <w:t xml:space="preserve">зиологического резерва АОС для приостановки процессов ПОЛ, запущенных в </w:t>
      </w:r>
      <w:proofErr w:type="spellStart"/>
      <w:r w:rsidRPr="005F72A8">
        <w:rPr>
          <w:sz w:val="28"/>
          <w:szCs w:val="28"/>
        </w:rPr>
        <w:t>пренатальном</w:t>
      </w:r>
      <w:proofErr w:type="spellEnd"/>
      <w:r w:rsidRPr="005F72A8">
        <w:rPr>
          <w:sz w:val="28"/>
          <w:szCs w:val="28"/>
        </w:rPr>
        <w:t xml:space="preserve"> периоде, </w:t>
      </w:r>
      <w:proofErr w:type="gramStart"/>
      <w:r w:rsidRPr="005F72A8">
        <w:rPr>
          <w:sz w:val="28"/>
          <w:szCs w:val="28"/>
        </w:rPr>
        <w:t>а</w:t>
      </w:r>
      <w:proofErr w:type="gramEnd"/>
      <w:r w:rsidRPr="005F72A8">
        <w:rPr>
          <w:sz w:val="28"/>
          <w:szCs w:val="28"/>
        </w:rPr>
        <w:t xml:space="preserve"> следовательно, и для предотвращения структурных изменений в </w:t>
      </w:r>
      <w:proofErr w:type="spellStart"/>
      <w:r w:rsidRPr="005F72A8">
        <w:rPr>
          <w:sz w:val="28"/>
          <w:szCs w:val="28"/>
        </w:rPr>
        <w:t>па</w:t>
      </w:r>
      <w:r w:rsidRPr="005F72A8">
        <w:rPr>
          <w:sz w:val="28"/>
          <w:szCs w:val="28"/>
        </w:rPr>
        <w:t>н</w:t>
      </w:r>
      <w:r w:rsidRPr="005F72A8">
        <w:rPr>
          <w:sz w:val="28"/>
          <w:szCs w:val="28"/>
        </w:rPr>
        <w:t>креацитах</w:t>
      </w:r>
      <w:proofErr w:type="spellEnd"/>
      <w:r w:rsidRPr="005F72A8">
        <w:rPr>
          <w:sz w:val="28"/>
          <w:szCs w:val="28"/>
        </w:rPr>
        <w:t>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3. У 1-месячных крысят степень активации ПОЛ в ПЖ существенно ниже, а активация АОС выше, чем у крыс-матерей и новорождённых. При этом показ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тель СОД/КАТ свидетельствует об относительной недостаточности активности КАТ для предотвращения накопления токсичной Н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  <w:vertAlign w:val="subscript"/>
        </w:rPr>
        <w:t>2</w:t>
      </w:r>
      <w:r w:rsidRPr="005F72A8">
        <w:rPr>
          <w:sz w:val="28"/>
          <w:szCs w:val="28"/>
        </w:rPr>
        <w:t xml:space="preserve"> в ткани ПЖ, что чревато серьёзными наруш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 xml:space="preserve">ниями </w:t>
      </w:r>
      <w:proofErr w:type="spellStart"/>
      <w:r w:rsidRPr="005F72A8">
        <w:rPr>
          <w:sz w:val="28"/>
          <w:szCs w:val="28"/>
        </w:rPr>
        <w:t>биомембран</w:t>
      </w:r>
      <w:proofErr w:type="spellEnd"/>
      <w:r w:rsidRPr="005F72A8">
        <w:rPr>
          <w:sz w:val="28"/>
          <w:szCs w:val="28"/>
        </w:rPr>
        <w:t>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4. У 2-месячных крысят уровень активности и соотношение показателей ПОЛ и АОС свидетельствует об отсутствии существенных нарушений ОАГ в тк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ни ПЖ и сыворотке крови.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lastRenderedPageBreak/>
        <w:t>5. В сыворотке крови степень нарушения ОАГ существенно ниже, чем в ткани ПЖ во всех экспериментальных группах, поэтому по показателям ПОЛ-АОС в сыворотке крови нельзя судить о состоянии ОАГ в ткани ПЖ.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 xml:space="preserve">6. </w:t>
      </w:r>
      <w:proofErr w:type="spellStart"/>
      <w:r w:rsidRPr="005F72A8">
        <w:rPr>
          <w:sz w:val="28"/>
          <w:szCs w:val="28"/>
        </w:rPr>
        <w:t>Гиперкалорийная</w:t>
      </w:r>
      <w:proofErr w:type="spellEnd"/>
      <w:r w:rsidRPr="005F72A8">
        <w:rPr>
          <w:sz w:val="28"/>
          <w:szCs w:val="28"/>
        </w:rPr>
        <w:t xml:space="preserve"> диета беременных крыс с избытком углеводов и жиров негативно влияет на состояние ОАГ в ткани ПЖ и сыворотке крови крыс-матерей и их потомства, нарушения которого имеют </w:t>
      </w:r>
      <w:proofErr w:type="gramStart"/>
      <w:r w:rsidRPr="005F72A8">
        <w:rPr>
          <w:sz w:val="28"/>
          <w:szCs w:val="28"/>
        </w:rPr>
        <w:t>важное значение</w:t>
      </w:r>
      <w:proofErr w:type="gramEnd"/>
      <w:r w:rsidRPr="005F72A8">
        <w:rPr>
          <w:sz w:val="28"/>
          <w:szCs w:val="28"/>
        </w:rPr>
        <w:t xml:space="preserve"> в патогенезе повр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ждения ПЖ, которое может в дальнейшем привести к развитию различной пат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логии ПЖ, в том числе панкреатита и сахарного диабета.</w:t>
      </w:r>
    </w:p>
    <w:p w:rsidR="00D57A64" w:rsidRDefault="00D57A64" w:rsidP="00D57A64">
      <w:pPr>
        <w:ind w:firstLine="708"/>
        <w:rPr>
          <w:b/>
          <w:sz w:val="28"/>
          <w:szCs w:val="28"/>
        </w:rPr>
      </w:pPr>
    </w:p>
    <w:p w:rsidR="00D57A64" w:rsidRPr="005F72A8" w:rsidRDefault="00D57A64" w:rsidP="00D57A64">
      <w:pPr>
        <w:ind w:firstLine="708"/>
        <w:rPr>
          <w:b/>
          <w:sz w:val="28"/>
          <w:szCs w:val="28"/>
        </w:rPr>
      </w:pPr>
      <w:r w:rsidRPr="005F72A8">
        <w:rPr>
          <w:b/>
          <w:sz w:val="28"/>
          <w:szCs w:val="28"/>
        </w:rPr>
        <w:t>Перспективы дальнейших исследований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Перспективность дальнейших научных разработок в данном направлении обусловлена недостаточной изученностью вопросов, касающихся патогенеза и</w:t>
      </w:r>
      <w:r w:rsidRPr="005F72A8">
        <w:rPr>
          <w:sz w:val="28"/>
          <w:szCs w:val="28"/>
        </w:rPr>
        <w:t>з</w:t>
      </w:r>
      <w:r w:rsidRPr="005F72A8">
        <w:rPr>
          <w:sz w:val="28"/>
          <w:szCs w:val="28"/>
        </w:rPr>
        <w:t xml:space="preserve">менений ПЖ у потомства крыс, получавших во время беременности </w:t>
      </w:r>
      <w:proofErr w:type="spellStart"/>
      <w:r w:rsidRPr="005F72A8">
        <w:rPr>
          <w:sz w:val="28"/>
          <w:szCs w:val="28"/>
        </w:rPr>
        <w:t>гиперкал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>рийную</w:t>
      </w:r>
      <w:proofErr w:type="spellEnd"/>
      <w:r w:rsidRPr="005F72A8">
        <w:rPr>
          <w:sz w:val="28"/>
          <w:szCs w:val="28"/>
        </w:rPr>
        <w:t xml:space="preserve"> диету, значимости этих изменений для реальной угрозы формирования хронических заболеваний ПЖ в зрелом возрасте животных. Выяснение этих в</w:t>
      </w:r>
      <w:r w:rsidRPr="005F72A8">
        <w:rPr>
          <w:sz w:val="28"/>
          <w:szCs w:val="28"/>
        </w:rPr>
        <w:t>о</w:t>
      </w:r>
      <w:r w:rsidRPr="005F72A8">
        <w:rPr>
          <w:sz w:val="28"/>
          <w:szCs w:val="28"/>
        </w:rPr>
        <w:t xml:space="preserve">просов на уровне эксперимента имеет </w:t>
      </w:r>
      <w:proofErr w:type="gramStart"/>
      <w:r w:rsidRPr="005F72A8">
        <w:rPr>
          <w:sz w:val="28"/>
          <w:szCs w:val="28"/>
        </w:rPr>
        <w:t>важное значение</w:t>
      </w:r>
      <w:proofErr w:type="gramEnd"/>
      <w:r w:rsidRPr="005F72A8">
        <w:rPr>
          <w:sz w:val="28"/>
          <w:szCs w:val="28"/>
        </w:rPr>
        <w:t xml:space="preserve"> для углубления знаний относительно патогенеза повреждения ПЖ при </w:t>
      </w:r>
      <w:proofErr w:type="spellStart"/>
      <w:r w:rsidRPr="005F72A8">
        <w:rPr>
          <w:sz w:val="28"/>
          <w:szCs w:val="28"/>
        </w:rPr>
        <w:t>гиперкалорийной</w:t>
      </w:r>
      <w:proofErr w:type="spellEnd"/>
      <w:r w:rsidRPr="005F72A8">
        <w:rPr>
          <w:sz w:val="28"/>
          <w:szCs w:val="28"/>
        </w:rPr>
        <w:t xml:space="preserve"> диете у взро</w:t>
      </w:r>
      <w:r w:rsidRPr="005F72A8">
        <w:rPr>
          <w:sz w:val="28"/>
          <w:szCs w:val="28"/>
        </w:rPr>
        <w:t>с</w:t>
      </w:r>
      <w:r w:rsidRPr="005F72A8">
        <w:rPr>
          <w:sz w:val="28"/>
          <w:szCs w:val="28"/>
        </w:rPr>
        <w:t>лых людей и детей, а значит и совершенствования методов профилактики и лечения у них заболев</w:t>
      </w:r>
      <w:r w:rsidRPr="005F72A8">
        <w:rPr>
          <w:sz w:val="28"/>
          <w:szCs w:val="28"/>
        </w:rPr>
        <w:t>а</w:t>
      </w:r>
      <w:r w:rsidRPr="005F72A8">
        <w:rPr>
          <w:sz w:val="28"/>
          <w:szCs w:val="28"/>
        </w:rPr>
        <w:t>ний ПЖ.</w:t>
      </w:r>
    </w:p>
    <w:p w:rsidR="00D57A64" w:rsidRPr="005F72A8" w:rsidRDefault="00D57A64" w:rsidP="00D57A64">
      <w:pPr>
        <w:rPr>
          <w:b/>
          <w:sz w:val="28"/>
          <w:szCs w:val="28"/>
        </w:rPr>
      </w:pPr>
      <w:r w:rsidRPr="005F72A8">
        <w:rPr>
          <w:b/>
          <w:sz w:val="28"/>
          <w:szCs w:val="28"/>
        </w:rPr>
        <w:tab/>
        <w:t>Список литературы</w:t>
      </w:r>
    </w:p>
    <w:p w:rsidR="00D57A64" w:rsidRPr="005F72A8" w:rsidRDefault="00D57A64" w:rsidP="00D57A64">
      <w:pPr>
        <w:ind w:firstLine="708"/>
        <w:jc w:val="both"/>
        <w:rPr>
          <w:rFonts w:cs="Arial"/>
          <w:sz w:val="28"/>
          <w:szCs w:val="28"/>
          <w:lang w:val="en-US"/>
        </w:rPr>
      </w:pPr>
      <w:r w:rsidRPr="005F72A8">
        <w:rPr>
          <w:rFonts w:cs="Arial"/>
          <w:sz w:val="28"/>
          <w:szCs w:val="28"/>
        </w:rPr>
        <w:t xml:space="preserve">1. </w:t>
      </w:r>
      <w:r w:rsidRPr="005F72A8">
        <w:rPr>
          <w:rFonts w:ascii="inherit" w:hAnsi="inherit" w:cs="Arial"/>
          <w:sz w:val="28"/>
          <w:szCs w:val="28"/>
        </w:rPr>
        <w:t xml:space="preserve">Степанов Ю.М., </w:t>
      </w:r>
      <w:proofErr w:type="spellStart"/>
      <w:r w:rsidRPr="005F72A8">
        <w:rPr>
          <w:rFonts w:ascii="inherit" w:hAnsi="inherit" w:cs="Arial"/>
          <w:sz w:val="28"/>
          <w:szCs w:val="28"/>
        </w:rPr>
        <w:t>Гравировская</w:t>
      </w:r>
      <w:proofErr w:type="spellEnd"/>
      <w:r w:rsidRPr="005F72A8">
        <w:rPr>
          <w:rFonts w:ascii="inherit" w:hAnsi="inherit" w:cs="Arial"/>
          <w:sz w:val="28"/>
          <w:szCs w:val="28"/>
        </w:rPr>
        <w:t xml:space="preserve"> Н.Г., Скирда И.Ю.</w:t>
      </w:r>
      <w:r w:rsidRPr="005F72A8">
        <w:rPr>
          <w:rFonts w:cs="Arial"/>
          <w:sz w:val="28"/>
          <w:szCs w:val="28"/>
        </w:rPr>
        <w:t xml:space="preserve"> Болезни поджелудо</w:t>
      </w:r>
      <w:r w:rsidRPr="005F72A8">
        <w:rPr>
          <w:rFonts w:cs="Arial"/>
          <w:sz w:val="28"/>
          <w:szCs w:val="28"/>
        </w:rPr>
        <w:t>ч</w:t>
      </w:r>
      <w:r w:rsidRPr="005F72A8">
        <w:rPr>
          <w:rFonts w:cs="Arial"/>
          <w:sz w:val="28"/>
          <w:szCs w:val="28"/>
        </w:rPr>
        <w:t>ной железы как одна из ведущих проблем гастроэнтерологии и абдоминальной хирургии (современная эпидемиология) // Гастроэнтерол</w:t>
      </w:r>
      <w:r w:rsidRPr="005F72A8">
        <w:rPr>
          <w:rFonts w:cs="Arial"/>
          <w:sz w:val="28"/>
          <w:szCs w:val="28"/>
        </w:rPr>
        <w:t>о</w:t>
      </w:r>
      <w:r w:rsidRPr="005F72A8">
        <w:rPr>
          <w:rFonts w:cs="Arial"/>
          <w:sz w:val="28"/>
          <w:szCs w:val="28"/>
        </w:rPr>
        <w:t xml:space="preserve">гия. </w:t>
      </w:r>
      <w:r w:rsidRPr="005F72A8">
        <w:rPr>
          <w:rFonts w:cs="Arial"/>
          <w:sz w:val="28"/>
          <w:szCs w:val="28"/>
          <w:lang w:val="en-US"/>
        </w:rPr>
        <w:t xml:space="preserve">2014. №3. </w:t>
      </w:r>
      <w:r w:rsidRPr="005F72A8">
        <w:rPr>
          <w:rFonts w:cs="Arial"/>
          <w:sz w:val="28"/>
          <w:szCs w:val="28"/>
        </w:rPr>
        <w:t>С</w:t>
      </w:r>
      <w:r w:rsidRPr="005F72A8">
        <w:rPr>
          <w:rFonts w:cs="Arial"/>
          <w:sz w:val="28"/>
          <w:szCs w:val="28"/>
          <w:lang w:val="en-US"/>
        </w:rPr>
        <w:t>. 7-14.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5F72A8">
        <w:rPr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5F72A8">
        <w:rPr>
          <w:sz w:val="28"/>
          <w:szCs w:val="28"/>
          <w:shd w:val="clear" w:color="auto" w:fill="FFFFFF"/>
          <w:lang w:val="en-US"/>
        </w:rPr>
        <w:t>Bhutani</w:t>
      </w:r>
      <w:proofErr w:type="spellEnd"/>
      <w:r w:rsidRPr="005F72A8">
        <w:rPr>
          <w:sz w:val="28"/>
          <w:szCs w:val="28"/>
          <w:shd w:val="clear" w:color="auto" w:fill="FFFFFF"/>
          <w:lang w:val="en-US"/>
        </w:rPr>
        <w:t xml:space="preserve"> M. S., </w:t>
      </w:r>
      <w:proofErr w:type="spellStart"/>
      <w:r w:rsidRPr="005F72A8">
        <w:rPr>
          <w:sz w:val="28"/>
          <w:szCs w:val="28"/>
          <w:shd w:val="clear" w:color="auto" w:fill="FFFFFF"/>
          <w:lang w:val="en-US"/>
        </w:rPr>
        <w:t>Vilmann</w:t>
      </w:r>
      <w:proofErr w:type="spellEnd"/>
      <w:r w:rsidRPr="005F72A8">
        <w:rPr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5F72A8">
        <w:rPr>
          <w:sz w:val="28"/>
          <w:szCs w:val="28"/>
          <w:shd w:val="clear" w:color="auto" w:fill="FFFFFF"/>
          <w:lang w:val="en-US"/>
        </w:rPr>
        <w:t>Saftoiu</w:t>
      </w:r>
      <w:proofErr w:type="spellEnd"/>
      <w:r w:rsidRPr="005F72A8">
        <w:rPr>
          <w:sz w:val="28"/>
          <w:szCs w:val="28"/>
          <w:shd w:val="clear" w:color="auto" w:fill="FFFFFF"/>
          <w:lang w:val="en-US"/>
        </w:rPr>
        <w:t xml:space="preserve"> A. Pancreas and biliary tract diseases. – </w:t>
      </w:r>
      <w:smartTag w:uri="urn:schemas-microsoft-com:office:smarttags" w:element="City">
        <w:r w:rsidRPr="005F72A8">
          <w:rPr>
            <w:sz w:val="28"/>
            <w:szCs w:val="28"/>
            <w:shd w:val="clear" w:color="auto" w:fill="FFFFFF"/>
            <w:lang w:val="en-US"/>
          </w:rPr>
          <w:t>Oxford</w:t>
        </w:r>
      </w:smartTag>
      <w:r w:rsidRPr="005F72A8">
        <w:rPr>
          <w:sz w:val="28"/>
          <w:szCs w:val="28"/>
          <w:shd w:val="clear" w:color="auto" w:fill="FFFFFF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5F72A8">
            <w:rPr>
              <w:sz w:val="28"/>
              <w:szCs w:val="28"/>
              <w:shd w:val="clear" w:color="auto" w:fill="FFFFFF"/>
              <w:lang w:val="en-US"/>
            </w:rPr>
            <w:t>UK</w:t>
          </w:r>
        </w:smartTag>
      </w:smartTag>
      <w:r w:rsidRPr="005F72A8">
        <w:rPr>
          <w:sz w:val="28"/>
          <w:szCs w:val="28"/>
          <w:shd w:val="clear" w:color="auto" w:fill="FFFFFF"/>
          <w:lang w:val="en-US"/>
        </w:rPr>
        <w:t>): Health Press, 2017. – 149 p.</w:t>
      </w:r>
    </w:p>
    <w:p w:rsidR="00D57A64" w:rsidRDefault="00D57A64" w:rsidP="00D57A64">
      <w:pPr>
        <w:pStyle w:val="2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F72A8">
        <w:rPr>
          <w:b w:val="0"/>
          <w:sz w:val="28"/>
          <w:szCs w:val="28"/>
          <w:shd w:val="clear" w:color="auto" w:fill="FFFFFF"/>
          <w:lang w:val="uk-UA"/>
        </w:rPr>
        <w:t>3</w:t>
      </w:r>
      <w:r w:rsidRPr="005F72A8">
        <w:rPr>
          <w:b w:val="0"/>
          <w:sz w:val="28"/>
          <w:szCs w:val="28"/>
          <w:shd w:val="clear" w:color="auto" w:fill="FFFFFF"/>
        </w:rPr>
        <w:t>. Белоусова О.Ю. Заболевания поджелудочной железы у детей, сопрово</w:t>
      </w:r>
      <w:r w:rsidRPr="005F72A8">
        <w:rPr>
          <w:b w:val="0"/>
          <w:sz w:val="28"/>
          <w:szCs w:val="28"/>
          <w:shd w:val="clear" w:color="auto" w:fill="FFFFFF"/>
        </w:rPr>
        <w:t>ж</w:t>
      </w:r>
      <w:r w:rsidRPr="00F9418F">
        <w:rPr>
          <w:b w:val="0"/>
          <w:sz w:val="28"/>
          <w:szCs w:val="28"/>
          <w:shd w:val="clear" w:color="auto" w:fill="FFFFFF"/>
        </w:rPr>
        <w:t>дающиеся развитием экзокринной недостаточности: тактика обследования и возможности коррекции</w:t>
      </w:r>
      <w:r w:rsidRPr="00F9418F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9418F">
        <w:rPr>
          <w:b w:val="0"/>
          <w:sz w:val="28"/>
          <w:szCs w:val="28"/>
          <w:shd w:val="clear" w:color="auto" w:fill="FFFFFF"/>
        </w:rPr>
        <w:t>//</w:t>
      </w:r>
      <w:r w:rsidRPr="00F9418F">
        <w:rPr>
          <w:b w:val="0"/>
          <w:sz w:val="28"/>
          <w:szCs w:val="28"/>
          <w:shd w:val="clear" w:color="auto" w:fill="FFFFFF"/>
          <w:lang w:val="uk-UA"/>
        </w:rPr>
        <w:t xml:space="preserve"> Сучасна гастроентер</w:t>
      </w:r>
      <w:r w:rsidRPr="00F9418F">
        <w:rPr>
          <w:b w:val="0"/>
          <w:sz w:val="28"/>
          <w:szCs w:val="28"/>
          <w:shd w:val="clear" w:color="auto" w:fill="FFFFFF"/>
          <w:lang w:val="uk-UA"/>
        </w:rPr>
        <w:t>о</w:t>
      </w:r>
      <w:r w:rsidRPr="00F9418F">
        <w:rPr>
          <w:b w:val="0"/>
          <w:sz w:val="28"/>
          <w:szCs w:val="28"/>
          <w:shd w:val="clear" w:color="auto" w:fill="FFFFFF"/>
          <w:lang w:val="uk-UA"/>
        </w:rPr>
        <w:t>логія. 2014. №3 (77). С. 51.</w:t>
      </w:r>
    </w:p>
    <w:p w:rsidR="00D57A64" w:rsidRPr="0047639C" w:rsidRDefault="00D57A64" w:rsidP="00D57A64">
      <w:pPr>
        <w:pStyle w:val="2"/>
        <w:spacing w:before="0" w:beforeAutospacing="0" w:after="0" w:afterAutospacing="0"/>
        <w:ind w:firstLine="708"/>
        <w:jc w:val="both"/>
        <w:textAlignment w:val="baseline"/>
        <w:rPr>
          <w:rFonts w:cs="Arial"/>
          <w:b w:val="0"/>
          <w:sz w:val="28"/>
          <w:szCs w:val="28"/>
          <w:lang w:val="uk-UA"/>
        </w:rPr>
      </w:pPr>
      <w:r>
        <w:rPr>
          <w:rFonts w:cs="Arial"/>
          <w:b w:val="0"/>
          <w:sz w:val="28"/>
          <w:szCs w:val="28"/>
          <w:lang w:val="uk-UA"/>
        </w:rPr>
        <w:t>4</w:t>
      </w:r>
      <w:r w:rsidRPr="0047639C">
        <w:rPr>
          <w:rFonts w:cs="Arial"/>
          <w:b w:val="0"/>
          <w:sz w:val="28"/>
          <w:szCs w:val="28"/>
          <w:lang w:val="uk-UA"/>
        </w:rPr>
        <w:t xml:space="preserve">. </w:t>
      </w:r>
      <w:proofErr w:type="spellStart"/>
      <w:r w:rsidRPr="0047639C">
        <w:rPr>
          <w:rFonts w:ascii="inherit" w:hAnsi="inherit" w:cs="Arial"/>
          <w:b w:val="0"/>
          <w:sz w:val="28"/>
          <w:szCs w:val="28"/>
          <w:lang w:val="uk-UA"/>
        </w:rPr>
        <w:t>Сорокман</w:t>
      </w:r>
      <w:proofErr w:type="spellEnd"/>
      <w:r w:rsidRPr="0047639C">
        <w:rPr>
          <w:rFonts w:cs="Arial"/>
          <w:b w:val="0"/>
          <w:sz w:val="28"/>
          <w:szCs w:val="28"/>
          <w:lang w:val="uk-UA"/>
        </w:rPr>
        <w:t xml:space="preserve"> </w:t>
      </w:r>
      <w:r w:rsidRPr="0047639C">
        <w:rPr>
          <w:rFonts w:ascii="inherit" w:hAnsi="inherit" w:cs="Arial"/>
          <w:b w:val="0"/>
          <w:sz w:val="28"/>
          <w:szCs w:val="28"/>
          <w:lang w:val="uk-UA"/>
        </w:rPr>
        <w:t xml:space="preserve">Т.В., </w:t>
      </w:r>
      <w:proofErr w:type="spellStart"/>
      <w:r w:rsidRPr="0047639C">
        <w:rPr>
          <w:rFonts w:ascii="inherit" w:hAnsi="inherit" w:cs="Arial"/>
          <w:b w:val="0"/>
          <w:sz w:val="28"/>
          <w:szCs w:val="28"/>
          <w:lang w:val="uk-UA"/>
        </w:rPr>
        <w:t>Попелюк</w:t>
      </w:r>
      <w:proofErr w:type="spellEnd"/>
      <w:r w:rsidRPr="0047639C">
        <w:rPr>
          <w:rFonts w:cs="Arial"/>
          <w:b w:val="0"/>
          <w:sz w:val="28"/>
          <w:szCs w:val="28"/>
          <w:lang w:val="uk-UA"/>
        </w:rPr>
        <w:t xml:space="preserve"> </w:t>
      </w:r>
      <w:r w:rsidRPr="0047639C">
        <w:rPr>
          <w:rFonts w:ascii="inherit" w:hAnsi="inherit" w:cs="Arial"/>
          <w:b w:val="0"/>
          <w:sz w:val="28"/>
          <w:szCs w:val="28"/>
          <w:lang w:val="uk-UA"/>
        </w:rPr>
        <w:t>О.М.</w:t>
      </w:r>
      <w:r w:rsidRPr="0047639C">
        <w:rPr>
          <w:rFonts w:cs="Arial"/>
          <w:b w:val="0"/>
          <w:sz w:val="28"/>
          <w:szCs w:val="28"/>
          <w:lang w:val="uk-UA"/>
        </w:rPr>
        <w:t xml:space="preserve"> Особливості перебігу патології підшлункової залози в дітей // Гастро</w:t>
      </w:r>
      <w:r w:rsidRPr="0047639C">
        <w:rPr>
          <w:rFonts w:cs="Arial"/>
          <w:b w:val="0"/>
          <w:sz w:val="28"/>
          <w:szCs w:val="28"/>
          <w:lang w:val="uk-UA"/>
        </w:rPr>
        <w:t>е</w:t>
      </w:r>
      <w:r w:rsidRPr="0047639C">
        <w:rPr>
          <w:rFonts w:cs="Arial"/>
          <w:b w:val="0"/>
          <w:sz w:val="28"/>
          <w:szCs w:val="28"/>
          <w:lang w:val="uk-UA"/>
        </w:rPr>
        <w:t>нтерологія. 2016. № 4(62). С. 43.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  <w:lang w:val="uk-UA"/>
        </w:rPr>
      </w:pPr>
      <w:r w:rsidRPr="005F72A8">
        <w:rPr>
          <w:sz w:val="28"/>
          <w:szCs w:val="28"/>
          <w:lang w:val="uk-UA"/>
        </w:rPr>
        <w:t xml:space="preserve">5. </w:t>
      </w:r>
      <w:proofErr w:type="spellStart"/>
      <w:r w:rsidRPr="005F72A8">
        <w:rPr>
          <w:sz w:val="28"/>
          <w:szCs w:val="28"/>
          <w:lang w:val="uk-UA"/>
        </w:rPr>
        <w:t>Банадига</w:t>
      </w:r>
      <w:proofErr w:type="spellEnd"/>
      <w:r w:rsidRPr="005F72A8">
        <w:rPr>
          <w:sz w:val="28"/>
          <w:szCs w:val="28"/>
          <w:lang w:val="uk-UA"/>
        </w:rPr>
        <w:t xml:space="preserve"> Н.В., </w:t>
      </w:r>
      <w:proofErr w:type="spellStart"/>
      <w:r w:rsidRPr="005F72A8">
        <w:rPr>
          <w:sz w:val="28"/>
          <w:szCs w:val="28"/>
          <w:lang w:val="uk-UA"/>
        </w:rPr>
        <w:t>Дутчак</w:t>
      </w:r>
      <w:proofErr w:type="spellEnd"/>
      <w:r w:rsidRPr="005F72A8">
        <w:rPr>
          <w:sz w:val="28"/>
          <w:szCs w:val="28"/>
          <w:lang w:val="uk-UA"/>
        </w:rPr>
        <w:t xml:space="preserve"> О.М. Місце </w:t>
      </w:r>
      <w:proofErr w:type="spellStart"/>
      <w:r w:rsidRPr="005F72A8">
        <w:rPr>
          <w:sz w:val="28"/>
          <w:szCs w:val="28"/>
          <w:lang w:val="uk-UA"/>
        </w:rPr>
        <w:t>панкреатопатії</w:t>
      </w:r>
      <w:proofErr w:type="spellEnd"/>
      <w:r w:rsidRPr="005F72A8">
        <w:rPr>
          <w:sz w:val="28"/>
          <w:szCs w:val="28"/>
          <w:lang w:val="uk-UA"/>
        </w:rPr>
        <w:t xml:space="preserve"> у дітей на тлі хронічної патології органів травлення // Сучасні досягнення в </w:t>
      </w:r>
      <w:proofErr w:type="spellStart"/>
      <w:r w:rsidRPr="005F72A8">
        <w:rPr>
          <w:sz w:val="28"/>
          <w:szCs w:val="28"/>
          <w:lang w:val="uk-UA"/>
        </w:rPr>
        <w:t>гаст-роентерології</w:t>
      </w:r>
      <w:proofErr w:type="spellEnd"/>
      <w:r w:rsidRPr="005F72A8">
        <w:rPr>
          <w:sz w:val="28"/>
          <w:szCs w:val="28"/>
          <w:lang w:val="uk-UA"/>
        </w:rPr>
        <w:t>. К.: Пр</w:t>
      </w:r>
      <w:r w:rsidRPr="005F72A8">
        <w:rPr>
          <w:sz w:val="28"/>
          <w:szCs w:val="28"/>
          <w:lang w:val="uk-UA"/>
        </w:rPr>
        <w:t>а</w:t>
      </w:r>
      <w:r w:rsidRPr="005F72A8">
        <w:rPr>
          <w:sz w:val="28"/>
          <w:szCs w:val="28"/>
          <w:lang w:val="uk-UA"/>
        </w:rPr>
        <w:t>пор, 2013. С. 30.</w:t>
      </w:r>
    </w:p>
    <w:p w:rsidR="00D57A64" w:rsidRPr="005F72A8" w:rsidRDefault="00D57A64" w:rsidP="00D57A64">
      <w:pPr>
        <w:ind w:firstLine="708"/>
        <w:rPr>
          <w:sz w:val="28"/>
          <w:szCs w:val="28"/>
        </w:rPr>
      </w:pPr>
      <w:r w:rsidRPr="005F72A8">
        <w:rPr>
          <w:sz w:val="28"/>
          <w:szCs w:val="28"/>
          <w:lang w:val="uk-UA"/>
        </w:rPr>
        <w:t>6</w:t>
      </w:r>
      <w:r w:rsidRPr="005F72A8">
        <w:rPr>
          <w:sz w:val="28"/>
          <w:szCs w:val="28"/>
        </w:rPr>
        <w:t xml:space="preserve">. </w:t>
      </w:r>
      <w:proofErr w:type="spellStart"/>
      <w:r w:rsidRPr="005F72A8">
        <w:rPr>
          <w:sz w:val="28"/>
          <w:szCs w:val="28"/>
        </w:rPr>
        <w:t>Заичкина</w:t>
      </w:r>
      <w:proofErr w:type="spellEnd"/>
      <w:r w:rsidRPr="005F72A8">
        <w:rPr>
          <w:sz w:val="28"/>
          <w:szCs w:val="28"/>
        </w:rPr>
        <w:t xml:space="preserve"> А.А., Корниенко </w:t>
      </w:r>
      <w:proofErr w:type="spellStart"/>
      <w:r w:rsidRPr="005F72A8">
        <w:rPr>
          <w:sz w:val="28"/>
          <w:szCs w:val="28"/>
        </w:rPr>
        <w:t>Е.А.Трудности</w:t>
      </w:r>
      <w:proofErr w:type="spellEnd"/>
      <w:r w:rsidRPr="005F72A8">
        <w:rPr>
          <w:sz w:val="28"/>
          <w:szCs w:val="28"/>
        </w:rPr>
        <w:t xml:space="preserve"> диагностики хронического панкреатита у детей // Рус</w:t>
      </w:r>
      <w:proofErr w:type="gramStart"/>
      <w:r w:rsidRPr="005F72A8">
        <w:rPr>
          <w:sz w:val="28"/>
          <w:szCs w:val="28"/>
        </w:rPr>
        <w:t>.</w:t>
      </w:r>
      <w:proofErr w:type="gramEnd"/>
      <w:r w:rsidRPr="005F72A8">
        <w:rPr>
          <w:sz w:val="28"/>
          <w:szCs w:val="28"/>
        </w:rPr>
        <w:t xml:space="preserve"> </w:t>
      </w:r>
      <w:proofErr w:type="gramStart"/>
      <w:r w:rsidRPr="005F72A8">
        <w:rPr>
          <w:sz w:val="28"/>
          <w:szCs w:val="28"/>
        </w:rPr>
        <w:t>м</w:t>
      </w:r>
      <w:proofErr w:type="gramEnd"/>
      <w:r w:rsidRPr="005F72A8">
        <w:rPr>
          <w:sz w:val="28"/>
          <w:szCs w:val="28"/>
        </w:rPr>
        <w:t>ед. журнал. 2015. Т.10, №2. С. 34.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  <w:lang w:val="uk-UA"/>
        </w:rPr>
      </w:pPr>
      <w:r w:rsidRPr="005F72A8">
        <w:rPr>
          <w:sz w:val="28"/>
          <w:szCs w:val="28"/>
          <w:lang w:val="uk-UA"/>
        </w:rPr>
        <w:t>7</w:t>
      </w:r>
      <w:r w:rsidRPr="005F72A8">
        <w:rPr>
          <w:sz w:val="28"/>
          <w:szCs w:val="28"/>
        </w:rPr>
        <w:t>. Тонкова-Ямпольская, Р.В. Состояние здоровья детей с учетом факторов ант</w:t>
      </w:r>
      <w:proofErr w:type="gramStart"/>
      <w:r w:rsidRPr="005F72A8">
        <w:rPr>
          <w:sz w:val="28"/>
          <w:szCs w:val="28"/>
        </w:rPr>
        <w:t>е-</w:t>
      </w:r>
      <w:proofErr w:type="gramEnd"/>
      <w:r w:rsidRPr="005F72A8">
        <w:rPr>
          <w:sz w:val="28"/>
          <w:szCs w:val="28"/>
        </w:rPr>
        <w:t xml:space="preserve"> и пос</w:t>
      </w:r>
      <w:r w:rsidRPr="005F72A8">
        <w:rPr>
          <w:sz w:val="28"/>
          <w:szCs w:val="28"/>
        </w:rPr>
        <w:t>т</w:t>
      </w:r>
      <w:r w:rsidRPr="005F72A8">
        <w:rPr>
          <w:sz w:val="28"/>
          <w:szCs w:val="28"/>
        </w:rPr>
        <w:t xml:space="preserve">натального риска // Рос. педиатрический журн. </w:t>
      </w:r>
      <w:r w:rsidRPr="00D57A64">
        <w:rPr>
          <w:sz w:val="28"/>
          <w:szCs w:val="28"/>
          <w:lang w:val="de-DE"/>
        </w:rPr>
        <w:t xml:space="preserve">2002. № 1. </w:t>
      </w:r>
      <w:r w:rsidRPr="005F72A8">
        <w:rPr>
          <w:sz w:val="28"/>
          <w:szCs w:val="28"/>
        </w:rPr>
        <w:t>С</w:t>
      </w:r>
      <w:r w:rsidRPr="00D57A64">
        <w:rPr>
          <w:sz w:val="28"/>
          <w:szCs w:val="28"/>
          <w:lang w:val="de-DE"/>
        </w:rPr>
        <w:t>. 61-62.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  <w:lang w:val="uk-UA"/>
        </w:rPr>
      </w:pPr>
      <w:r w:rsidRPr="005F72A8">
        <w:rPr>
          <w:sz w:val="28"/>
          <w:szCs w:val="28"/>
          <w:lang w:val="uk-UA"/>
        </w:rPr>
        <w:t>8</w:t>
      </w:r>
      <w:r w:rsidRPr="005F72A8">
        <w:rPr>
          <w:sz w:val="28"/>
          <w:szCs w:val="28"/>
          <w:lang w:val="de-DE"/>
        </w:rPr>
        <w:t xml:space="preserve">. Koopmann M. C., </w:t>
      </w:r>
      <w:proofErr w:type="spellStart"/>
      <w:r w:rsidRPr="005F72A8">
        <w:rPr>
          <w:sz w:val="28"/>
          <w:szCs w:val="28"/>
          <w:lang w:val="de-DE"/>
        </w:rPr>
        <w:t>Baumler</w:t>
      </w:r>
      <w:proofErr w:type="spellEnd"/>
      <w:r w:rsidRPr="005F72A8">
        <w:rPr>
          <w:sz w:val="28"/>
          <w:szCs w:val="28"/>
          <w:lang w:val="de-DE"/>
        </w:rPr>
        <w:t xml:space="preserve"> M. D.,  </w:t>
      </w:r>
      <w:proofErr w:type="spellStart"/>
      <w:r w:rsidRPr="005F72A8">
        <w:rPr>
          <w:sz w:val="28"/>
          <w:szCs w:val="28"/>
          <w:lang w:val="de-DE"/>
        </w:rPr>
        <w:t>Boehler</w:t>
      </w:r>
      <w:proofErr w:type="spellEnd"/>
      <w:r w:rsidRPr="005F72A8">
        <w:rPr>
          <w:sz w:val="28"/>
          <w:szCs w:val="28"/>
          <w:lang w:val="de-DE"/>
        </w:rPr>
        <w:t xml:space="preserve"> C. J. et al.  </w:t>
      </w:r>
      <w:r w:rsidRPr="005F72A8">
        <w:rPr>
          <w:sz w:val="28"/>
          <w:szCs w:val="28"/>
          <w:lang w:val="en-US"/>
        </w:rPr>
        <w:t>Total parenteral nutr</w:t>
      </w:r>
      <w:r w:rsidRPr="005F72A8">
        <w:rPr>
          <w:sz w:val="28"/>
          <w:szCs w:val="28"/>
          <w:lang w:val="en-US"/>
        </w:rPr>
        <w:t>i</w:t>
      </w:r>
      <w:r w:rsidRPr="005F72A8">
        <w:rPr>
          <w:sz w:val="28"/>
          <w:szCs w:val="28"/>
          <w:lang w:val="en-US"/>
        </w:rPr>
        <w:t xml:space="preserve">tion attenuates </w:t>
      </w:r>
      <w:proofErr w:type="spellStart"/>
      <w:r w:rsidRPr="005F72A8">
        <w:rPr>
          <w:sz w:val="28"/>
          <w:szCs w:val="28"/>
          <w:lang w:val="en-US"/>
        </w:rPr>
        <w:t>cerulein</w:t>
      </w:r>
      <w:proofErr w:type="spellEnd"/>
      <w:r w:rsidRPr="005F72A8">
        <w:rPr>
          <w:sz w:val="28"/>
          <w:szCs w:val="28"/>
          <w:lang w:val="en-US"/>
        </w:rPr>
        <w:t xml:space="preserve">-induced pancreatitis in rats // Pancreas. </w:t>
      </w:r>
    </w:p>
    <w:p w:rsidR="00D57A64" w:rsidRPr="005F72A8" w:rsidRDefault="00D57A64" w:rsidP="00D57A64">
      <w:pPr>
        <w:rPr>
          <w:sz w:val="28"/>
          <w:szCs w:val="28"/>
        </w:rPr>
      </w:pPr>
      <w:r w:rsidRPr="00D57A64">
        <w:rPr>
          <w:sz w:val="28"/>
          <w:szCs w:val="28"/>
        </w:rPr>
        <w:t xml:space="preserve">2010. </w:t>
      </w:r>
      <w:proofErr w:type="spellStart"/>
      <w:proofErr w:type="gramStart"/>
      <w:r w:rsidRPr="005F72A8">
        <w:rPr>
          <w:sz w:val="28"/>
          <w:szCs w:val="28"/>
          <w:lang w:val="en-US"/>
        </w:rPr>
        <w:t>Vol</w:t>
      </w:r>
      <w:proofErr w:type="spellEnd"/>
      <w:r w:rsidRPr="00D57A64">
        <w:rPr>
          <w:sz w:val="28"/>
          <w:szCs w:val="28"/>
        </w:rPr>
        <w:t>. 39, №3.</w:t>
      </w:r>
      <w:proofErr w:type="gramEnd"/>
      <w:r w:rsidRPr="00D57A64">
        <w:rPr>
          <w:sz w:val="28"/>
          <w:szCs w:val="28"/>
        </w:rPr>
        <w:t xml:space="preserve"> </w:t>
      </w:r>
      <w:r w:rsidRPr="005F72A8">
        <w:rPr>
          <w:sz w:val="28"/>
          <w:szCs w:val="28"/>
        </w:rPr>
        <w:t>Р. 377-384.</w:t>
      </w:r>
    </w:p>
    <w:p w:rsidR="00D57A64" w:rsidRPr="005F72A8" w:rsidRDefault="00D57A64" w:rsidP="00D57A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72A8">
        <w:rPr>
          <w:sz w:val="28"/>
          <w:szCs w:val="28"/>
          <w:shd w:val="clear" w:color="auto" w:fill="FFFFFF"/>
          <w:lang w:val="uk-UA"/>
        </w:rPr>
        <w:lastRenderedPageBreak/>
        <w:t>9</w:t>
      </w:r>
      <w:r w:rsidRPr="005F72A8">
        <w:rPr>
          <w:sz w:val="28"/>
          <w:szCs w:val="28"/>
          <w:shd w:val="clear" w:color="auto" w:fill="FFFFFF"/>
        </w:rPr>
        <w:t xml:space="preserve">. </w:t>
      </w:r>
      <w:r w:rsidRPr="005F72A8">
        <w:rPr>
          <w:color w:val="000000"/>
          <w:sz w:val="28"/>
          <w:szCs w:val="28"/>
          <w:shd w:val="clear" w:color="auto" w:fill="FFFFFF"/>
        </w:rPr>
        <w:t xml:space="preserve">Веревкина Т.И. Перекисное окисление липидов, антиоксидантная защита и их коррекция при хроническом панкреатите : </w:t>
      </w:r>
      <w:proofErr w:type="spellStart"/>
      <w:r w:rsidRPr="005F72A8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5F72A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F72A8">
        <w:rPr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5F72A8">
        <w:rPr>
          <w:color w:val="000000"/>
          <w:sz w:val="28"/>
          <w:szCs w:val="28"/>
          <w:shd w:val="clear" w:color="auto" w:fill="FFFFFF"/>
        </w:rPr>
        <w:t>. ... канд. мед</w:t>
      </w:r>
      <w:proofErr w:type="gramStart"/>
      <w:r w:rsidRPr="005F72A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F72A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F72A8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5F72A8">
        <w:rPr>
          <w:color w:val="000000"/>
          <w:sz w:val="28"/>
          <w:szCs w:val="28"/>
          <w:shd w:val="clear" w:color="auto" w:fill="FFFFFF"/>
        </w:rPr>
        <w:t>аук : 14.00.05. Уфа, 2004. 22 с.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1</w:t>
      </w:r>
      <w:r w:rsidRPr="005F72A8">
        <w:rPr>
          <w:sz w:val="28"/>
          <w:szCs w:val="28"/>
          <w:lang w:val="uk-UA"/>
        </w:rPr>
        <w:t>0</w:t>
      </w:r>
      <w:r w:rsidRPr="005F72A8">
        <w:rPr>
          <w:sz w:val="28"/>
          <w:szCs w:val="28"/>
        </w:rPr>
        <w:t xml:space="preserve">. </w:t>
      </w:r>
      <w:proofErr w:type="spellStart"/>
      <w:r w:rsidRPr="005F72A8">
        <w:rPr>
          <w:sz w:val="28"/>
          <w:szCs w:val="28"/>
        </w:rPr>
        <w:t>Радионов</w:t>
      </w:r>
      <w:proofErr w:type="spellEnd"/>
      <w:r w:rsidRPr="005F72A8">
        <w:rPr>
          <w:sz w:val="28"/>
          <w:szCs w:val="28"/>
        </w:rPr>
        <w:t xml:space="preserve"> И.А., </w:t>
      </w:r>
      <w:proofErr w:type="spellStart"/>
      <w:r w:rsidRPr="005F72A8">
        <w:rPr>
          <w:sz w:val="28"/>
          <w:szCs w:val="28"/>
        </w:rPr>
        <w:t>Мухамадияров</w:t>
      </w:r>
      <w:proofErr w:type="spellEnd"/>
      <w:r w:rsidRPr="005F72A8">
        <w:rPr>
          <w:sz w:val="28"/>
          <w:szCs w:val="28"/>
        </w:rPr>
        <w:t xml:space="preserve"> Р.А. Коррекция окислительного стресса </w:t>
      </w:r>
      <w:proofErr w:type="spellStart"/>
      <w:r w:rsidRPr="005F72A8">
        <w:rPr>
          <w:sz w:val="28"/>
          <w:szCs w:val="28"/>
        </w:rPr>
        <w:t>липосомальной</w:t>
      </w:r>
      <w:proofErr w:type="spellEnd"/>
      <w:r w:rsidRPr="005F72A8">
        <w:rPr>
          <w:sz w:val="28"/>
          <w:szCs w:val="28"/>
        </w:rPr>
        <w:t xml:space="preserve"> формой антиоксидантов и </w:t>
      </w:r>
      <w:proofErr w:type="spellStart"/>
      <w:r w:rsidRPr="005F72A8">
        <w:rPr>
          <w:sz w:val="28"/>
          <w:szCs w:val="28"/>
        </w:rPr>
        <w:t>перфторана</w:t>
      </w:r>
      <w:proofErr w:type="spellEnd"/>
      <w:r w:rsidRPr="005F72A8">
        <w:rPr>
          <w:sz w:val="28"/>
          <w:szCs w:val="28"/>
        </w:rPr>
        <w:t xml:space="preserve"> при экспериментальном хроническом панкреатите // Казанский медицинский журнал. 2009. №1. Том 90. С.48.</w:t>
      </w:r>
    </w:p>
    <w:p w:rsidR="00D57A64" w:rsidRPr="005F72A8" w:rsidRDefault="00D57A64" w:rsidP="00D57A64">
      <w:pPr>
        <w:ind w:firstLine="708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1</w:t>
      </w:r>
      <w:r w:rsidRPr="005F72A8">
        <w:rPr>
          <w:sz w:val="28"/>
          <w:szCs w:val="28"/>
          <w:lang w:val="uk-UA"/>
        </w:rPr>
        <w:t>1</w:t>
      </w:r>
      <w:r w:rsidRPr="005F72A8">
        <w:rPr>
          <w:sz w:val="28"/>
          <w:szCs w:val="28"/>
        </w:rPr>
        <w:t xml:space="preserve">. </w:t>
      </w:r>
      <w:proofErr w:type="spellStart"/>
      <w:r w:rsidRPr="005F72A8">
        <w:rPr>
          <w:sz w:val="28"/>
          <w:szCs w:val="28"/>
        </w:rPr>
        <w:t>Меринова</w:t>
      </w:r>
      <w:proofErr w:type="spellEnd"/>
      <w:r w:rsidRPr="005F72A8">
        <w:rPr>
          <w:sz w:val="28"/>
          <w:szCs w:val="28"/>
        </w:rPr>
        <w:t xml:space="preserve"> Н.И., Козлова Н.М., Колесниченко Л.С. Перекисное окисл</w:t>
      </w:r>
      <w:r w:rsidRPr="005F72A8">
        <w:rPr>
          <w:sz w:val="28"/>
          <w:szCs w:val="28"/>
        </w:rPr>
        <w:t>е</w:t>
      </w:r>
      <w:r w:rsidRPr="005F72A8">
        <w:rPr>
          <w:sz w:val="28"/>
          <w:szCs w:val="28"/>
        </w:rPr>
        <w:t>ние липидов и антиоксидантная система в патогенезе хронического панкреатита // Сибирский медицинский журнал. 2012. №3. С. 17-20.</w:t>
      </w:r>
    </w:p>
    <w:p w:rsidR="00D57A64" w:rsidRPr="005F72A8" w:rsidRDefault="00D57A64" w:rsidP="00D57A6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5F72A8">
        <w:t>1</w:t>
      </w:r>
      <w:r w:rsidRPr="005F72A8">
        <w:rPr>
          <w:lang w:val="uk-UA"/>
        </w:rPr>
        <w:t>2</w:t>
      </w:r>
      <w:r w:rsidRPr="005F72A8">
        <w:t xml:space="preserve">. </w:t>
      </w:r>
      <w:proofErr w:type="spellStart"/>
      <w:r w:rsidRPr="005F72A8">
        <w:rPr>
          <w:color w:val="000000"/>
        </w:rPr>
        <w:t>Мосоян</w:t>
      </w:r>
      <w:proofErr w:type="spellEnd"/>
      <w:r w:rsidRPr="005F72A8">
        <w:rPr>
          <w:color w:val="000000"/>
        </w:rPr>
        <w:t xml:space="preserve"> С.С., Шугаев А.И., </w:t>
      </w:r>
      <w:proofErr w:type="spellStart"/>
      <w:r w:rsidRPr="005F72A8">
        <w:rPr>
          <w:color w:val="000000"/>
        </w:rPr>
        <w:t>Чуянова</w:t>
      </w:r>
      <w:proofErr w:type="spellEnd"/>
      <w:r w:rsidRPr="005F72A8">
        <w:rPr>
          <w:color w:val="000000"/>
        </w:rPr>
        <w:t xml:space="preserve"> Е.В. Перекисное оки</w:t>
      </w:r>
      <w:r w:rsidRPr="005F72A8">
        <w:rPr>
          <w:color w:val="000000"/>
        </w:rPr>
        <w:t>с</w:t>
      </w:r>
      <w:r w:rsidRPr="005F72A8">
        <w:rPr>
          <w:color w:val="000000"/>
        </w:rPr>
        <w:t xml:space="preserve">ление липидов и антиоксидантная защита при остром деструктивном панкреатите // Вестник СПбГУ. Сер. 11. 2013. </w:t>
      </w:r>
      <w:proofErr w:type="spellStart"/>
      <w:r w:rsidRPr="005F72A8">
        <w:rPr>
          <w:color w:val="000000"/>
        </w:rPr>
        <w:t>Вып</w:t>
      </w:r>
      <w:proofErr w:type="spellEnd"/>
      <w:r w:rsidRPr="005F72A8">
        <w:rPr>
          <w:color w:val="000000"/>
        </w:rPr>
        <w:t>. 2. С. 36-38.</w:t>
      </w:r>
    </w:p>
    <w:p w:rsidR="00D57A64" w:rsidRPr="005F72A8" w:rsidRDefault="00D57A64" w:rsidP="00D57A64">
      <w:pPr>
        <w:shd w:val="clear" w:color="auto" w:fill="FFFFFF"/>
        <w:ind w:firstLine="708"/>
        <w:jc w:val="both"/>
        <w:rPr>
          <w:sz w:val="28"/>
          <w:szCs w:val="28"/>
          <w:lang w:bidi="he-IL"/>
        </w:rPr>
      </w:pPr>
      <w:r w:rsidRPr="005F72A8">
        <w:rPr>
          <w:sz w:val="28"/>
          <w:szCs w:val="28"/>
          <w:lang w:bidi="he-IL"/>
        </w:rPr>
        <w:t>1</w:t>
      </w:r>
      <w:r w:rsidRPr="005F72A8">
        <w:rPr>
          <w:sz w:val="28"/>
          <w:szCs w:val="28"/>
          <w:lang w:val="uk-UA" w:bidi="he-IL"/>
        </w:rPr>
        <w:t>3</w:t>
      </w:r>
      <w:r w:rsidRPr="005F72A8">
        <w:rPr>
          <w:sz w:val="28"/>
          <w:szCs w:val="28"/>
          <w:lang w:bidi="he-IL"/>
        </w:rPr>
        <w:t xml:space="preserve">. </w:t>
      </w:r>
      <w:proofErr w:type="spellStart"/>
      <w:r w:rsidRPr="005F72A8">
        <w:rPr>
          <w:sz w:val="28"/>
          <w:szCs w:val="28"/>
          <w:lang w:bidi="he-IL"/>
        </w:rPr>
        <w:t>Стомная</w:t>
      </w:r>
      <w:proofErr w:type="spellEnd"/>
      <w:r w:rsidRPr="005F72A8">
        <w:rPr>
          <w:sz w:val="28"/>
          <w:szCs w:val="28"/>
          <w:lang w:bidi="he-IL"/>
        </w:rPr>
        <w:t xml:space="preserve"> Н.Д. Методы определения некоторых продуктов </w:t>
      </w:r>
      <w:proofErr w:type="spellStart"/>
      <w:proofErr w:type="gramStart"/>
      <w:r w:rsidRPr="005F72A8">
        <w:rPr>
          <w:sz w:val="28"/>
          <w:szCs w:val="28"/>
          <w:lang w:bidi="he-IL"/>
        </w:rPr>
        <w:t>пе-рекисного</w:t>
      </w:r>
      <w:proofErr w:type="spellEnd"/>
      <w:proofErr w:type="gramEnd"/>
      <w:r w:rsidRPr="005F72A8">
        <w:rPr>
          <w:sz w:val="28"/>
          <w:szCs w:val="28"/>
          <w:lang w:bidi="he-IL"/>
        </w:rPr>
        <w:t xml:space="preserve"> окисления липидов в тканях животных / Под ред. акад. В.Н. </w:t>
      </w:r>
      <w:proofErr w:type="spellStart"/>
      <w:r w:rsidRPr="005F72A8">
        <w:rPr>
          <w:sz w:val="28"/>
          <w:szCs w:val="28"/>
          <w:lang w:bidi="he-IL"/>
        </w:rPr>
        <w:t>Ореховича</w:t>
      </w:r>
      <w:proofErr w:type="spellEnd"/>
      <w:r w:rsidRPr="005F72A8">
        <w:rPr>
          <w:sz w:val="28"/>
          <w:szCs w:val="28"/>
          <w:lang w:bidi="he-IL"/>
        </w:rPr>
        <w:t xml:space="preserve"> // Современные методы в биох</w:t>
      </w:r>
      <w:r w:rsidRPr="005F72A8">
        <w:rPr>
          <w:sz w:val="28"/>
          <w:szCs w:val="28"/>
          <w:lang w:bidi="he-IL"/>
        </w:rPr>
        <w:t>и</w:t>
      </w:r>
      <w:r w:rsidRPr="005F72A8">
        <w:rPr>
          <w:sz w:val="28"/>
          <w:szCs w:val="28"/>
          <w:lang w:bidi="he-IL"/>
        </w:rPr>
        <w:t xml:space="preserve">мии. - </w:t>
      </w:r>
      <w:proofErr w:type="spellStart"/>
      <w:r w:rsidRPr="005F72A8">
        <w:rPr>
          <w:sz w:val="28"/>
          <w:szCs w:val="28"/>
          <w:lang w:bidi="he-IL"/>
        </w:rPr>
        <w:t>М.:Медицина</w:t>
      </w:r>
      <w:proofErr w:type="spellEnd"/>
      <w:r w:rsidRPr="005F72A8">
        <w:rPr>
          <w:sz w:val="28"/>
          <w:szCs w:val="28"/>
          <w:lang w:bidi="he-IL"/>
        </w:rPr>
        <w:t>, 1977.  С. 62-65.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r w:rsidRPr="005F72A8">
        <w:rPr>
          <w:color w:val="000000"/>
          <w:sz w:val="28"/>
          <w:szCs w:val="28"/>
        </w:rPr>
        <w:t>1</w:t>
      </w:r>
      <w:r w:rsidRPr="005F72A8">
        <w:rPr>
          <w:color w:val="000000"/>
          <w:sz w:val="28"/>
          <w:szCs w:val="28"/>
          <w:lang w:val="uk-UA"/>
        </w:rPr>
        <w:t>4</w:t>
      </w:r>
      <w:r w:rsidRPr="005F72A8">
        <w:rPr>
          <w:color w:val="000000"/>
          <w:sz w:val="28"/>
          <w:szCs w:val="28"/>
        </w:rPr>
        <w:t xml:space="preserve">. </w:t>
      </w:r>
      <w:r w:rsidRPr="005F72A8">
        <w:rPr>
          <w:sz w:val="28"/>
          <w:szCs w:val="28"/>
          <w:lang w:bidi="he-IL"/>
        </w:rPr>
        <w:t xml:space="preserve">Костюк В.А., Потапович А.И., Ковалева Ж.В. Простой и </w:t>
      </w:r>
      <w:proofErr w:type="spellStart"/>
      <w:proofErr w:type="gramStart"/>
      <w:r w:rsidRPr="005F72A8">
        <w:rPr>
          <w:sz w:val="28"/>
          <w:szCs w:val="28"/>
          <w:lang w:bidi="he-IL"/>
        </w:rPr>
        <w:t>чув-ствительный</w:t>
      </w:r>
      <w:proofErr w:type="spellEnd"/>
      <w:proofErr w:type="gramEnd"/>
      <w:r w:rsidRPr="005F72A8">
        <w:rPr>
          <w:sz w:val="28"/>
          <w:szCs w:val="28"/>
          <w:lang w:bidi="he-IL"/>
        </w:rPr>
        <w:t xml:space="preserve"> метод определения активности СОД, основанный на реакции окисления </w:t>
      </w:r>
      <w:proofErr w:type="spellStart"/>
      <w:r w:rsidRPr="005F72A8">
        <w:rPr>
          <w:sz w:val="28"/>
          <w:szCs w:val="28"/>
          <w:lang w:bidi="he-IL"/>
        </w:rPr>
        <w:t>кверцитина</w:t>
      </w:r>
      <w:proofErr w:type="spellEnd"/>
      <w:r w:rsidRPr="005F72A8">
        <w:rPr>
          <w:sz w:val="28"/>
          <w:szCs w:val="28"/>
          <w:lang w:bidi="he-IL"/>
        </w:rPr>
        <w:t xml:space="preserve"> // Вопросы мед</w:t>
      </w:r>
      <w:r w:rsidRPr="005F72A8">
        <w:rPr>
          <w:sz w:val="28"/>
          <w:szCs w:val="28"/>
          <w:lang w:bidi="he-IL"/>
        </w:rPr>
        <w:t>и</w:t>
      </w:r>
      <w:r w:rsidRPr="005F72A8">
        <w:rPr>
          <w:sz w:val="28"/>
          <w:szCs w:val="28"/>
          <w:lang w:bidi="he-IL"/>
        </w:rPr>
        <w:t>цинской химии. 1990.  № 2. С. 88-91.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r w:rsidRPr="005F72A8">
        <w:rPr>
          <w:sz w:val="28"/>
          <w:szCs w:val="28"/>
          <w:lang w:bidi="he-IL"/>
        </w:rPr>
        <w:t>1</w:t>
      </w:r>
      <w:r w:rsidRPr="005F72A8">
        <w:rPr>
          <w:sz w:val="28"/>
          <w:szCs w:val="28"/>
          <w:lang w:val="uk-UA" w:bidi="he-IL"/>
        </w:rPr>
        <w:t>5</w:t>
      </w:r>
      <w:r w:rsidRPr="005F72A8">
        <w:rPr>
          <w:sz w:val="28"/>
          <w:szCs w:val="28"/>
          <w:lang w:bidi="he-IL"/>
        </w:rPr>
        <w:t>. Дубинина Е.Е., Ефимова Л.Ф., Сафронова Л.Н. Методы определения активности к</w:t>
      </w:r>
      <w:r w:rsidRPr="005F72A8">
        <w:rPr>
          <w:sz w:val="28"/>
          <w:szCs w:val="28"/>
          <w:lang w:bidi="he-IL"/>
        </w:rPr>
        <w:t>а</w:t>
      </w:r>
      <w:r w:rsidRPr="005F72A8">
        <w:rPr>
          <w:sz w:val="28"/>
          <w:szCs w:val="28"/>
          <w:lang w:bidi="he-IL"/>
        </w:rPr>
        <w:t>талазы // Лаб. Дело. 1988. № 8. С. 16-19.</w:t>
      </w:r>
    </w:p>
    <w:p w:rsidR="00D57A64" w:rsidRPr="00BC7606" w:rsidRDefault="00D57A64" w:rsidP="00D57A6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 Пат. 80979 Україна, МПК G09B 23/28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 Спосіб моделювання надмірної ваги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06">
        <w:rPr>
          <w:rFonts w:ascii="Times New Roman" w:hAnsi="Times New Roman"/>
          <w:sz w:val="28"/>
          <w:szCs w:val="28"/>
          <w:lang w:val="uk-UA"/>
        </w:rPr>
        <w:t>/Н</w:t>
      </w:r>
      <w:r>
        <w:rPr>
          <w:rFonts w:ascii="Times New Roman" w:hAnsi="Times New Roman"/>
          <w:sz w:val="28"/>
          <w:szCs w:val="28"/>
          <w:lang w:val="uk-UA"/>
        </w:rPr>
        <w:t xml:space="preserve">іколаєва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Ковальцова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Євтушенко Т.Г.; </w:t>
      </w:r>
      <w:proofErr w:type="spellStart"/>
      <w:r w:rsidRPr="00BC760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а-яв</w:t>
      </w:r>
      <w:r w:rsidRPr="00BC7606">
        <w:rPr>
          <w:rFonts w:ascii="Times New Roman" w:hAnsi="Times New Roman"/>
          <w:sz w:val="28"/>
          <w:szCs w:val="28"/>
          <w:lang w:val="uk-UA"/>
        </w:rPr>
        <w:t>ник</w:t>
      </w:r>
      <w:proofErr w:type="spellEnd"/>
      <w:r w:rsidRPr="00BC7606">
        <w:rPr>
          <w:rFonts w:ascii="Times New Roman" w:hAnsi="Times New Roman"/>
          <w:sz w:val="28"/>
          <w:szCs w:val="28"/>
          <w:lang w:val="uk-UA"/>
        </w:rPr>
        <w:t xml:space="preserve"> та патентовла</w:t>
      </w:r>
      <w:r w:rsidRPr="00BC7606">
        <w:rPr>
          <w:rFonts w:ascii="Times New Roman" w:hAnsi="Times New Roman"/>
          <w:sz w:val="28"/>
          <w:szCs w:val="28"/>
          <w:lang w:val="uk-UA"/>
        </w:rPr>
        <w:t>с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ник </w:t>
      </w:r>
      <w:proofErr w:type="spellStart"/>
      <w:r w:rsidRPr="00BC7606">
        <w:rPr>
          <w:rFonts w:ascii="Times New Roman" w:hAnsi="Times New Roman"/>
          <w:sz w:val="28"/>
          <w:szCs w:val="28"/>
          <w:lang w:val="uk-UA"/>
        </w:rPr>
        <w:t>Харківськ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 національний медичний університет.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№ и 2013 01221;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явл.01.02.2013; опубл.</w:t>
      </w:r>
      <w:r w:rsidRPr="00BC7606">
        <w:rPr>
          <w:rFonts w:ascii="Times New Roman" w:hAnsi="Times New Roman"/>
          <w:sz w:val="28"/>
          <w:szCs w:val="28"/>
          <w:lang w:val="uk-UA"/>
        </w:rPr>
        <w:t xml:space="preserve">10.06.2013. </w:t>
      </w:r>
      <w:proofErr w:type="spellStart"/>
      <w:r w:rsidRPr="00BC7606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BC7606">
        <w:rPr>
          <w:rFonts w:ascii="Times New Roman" w:hAnsi="Times New Roman"/>
          <w:sz w:val="28"/>
          <w:szCs w:val="28"/>
          <w:lang w:val="uk-UA"/>
        </w:rPr>
        <w:t>. №11.</w:t>
      </w:r>
    </w:p>
    <w:p w:rsidR="00D57A64" w:rsidRPr="005F72A8" w:rsidRDefault="00D57A64" w:rsidP="00D57A64">
      <w:pPr>
        <w:ind w:firstLine="709"/>
        <w:jc w:val="both"/>
        <w:rPr>
          <w:sz w:val="28"/>
          <w:szCs w:val="28"/>
        </w:rPr>
      </w:pPr>
      <w:r w:rsidRPr="005F72A8">
        <w:rPr>
          <w:sz w:val="28"/>
          <w:szCs w:val="28"/>
        </w:rPr>
        <w:t>1</w:t>
      </w:r>
      <w:r w:rsidRPr="005F72A8">
        <w:rPr>
          <w:sz w:val="28"/>
          <w:szCs w:val="28"/>
          <w:lang w:val="uk-UA"/>
        </w:rPr>
        <w:t>7</w:t>
      </w:r>
      <w:r w:rsidRPr="005F72A8">
        <w:rPr>
          <w:sz w:val="28"/>
          <w:szCs w:val="28"/>
        </w:rPr>
        <w:t>. Владимиров Ю.А. Свободные радик</w:t>
      </w:r>
      <w:r>
        <w:rPr>
          <w:sz w:val="28"/>
          <w:szCs w:val="28"/>
        </w:rPr>
        <w:t>алы в биологических си</w:t>
      </w:r>
      <w:r w:rsidRPr="005F72A8">
        <w:rPr>
          <w:sz w:val="28"/>
          <w:szCs w:val="28"/>
        </w:rPr>
        <w:t xml:space="preserve">стемах // </w:t>
      </w:r>
      <w:proofErr w:type="spellStart"/>
      <w:r w:rsidRPr="005F72A8">
        <w:rPr>
          <w:sz w:val="28"/>
          <w:szCs w:val="28"/>
        </w:rPr>
        <w:t>Соросовский</w:t>
      </w:r>
      <w:proofErr w:type="spellEnd"/>
      <w:r w:rsidRPr="005F72A8">
        <w:rPr>
          <w:sz w:val="28"/>
          <w:szCs w:val="28"/>
        </w:rPr>
        <w:t xml:space="preserve"> образовательный журнал. 2000. № 6 (12). С.13.</w:t>
      </w:r>
    </w:p>
    <w:p w:rsidR="00D57A64" w:rsidRPr="005F72A8" w:rsidRDefault="00D57A64" w:rsidP="00D57A64">
      <w:pPr>
        <w:pStyle w:val="a3"/>
        <w:spacing w:before="0" w:beforeAutospacing="0" w:after="0" w:afterAutospacing="0"/>
        <w:textAlignment w:val="top"/>
        <w:rPr>
          <w:b/>
          <w:i/>
          <w:color w:val="000000"/>
        </w:rPr>
      </w:pPr>
      <w:r w:rsidRPr="005F72A8">
        <w:rPr>
          <w:b/>
          <w:i/>
          <w:color w:val="000000"/>
        </w:rPr>
        <w:t>В.А. Сиренко</w:t>
      </w:r>
    </w:p>
    <w:p w:rsidR="00D57A64" w:rsidRPr="005F72A8" w:rsidRDefault="00D57A64" w:rsidP="00D57A64">
      <w:pPr>
        <w:rPr>
          <w:b/>
          <w:caps/>
          <w:sz w:val="28"/>
          <w:szCs w:val="28"/>
        </w:rPr>
      </w:pPr>
      <w:r w:rsidRPr="005F72A8">
        <w:rPr>
          <w:b/>
          <w:caps/>
          <w:sz w:val="28"/>
          <w:szCs w:val="28"/>
        </w:rPr>
        <w:t xml:space="preserve">Окислительно-антиоксидантНый гомеостаз </w:t>
      </w:r>
    </w:p>
    <w:p w:rsidR="00D57A64" w:rsidRPr="005F72A8" w:rsidRDefault="00D57A64" w:rsidP="00D57A64">
      <w:pPr>
        <w:rPr>
          <w:b/>
          <w:caps/>
          <w:sz w:val="28"/>
          <w:szCs w:val="28"/>
        </w:rPr>
      </w:pPr>
      <w:r w:rsidRPr="005F72A8">
        <w:rPr>
          <w:b/>
          <w:caps/>
          <w:sz w:val="28"/>
          <w:szCs w:val="28"/>
        </w:rPr>
        <w:t>у потомства крыс, получавших во время беременности питание с избытком пищевых ингредиентов</w:t>
      </w:r>
    </w:p>
    <w:p w:rsidR="00D57A64" w:rsidRDefault="00D57A64" w:rsidP="00D57A64">
      <w:pPr>
        <w:pStyle w:val="a3"/>
        <w:spacing w:before="0" w:beforeAutospacing="0" w:after="0" w:afterAutospacing="0"/>
        <w:jc w:val="both"/>
        <w:textAlignment w:val="top"/>
      </w:pPr>
      <w:r w:rsidRPr="00AB2E16">
        <w:tab/>
        <w:t xml:space="preserve">Изучен </w:t>
      </w:r>
      <w:proofErr w:type="spellStart"/>
      <w:r w:rsidRPr="00AB2E16">
        <w:t>окислительно</w:t>
      </w:r>
      <w:proofErr w:type="spellEnd"/>
      <w:r w:rsidRPr="00AB2E16">
        <w:t xml:space="preserve">-антиоксидантный гомеостаз (ОАГ) у </w:t>
      </w:r>
      <w:r>
        <w:t>70</w:t>
      </w:r>
      <w:r w:rsidRPr="00AB2E16">
        <w:t xml:space="preserve"> крыс попул</w:t>
      </w:r>
      <w:r w:rsidRPr="00AB2E16">
        <w:t>я</w:t>
      </w:r>
      <w:r w:rsidRPr="00AB2E16">
        <w:t xml:space="preserve">ции WAG/G </w:t>
      </w:r>
      <w:proofErr w:type="spellStart"/>
      <w:r w:rsidRPr="00AB2E16">
        <w:t>Sto</w:t>
      </w:r>
      <w:proofErr w:type="spellEnd"/>
      <w:r w:rsidRPr="00AB2E16">
        <w:t xml:space="preserve"> на основании определения активности перекисного окисления липидов (ПОЛ) (диеновых </w:t>
      </w:r>
      <w:proofErr w:type="spellStart"/>
      <w:r w:rsidRPr="00AB2E16">
        <w:t>конъюгатов</w:t>
      </w:r>
      <w:proofErr w:type="spellEnd"/>
      <w:r w:rsidRPr="00AB2E16">
        <w:t xml:space="preserve"> и </w:t>
      </w:r>
      <w:proofErr w:type="spellStart"/>
      <w:r w:rsidRPr="00AB2E16">
        <w:t>малонового</w:t>
      </w:r>
      <w:proofErr w:type="spellEnd"/>
      <w:r w:rsidRPr="00AB2E16">
        <w:t xml:space="preserve"> </w:t>
      </w:r>
      <w:proofErr w:type="spellStart"/>
      <w:r w:rsidRPr="00AB2E16">
        <w:t>диальдегида</w:t>
      </w:r>
      <w:proofErr w:type="spellEnd"/>
      <w:r w:rsidRPr="00AB2E16">
        <w:t>) и антиокс</w:t>
      </w:r>
      <w:r w:rsidRPr="00AB2E16">
        <w:t>и</w:t>
      </w:r>
      <w:r w:rsidRPr="00AB2E16">
        <w:t>дантной системы (АОС) (</w:t>
      </w:r>
      <w:proofErr w:type="spellStart"/>
      <w:r w:rsidRPr="00AB2E16">
        <w:t>супероксиддисмутазы</w:t>
      </w:r>
      <w:proofErr w:type="spellEnd"/>
      <w:r w:rsidRPr="00AB2E16">
        <w:t xml:space="preserve"> и каталазы) в ПЖ и сыворотке крови. У крыс-матерей, получавших </w:t>
      </w:r>
      <w:proofErr w:type="spellStart"/>
      <w:r w:rsidRPr="00AB2E16">
        <w:t>гиперкалорийную</w:t>
      </w:r>
      <w:proofErr w:type="spellEnd"/>
      <w:r w:rsidRPr="00AB2E16">
        <w:t xml:space="preserve"> диету во время беременн</w:t>
      </w:r>
      <w:r w:rsidRPr="00AB2E16">
        <w:t>о</w:t>
      </w:r>
      <w:r w:rsidRPr="00AB2E16">
        <w:t xml:space="preserve">сти, установлена активация ПОЛ и снижение активности АОС (выраженный </w:t>
      </w:r>
      <w:proofErr w:type="spellStart"/>
      <w:r w:rsidRPr="00AB2E16">
        <w:t>о</w:t>
      </w:r>
      <w:r w:rsidRPr="00AB2E16">
        <w:t>к</w:t>
      </w:r>
      <w:r w:rsidRPr="00AB2E16">
        <w:t>сидативный</w:t>
      </w:r>
      <w:proofErr w:type="spellEnd"/>
      <w:r w:rsidRPr="00AB2E16">
        <w:t xml:space="preserve"> стресс). У новорождённых и 1-месячных крысят выя</w:t>
      </w:r>
      <w:r w:rsidRPr="00AB2E16">
        <w:t>в</w:t>
      </w:r>
      <w:r>
        <w:t>лена активация ПОЛ и АОС</w:t>
      </w:r>
      <w:r w:rsidRPr="00D2184C">
        <w:t xml:space="preserve"> </w:t>
      </w:r>
      <w:r>
        <w:t xml:space="preserve">с признаками </w:t>
      </w:r>
      <w:r w:rsidRPr="00754D85">
        <w:t>недостаточности физиологическ</w:t>
      </w:r>
      <w:r w:rsidRPr="00754D85">
        <w:t>о</w:t>
      </w:r>
      <w:r w:rsidRPr="00754D85">
        <w:t xml:space="preserve">го резерва </w:t>
      </w:r>
      <w:r>
        <w:t>последней</w:t>
      </w:r>
      <w:r w:rsidRPr="00754D85">
        <w:t xml:space="preserve"> для приостановки процессов ПОЛ</w:t>
      </w:r>
      <w:r>
        <w:t>. У 2-месячных крысят существенных наруш</w:t>
      </w:r>
      <w:r>
        <w:t>е</w:t>
      </w:r>
      <w:r>
        <w:t>ний ОАГ не выявлено. Полученные данные свидетельствуют о значимости нар</w:t>
      </w:r>
      <w:r>
        <w:t>у</w:t>
      </w:r>
      <w:r>
        <w:t xml:space="preserve">шений ОАГ в патогенезе </w:t>
      </w:r>
      <w:r>
        <w:lastRenderedPageBreak/>
        <w:t xml:space="preserve">повреждения ПЖ у крыс при несбалансированном </w:t>
      </w:r>
      <w:proofErr w:type="spellStart"/>
      <w:r>
        <w:t>гиперк</w:t>
      </w:r>
      <w:r>
        <w:t>а</w:t>
      </w:r>
      <w:r>
        <w:t>лорийном</w:t>
      </w:r>
      <w:proofErr w:type="spellEnd"/>
      <w:r>
        <w:t xml:space="preserve"> питании.</w:t>
      </w:r>
    </w:p>
    <w:p w:rsidR="00D57A64" w:rsidRPr="00B649FC" w:rsidRDefault="00D57A64" w:rsidP="00D57A64">
      <w:pPr>
        <w:pStyle w:val="a3"/>
        <w:spacing w:before="0" w:beforeAutospacing="0" w:after="0" w:afterAutospacing="0"/>
        <w:jc w:val="both"/>
        <w:textAlignment w:val="top"/>
        <w:rPr>
          <w:i/>
          <w:color w:val="000000"/>
        </w:rPr>
      </w:pPr>
      <w:r w:rsidRPr="00842559">
        <w:rPr>
          <w:b/>
          <w:i/>
        </w:rPr>
        <w:t>Ключевые слова:</w:t>
      </w:r>
      <w:r w:rsidRPr="00842559">
        <w:rPr>
          <w:i/>
        </w:rPr>
        <w:t xml:space="preserve"> </w:t>
      </w:r>
      <w:proofErr w:type="spellStart"/>
      <w:r w:rsidRPr="00B649FC">
        <w:rPr>
          <w:i/>
          <w:color w:val="000000"/>
        </w:rPr>
        <w:t>окислительно</w:t>
      </w:r>
      <w:proofErr w:type="spellEnd"/>
      <w:r w:rsidRPr="00B649FC">
        <w:rPr>
          <w:i/>
          <w:color w:val="000000"/>
        </w:rPr>
        <w:t xml:space="preserve">-антиоксидантный гомеостаз, </w:t>
      </w:r>
      <w:proofErr w:type="spellStart"/>
      <w:r w:rsidRPr="00B649FC">
        <w:rPr>
          <w:i/>
          <w:color w:val="000000"/>
        </w:rPr>
        <w:t>гиперкалорийная</w:t>
      </w:r>
      <w:proofErr w:type="spellEnd"/>
      <w:r w:rsidRPr="00B649FC">
        <w:rPr>
          <w:i/>
          <w:color w:val="000000"/>
        </w:rPr>
        <w:t xml:space="preserve"> диета, поджелудочная железа, потомство крыс.</w:t>
      </w:r>
    </w:p>
    <w:p w:rsidR="00D57A64" w:rsidRPr="000F2D1A" w:rsidRDefault="00D57A64" w:rsidP="00D57A64">
      <w:pPr>
        <w:pStyle w:val="a3"/>
        <w:spacing w:before="120" w:beforeAutospacing="0" w:after="0" w:afterAutospacing="0"/>
        <w:textAlignment w:val="top"/>
        <w:rPr>
          <w:b/>
          <w:color w:val="000000"/>
          <w:lang w:val="uk-UA"/>
        </w:rPr>
      </w:pPr>
      <w:r w:rsidRPr="000F2D1A">
        <w:rPr>
          <w:b/>
          <w:color w:val="000000"/>
          <w:lang w:val="uk-UA"/>
        </w:rPr>
        <w:t>В.А. Сіренко</w:t>
      </w:r>
    </w:p>
    <w:p w:rsidR="00D57A64" w:rsidRPr="00625DD9" w:rsidRDefault="00D57A64" w:rsidP="00D57A64">
      <w:pPr>
        <w:pStyle w:val="a3"/>
        <w:spacing w:before="0" w:beforeAutospacing="0" w:after="0" w:afterAutospacing="0"/>
        <w:textAlignment w:val="top"/>
        <w:rPr>
          <w:b/>
          <w:color w:val="000000"/>
          <w:lang w:val="uk-UA"/>
        </w:rPr>
      </w:pPr>
      <w:r w:rsidRPr="00625DD9">
        <w:rPr>
          <w:b/>
          <w:color w:val="000000"/>
          <w:lang w:val="uk-UA"/>
        </w:rPr>
        <w:t xml:space="preserve">ОКИСЛЮВАЛЬНО-АНТИОКСИДАНТНИЙ ГОМЕОСТАЗ У ПОТОМСТВА ЩУРІВ, </w:t>
      </w:r>
      <w:r w:rsidRPr="00EA2253">
        <w:rPr>
          <w:b/>
          <w:color w:val="000000"/>
          <w:lang w:val="uk-UA"/>
        </w:rPr>
        <w:t>ЩО</w:t>
      </w:r>
      <w:r w:rsidRPr="00625DD9">
        <w:rPr>
          <w:b/>
          <w:color w:val="000000"/>
          <w:lang w:val="uk-UA"/>
        </w:rPr>
        <w:t xml:space="preserve"> ОТРИМУВАЛИ П</w:t>
      </w:r>
      <w:r w:rsidRPr="00EA2253">
        <w:rPr>
          <w:b/>
          <w:color w:val="000000"/>
          <w:lang w:val="uk-UA"/>
        </w:rPr>
        <w:t>ІД ЧАС</w:t>
      </w:r>
      <w:r w:rsidRPr="00625DD9">
        <w:rPr>
          <w:b/>
          <w:color w:val="000000"/>
          <w:lang w:val="uk-UA"/>
        </w:rPr>
        <w:t xml:space="preserve"> ВАГІТНОСТІ </w:t>
      </w:r>
      <w:r w:rsidRPr="00EA2253">
        <w:rPr>
          <w:b/>
          <w:color w:val="000000"/>
          <w:lang w:val="uk-UA"/>
        </w:rPr>
        <w:t xml:space="preserve">ЖИВЛЕННЯ </w:t>
      </w:r>
      <w:r w:rsidRPr="00625DD9">
        <w:rPr>
          <w:b/>
          <w:color w:val="000000"/>
          <w:lang w:val="uk-UA"/>
        </w:rPr>
        <w:t xml:space="preserve">З </w:t>
      </w:r>
      <w:r w:rsidRPr="00EA2253">
        <w:rPr>
          <w:b/>
          <w:color w:val="000000"/>
          <w:lang w:val="uk-UA"/>
        </w:rPr>
        <w:t xml:space="preserve">НАДЛИШКОМ </w:t>
      </w:r>
      <w:r w:rsidRPr="00625DD9">
        <w:rPr>
          <w:b/>
          <w:color w:val="000000"/>
          <w:lang w:val="uk-UA"/>
        </w:rPr>
        <w:t>ХАРЧОВИХ ІНГРЕДІЄНТІВ</w:t>
      </w:r>
    </w:p>
    <w:p w:rsidR="00D57A64" w:rsidRPr="005628D5" w:rsidRDefault="00D57A64" w:rsidP="00D57A64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lang w:val="uk-UA"/>
        </w:rPr>
      </w:pPr>
      <w:r w:rsidRPr="009F4834">
        <w:rPr>
          <w:color w:val="000000"/>
          <w:lang w:val="uk-UA"/>
        </w:rPr>
        <w:t>Вивчений окислювально-антиоксидантний гомеостаз (ОАГ) у 107 щурів п</w:t>
      </w:r>
      <w:r w:rsidRPr="009F4834">
        <w:rPr>
          <w:color w:val="000000"/>
          <w:lang w:val="uk-UA"/>
        </w:rPr>
        <w:t>о</w:t>
      </w:r>
      <w:r w:rsidRPr="009F4834">
        <w:rPr>
          <w:color w:val="000000"/>
          <w:lang w:val="uk-UA"/>
        </w:rPr>
        <w:t xml:space="preserve">пуляції WAG/G </w:t>
      </w:r>
      <w:proofErr w:type="spellStart"/>
      <w:r w:rsidRPr="009F4834">
        <w:rPr>
          <w:color w:val="000000"/>
          <w:lang w:val="uk-UA"/>
        </w:rPr>
        <w:t>Sto</w:t>
      </w:r>
      <w:proofErr w:type="spellEnd"/>
      <w:r w:rsidRPr="009F4834">
        <w:rPr>
          <w:color w:val="000000"/>
          <w:lang w:val="uk-UA"/>
        </w:rPr>
        <w:t xml:space="preserve"> на підставі визначення активності </w:t>
      </w:r>
      <w:proofErr w:type="spellStart"/>
      <w:r w:rsidRPr="009F4834">
        <w:rPr>
          <w:color w:val="000000"/>
          <w:lang w:val="uk-UA"/>
        </w:rPr>
        <w:t>пероксидного</w:t>
      </w:r>
      <w:proofErr w:type="spellEnd"/>
      <w:r w:rsidRPr="009F4834">
        <w:rPr>
          <w:color w:val="000000"/>
          <w:lang w:val="uk-UA"/>
        </w:rPr>
        <w:t xml:space="preserve"> окислення ліпідів (ПОЛ) (</w:t>
      </w:r>
      <w:proofErr w:type="spellStart"/>
      <w:r w:rsidRPr="009F4834">
        <w:rPr>
          <w:color w:val="000000"/>
          <w:lang w:val="uk-UA"/>
        </w:rPr>
        <w:t>дієнових</w:t>
      </w:r>
      <w:proofErr w:type="spellEnd"/>
      <w:r w:rsidRPr="009F4834">
        <w:rPr>
          <w:color w:val="000000"/>
          <w:lang w:val="uk-UA"/>
        </w:rPr>
        <w:t xml:space="preserve"> </w:t>
      </w:r>
      <w:proofErr w:type="spellStart"/>
      <w:r w:rsidRPr="009F4834">
        <w:rPr>
          <w:color w:val="000000"/>
          <w:lang w:val="uk-UA"/>
        </w:rPr>
        <w:t>кон’югатів</w:t>
      </w:r>
      <w:proofErr w:type="spellEnd"/>
      <w:r w:rsidRPr="009F4834">
        <w:rPr>
          <w:color w:val="000000"/>
          <w:lang w:val="uk-UA"/>
        </w:rPr>
        <w:t xml:space="preserve"> і </w:t>
      </w:r>
      <w:proofErr w:type="spellStart"/>
      <w:r w:rsidRPr="009F4834">
        <w:rPr>
          <w:color w:val="000000"/>
          <w:lang w:val="uk-UA"/>
        </w:rPr>
        <w:t>малонового</w:t>
      </w:r>
      <w:proofErr w:type="spellEnd"/>
      <w:r w:rsidRPr="009F4834">
        <w:rPr>
          <w:color w:val="000000"/>
          <w:lang w:val="uk-UA"/>
        </w:rPr>
        <w:t xml:space="preserve"> діальдегіду) і антиоксидантної системи (АОС) (</w:t>
      </w:r>
      <w:proofErr w:type="spellStart"/>
      <w:r w:rsidRPr="009F4834">
        <w:rPr>
          <w:color w:val="000000"/>
          <w:lang w:val="uk-UA"/>
        </w:rPr>
        <w:t>супероксиддисм</w:t>
      </w:r>
      <w:r w:rsidRPr="009F4834">
        <w:rPr>
          <w:color w:val="000000"/>
          <w:lang w:val="uk-UA"/>
        </w:rPr>
        <w:t>у</w:t>
      </w:r>
      <w:r w:rsidRPr="009F4834">
        <w:rPr>
          <w:color w:val="000000"/>
          <w:lang w:val="uk-UA"/>
        </w:rPr>
        <w:t>тази</w:t>
      </w:r>
      <w:proofErr w:type="spellEnd"/>
      <w:r w:rsidRPr="009F4834">
        <w:rPr>
          <w:color w:val="000000"/>
          <w:lang w:val="uk-UA"/>
        </w:rPr>
        <w:t xml:space="preserve"> і каталази) в ПЗ і сироватці крові. У щурів-матерів, що отримували </w:t>
      </w:r>
      <w:proofErr w:type="spellStart"/>
      <w:r w:rsidRPr="009F4834">
        <w:rPr>
          <w:color w:val="000000"/>
          <w:lang w:val="uk-UA"/>
        </w:rPr>
        <w:t>гіперкалорійну</w:t>
      </w:r>
      <w:proofErr w:type="spellEnd"/>
      <w:r w:rsidRPr="009F4834">
        <w:rPr>
          <w:color w:val="000000"/>
          <w:lang w:val="uk-UA"/>
        </w:rPr>
        <w:t xml:space="preserve"> дієту під час вагітності, встановлена акт</w:t>
      </w:r>
      <w:r w:rsidRPr="009F4834">
        <w:rPr>
          <w:color w:val="000000"/>
          <w:lang w:val="uk-UA"/>
        </w:rPr>
        <w:t>и</w:t>
      </w:r>
      <w:r w:rsidRPr="009F4834">
        <w:rPr>
          <w:color w:val="000000"/>
          <w:lang w:val="uk-UA"/>
        </w:rPr>
        <w:t xml:space="preserve">вація ПОЛ і зниження активності АОС (виражений </w:t>
      </w:r>
      <w:proofErr w:type="spellStart"/>
      <w:r w:rsidRPr="009F4834">
        <w:rPr>
          <w:color w:val="000000"/>
          <w:lang w:val="uk-UA"/>
        </w:rPr>
        <w:t>оксидативний</w:t>
      </w:r>
      <w:proofErr w:type="spellEnd"/>
      <w:r w:rsidRPr="009F4834">
        <w:rPr>
          <w:color w:val="000000"/>
          <w:lang w:val="uk-UA"/>
        </w:rPr>
        <w:t xml:space="preserve"> стрес). У нов</w:t>
      </w:r>
      <w:r w:rsidRPr="009F4834">
        <w:rPr>
          <w:color w:val="000000"/>
          <w:lang w:val="uk-UA"/>
        </w:rPr>
        <w:t>о</w:t>
      </w:r>
      <w:r w:rsidRPr="009F4834">
        <w:rPr>
          <w:color w:val="000000"/>
          <w:lang w:val="uk-UA"/>
        </w:rPr>
        <w:t>народжених і 1-місячних щурят виявлена активація ПОЛ і АОС з ознаками нед</w:t>
      </w:r>
      <w:r w:rsidRPr="009F4834">
        <w:rPr>
          <w:color w:val="000000"/>
          <w:lang w:val="uk-UA"/>
        </w:rPr>
        <w:t>о</w:t>
      </w:r>
      <w:r w:rsidRPr="009F4834">
        <w:rPr>
          <w:color w:val="000000"/>
          <w:lang w:val="uk-UA"/>
        </w:rPr>
        <w:t>статності фізіологічного резерву останньої для призуп</w:t>
      </w:r>
      <w:r w:rsidRPr="009F4834">
        <w:rPr>
          <w:color w:val="000000"/>
          <w:lang w:val="uk-UA"/>
        </w:rPr>
        <w:t>и</w:t>
      </w:r>
      <w:r w:rsidRPr="009F4834">
        <w:rPr>
          <w:color w:val="000000"/>
          <w:lang w:val="uk-UA"/>
        </w:rPr>
        <w:t>нення процесів ПОЛ.</w:t>
      </w:r>
      <w:r w:rsidRPr="005628D5">
        <w:rPr>
          <w:color w:val="000000"/>
          <w:lang w:val="uk-UA"/>
        </w:rPr>
        <w:t xml:space="preserve"> У 2-місячних </w:t>
      </w:r>
      <w:r>
        <w:rPr>
          <w:color w:val="000000"/>
          <w:lang w:val="uk-UA"/>
        </w:rPr>
        <w:t>щурят</w:t>
      </w:r>
      <w:r w:rsidRPr="005628D5">
        <w:rPr>
          <w:color w:val="000000"/>
          <w:lang w:val="uk-UA"/>
        </w:rPr>
        <w:t xml:space="preserve"> істотних порушень ОАГ не виявлено. Отримані дані свідчать про значущість порушень ОАГ в патогенезі ушкодження П</w:t>
      </w:r>
      <w:r>
        <w:rPr>
          <w:color w:val="000000"/>
          <w:lang w:val="uk-UA"/>
        </w:rPr>
        <w:t>З</w:t>
      </w:r>
      <w:r w:rsidRPr="005628D5">
        <w:rPr>
          <w:color w:val="000000"/>
          <w:lang w:val="uk-UA"/>
        </w:rPr>
        <w:t xml:space="preserve"> у щурів при незбаланс</w:t>
      </w:r>
      <w:r w:rsidRPr="005628D5">
        <w:rPr>
          <w:color w:val="000000"/>
          <w:lang w:val="uk-UA"/>
        </w:rPr>
        <w:t>о</w:t>
      </w:r>
      <w:r w:rsidRPr="005628D5">
        <w:rPr>
          <w:color w:val="000000"/>
          <w:lang w:val="uk-UA"/>
        </w:rPr>
        <w:t xml:space="preserve">ваному </w:t>
      </w:r>
      <w:proofErr w:type="spellStart"/>
      <w:r w:rsidRPr="005628D5">
        <w:rPr>
          <w:color w:val="000000"/>
          <w:lang w:val="uk-UA"/>
        </w:rPr>
        <w:t>гіперкалорі</w:t>
      </w:r>
      <w:r w:rsidRPr="005628D5">
        <w:rPr>
          <w:color w:val="000000"/>
          <w:lang w:val="uk-UA"/>
        </w:rPr>
        <w:t>й</w:t>
      </w:r>
      <w:r w:rsidRPr="005628D5">
        <w:rPr>
          <w:color w:val="000000"/>
          <w:lang w:val="uk-UA"/>
        </w:rPr>
        <w:t>ному</w:t>
      </w:r>
      <w:proofErr w:type="spellEnd"/>
      <w:r w:rsidRPr="005628D5">
        <w:rPr>
          <w:color w:val="000000"/>
          <w:lang w:val="uk-UA"/>
        </w:rPr>
        <w:t xml:space="preserve"> харчуванні</w:t>
      </w:r>
      <w:r>
        <w:rPr>
          <w:color w:val="000000"/>
          <w:lang w:val="uk-UA"/>
        </w:rPr>
        <w:t>.</w:t>
      </w:r>
    </w:p>
    <w:p w:rsidR="00D57A64" w:rsidRPr="005628D5" w:rsidRDefault="00D57A64" w:rsidP="00D57A64">
      <w:pPr>
        <w:pStyle w:val="a3"/>
        <w:spacing w:before="0" w:beforeAutospacing="0" w:after="0" w:afterAutospacing="0"/>
        <w:jc w:val="both"/>
        <w:textAlignment w:val="top"/>
        <w:rPr>
          <w:i/>
          <w:color w:val="000000"/>
        </w:rPr>
      </w:pPr>
      <w:proofErr w:type="spellStart"/>
      <w:r w:rsidRPr="005628D5">
        <w:rPr>
          <w:b/>
          <w:i/>
          <w:color w:val="000000"/>
        </w:rPr>
        <w:t>Ключові</w:t>
      </w:r>
      <w:proofErr w:type="spellEnd"/>
      <w:r w:rsidRPr="005628D5">
        <w:rPr>
          <w:b/>
          <w:i/>
          <w:color w:val="000000"/>
        </w:rPr>
        <w:t xml:space="preserve"> слова:</w:t>
      </w:r>
      <w:r w:rsidRPr="005628D5">
        <w:rPr>
          <w:i/>
          <w:color w:val="000000"/>
        </w:rPr>
        <w:t xml:space="preserve"> </w:t>
      </w:r>
      <w:proofErr w:type="spellStart"/>
      <w:r w:rsidRPr="005628D5">
        <w:rPr>
          <w:i/>
          <w:color w:val="000000"/>
        </w:rPr>
        <w:t>окислювально-антиоксидантний</w:t>
      </w:r>
      <w:proofErr w:type="spellEnd"/>
      <w:r w:rsidRPr="005628D5">
        <w:rPr>
          <w:i/>
          <w:color w:val="000000"/>
        </w:rPr>
        <w:t xml:space="preserve"> гомеостаз, </w:t>
      </w:r>
      <w:proofErr w:type="spellStart"/>
      <w:r w:rsidRPr="005628D5">
        <w:rPr>
          <w:i/>
          <w:color w:val="000000"/>
        </w:rPr>
        <w:t>гіперкалорійна</w:t>
      </w:r>
      <w:proofErr w:type="spellEnd"/>
      <w:r w:rsidRPr="005628D5">
        <w:rPr>
          <w:i/>
          <w:color w:val="000000"/>
        </w:rPr>
        <w:t xml:space="preserve"> </w:t>
      </w:r>
      <w:proofErr w:type="spellStart"/>
      <w:r w:rsidRPr="005628D5">
        <w:rPr>
          <w:i/>
          <w:color w:val="000000"/>
        </w:rPr>
        <w:t>дієта</w:t>
      </w:r>
      <w:proofErr w:type="spellEnd"/>
      <w:r w:rsidRPr="005628D5">
        <w:rPr>
          <w:i/>
          <w:color w:val="000000"/>
        </w:rPr>
        <w:t xml:space="preserve">, </w:t>
      </w:r>
      <w:proofErr w:type="spellStart"/>
      <w:proofErr w:type="gramStart"/>
      <w:r w:rsidRPr="005628D5">
        <w:rPr>
          <w:i/>
          <w:color w:val="000000"/>
        </w:rPr>
        <w:t>п</w:t>
      </w:r>
      <w:proofErr w:type="gramEnd"/>
      <w:r w:rsidRPr="005628D5">
        <w:rPr>
          <w:i/>
          <w:color w:val="000000"/>
        </w:rPr>
        <w:t>ідшлункова</w:t>
      </w:r>
      <w:proofErr w:type="spellEnd"/>
      <w:r w:rsidRPr="005628D5">
        <w:rPr>
          <w:i/>
          <w:color w:val="000000"/>
        </w:rPr>
        <w:t xml:space="preserve"> </w:t>
      </w:r>
      <w:proofErr w:type="spellStart"/>
      <w:r w:rsidRPr="005628D5">
        <w:rPr>
          <w:i/>
          <w:color w:val="000000"/>
        </w:rPr>
        <w:t>залоза</w:t>
      </w:r>
      <w:proofErr w:type="spellEnd"/>
      <w:r w:rsidRPr="005628D5">
        <w:rPr>
          <w:i/>
          <w:color w:val="000000"/>
        </w:rPr>
        <w:t xml:space="preserve">, потомство </w:t>
      </w:r>
      <w:proofErr w:type="spellStart"/>
      <w:r w:rsidRPr="005628D5">
        <w:rPr>
          <w:i/>
          <w:color w:val="000000"/>
        </w:rPr>
        <w:t>щурів</w:t>
      </w:r>
      <w:proofErr w:type="spellEnd"/>
      <w:r w:rsidRPr="005628D5">
        <w:rPr>
          <w:i/>
          <w:color w:val="000000"/>
        </w:rPr>
        <w:t>.</w:t>
      </w:r>
    </w:p>
    <w:p w:rsidR="00D57A64" w:rsidRDefault="00D57A64" w:rsidP="00D57A64">
      <w:pPr>
        <w:autoSpaceDE w:val="0"/>
        <w:autoSpaceDN w:val="0"/>
        <w:adjustRightInd w:val="0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V.A. </w:t>
      </w:r>
      <w:proofErr w:type="spellStart"/>
      <w:r>
        <w:rPr>
          <w:b/>
          <w:i/>
          <w:lang w:val="en-US"/>
        </w:rPr>
        <w:t>Sirenko</w:t>
      </w:r>
      <w:proofErr w:type="spellEnd"/>
    </w:p>
    <w:p w:rsidR="00D57A64" w:rsidRPr="005F72A8" w:rsidRDefault="00D57A64" w:rsidP="00D57A6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F72A8">
        <w:rPr>
          <w:b/>
          <w:sz w:val="28"/>
          <w:szCs w:val="28"/>
          <w:lang w:val="en-US"/>
        </w:rPr>
        <w:t>AN OXIDATION AND ANTIOXIDANT HOMEOSTASIS IN POSTERITY OF RATS WHO RECEIVED EXCESSIVE HIGH-CALORIC FEEDING DURING PREGNANCY</w:t>
      </w:r>
    </w:p>
    <w:p w:rsidR="00D57A64" w:rsidRPr="005F72A8" w:rsidRDefault="00D57A64" w:rsidP="00D57A6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F72A8">
        <w:rPr>
          <w:sz w:val="28"/>
          <w:szCs w:val="28"/>
          <w:lang w:val="en-US"/>
        </w:rPr>
        <w:tab/>
        <w:t xml:space="preserve">There was studied an oxidation and antioxidant homeostasis (OAH) in 70 rats of WAG/G </w:t>
      </w:r>
      <w:proofErr w:type="spellStart"/>
      <w:r w:rsidRPr="005F72A8">
        <w:rPr>
          <w:sz w:val="28"/>
          <w:szCs w:val="28"/>
          <w:lang w:val="en-US"/>
        </w:rPr>
        <w:t>Sto</w:t>
      </w:r>
      <w:proofErr w:type="spellEnd"/>
      <w:r w:rsidRPr="005F72A8">
        <w:rPr>
          <w:sz w:val="28"/>
          <w:szCs w:val="28"/>
          <w:lang w:val="en-US"/>
        </w:rPr>
        <w:t xml:space="preserve"> population on the basis of determination of activity of peroxidation of l</w:t>
      </w:r>
      <w:r w:rsidRPr="005F72A8">
        <w:rPr>
          <w:sz w:val="28"/>
          <w:szCs w:val="28"/>
          <w:lang w:val="en-US"/>
        </w:rPr>
        <w:t>i</w:t>
      </w:r>
      <w:r w:rsidRPr="005F72A8">
        <w:rPr>
          <w:sz w:val="28"/>
          <w:szCs w:val="28"/>
          <w:lang w:val="en-US"/>
        </w:rPr>
        <w:t>pids (POL) (</w:t>
      </w:r>
      <w:proofErr w:type="spellStart"/>
      <w:r w:rsidRPr="005F72A8">
        <w:rPr>
          <w:sz w:val="28"/>
          <w:szCs w:val="28"/>
          <w:lang w:val="en-US"/>
        </w:rPr>
        <w:t>diene</w:t>
      </w:r>
      <w:proofErr w:type="spellEnd"/>
      <w:r w:rsidRPr="005F72A8">
        <w:rPr>
          <w:sz w:val="28"/>
          <w:szCs w:val="28"/>
          <w:lang w:val="en-US"/>
        </w:rPr>
        <w:t xml:space="preserve"> conjugates and </w:t>
      </w:r>
      <w:proofErr w:type="spellStart"/>
      <w:r w:rsidRPr="005F72A8">
        <w:rPr>
          <w:sz w:val="28"/>
          <w:szCs w:val="28"/>
          <w:lang w:val="en-US"/>
        </w:rPr>
        <w:t>malonic</w:t>
      </w:r>
      <w:proofErr w:type="spellEnd"/>
      <w:r w:rsidRPr="005F72A8">
        <w:rPr>
          <w:sz w:val="28"/>
          <w:szCs w:val="28"/>
          <w:lang w:val="en-US"/>
        </w:rPr>
        <w:t xml:space="preserve"> </w:t>
      </w:r>
      <w:proofErr w:type="spellStart"/>
      <w:r w:rsidRPr="005F72A8">
        <w:rPr>
          <w:sz w:val="28"/>
          <w:szCs w:val="28"/>
          <w:lang w:val="en-US"/>
        </w:rPr>
        <w:t>dialdehyde</w:t>
      </w:r>
      <w:proofErr w:type="spellEnd"/>
      <w:r w:rsidRPr="005F72A8">
        <w:rPr>
          <w:sz w:val="28"/>
          <w:szCs w:val="28"/>
          <w:lang w:val="en-US"/>
        </w:rPr>
        <w:t>) and antioxidant system (AOS) (superoxide dismutase and catalase) in pancreas and blood serum. In the rats-mothers, received a hyper high-calorie diet during pregnancy, an a</w:t>
      </w:r>
      <w:r w:rsidRPr="005F72A8">
        <w:rPr>
          <w:sz w:val="28"/>
          <w:szCs w:val="28"/>
          <w:lang w:val="en-US"/>
        </w:rPr>
        <w:t>c</w:t>
      </w:r>
      <w:r w:rsidRPr="005F72A8">
        <w:rPr>
          <w:sz w:val="28"/>
          <w:szCs w:val="28"/>
          <w:lang w:val="en-US"/>
        </w:rPr>
        <w:t>tivation of POL and decrease of AOS activity (the expressed oxidative stress) were established. In newborn and 1-month-old infant rats an activation of POL and AOS with signs of insufficiency of a physiological reserve for suspension of POL processes was revealed. In 2-month-old i</w:t>
      </w:r>
      <w:r w:rsidRPr="005F72A8">
        <w:rPr>
          <w:sz w:val="28"/>
          <w:szCs w:val="28"/>
          <w:lang w:val="en-US"/>
        </w:rPr>
        <w:t>n</w:t>
      </w:r>
      <w:r w:rsidRPr="005F72A8">
        <w:rPr>
          <w:sz w:val="28"/>
          <w:szCs w:val="28"/>
          <w:lang w:val="en-US"/>
        </w:rPr>
        <w:t>fant rats essential abnormalities of OAG were not revealed. The obtained data confirm the importance of OAG disturbances in pathogenesis of pancreas damage in rats at an unbalanced hyper high-calorie feeding.</w:t>
      </w:r>
    </w:p>
    <w:p w:rsidR="00D57A64" w:rsidRPr="008D7F5A" w:rsidRDefault="00D57A64" w:rsidP="00D57A6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F72A8">
        <w:rPr>
          <w:b/>
          <w:sz w:val="28"/>
          <w:szCs w:val="28"/>
          <w:lang w:val="en-US"/>
        </w:rPr>
        <w:t>Key words:</w:t>
      </w:r>
      <w:r w:rsidRPr="005F72A8">
        <w:rPr>
          <w:sz w:val="28"/>
          <w:szCs w:val="28"/>
          <w:lang w:val="en-US"/>
        </w:rPr>
        <w:t xml:space="preserve"> oxidation and antioxidant homeostasis, hyper high-calorie diet, pancreas, posterity of rats.</w:t>
      </w:r>
    </w:p>
    <w:p w:rsidR="006715E3" w:rsidRPr="00D57A64" w:rsidRDefault="006715E3">
      <w:pPr>
        <w:rPr>
          <w:lang w:val="en-US"/>
        </w:rPr>
      </w:pPr>
      <w:bookmarkStart w:id="2" w:name="_GoBack"/>
      <w:bookmarkEnd w:id="2"/>
    </w:p>
    <w:sectPr w:rsidR="006715E3" w:rsidRPr="00D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9"/>
    <w:rsid w:val="006715E3"/>
    <w:rsid w:val="00954C19"/>
    <w:rsid w:val="00D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57A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57A64"/>
    <w:pPr>
      <w:spacing w:before="100" w:beforeAutospacing="1" w:after="100" w:afterAutospacing="1"/>
    </w:pPr>
    <w:rPr>
      <w:sz w:val="28"/>
      <w:szCs w:val="28"/>
    </w:rPr>
  </w:style>
  <w:style w:type="paragraph" w:styleId="a4">
    <w:name w:val="List Paragraph"/>
    <w:basedOn w:val="a"/>
    <w:qFormat/>
    <w:rsid w:val="00D57A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57A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57A64"/>
    <w:pPr>
      <w:spacing w:before="100" w:beforeAutospacing="1" w:after="100" w:afterAutospacing="1"/>
    </w:pPr>
    <w:rPr>
      <w:sz w:val="28"/>
      <w:szCs w:val="28"/>
    </w:rPr>
  </w:style>
  <w:style w:type="paragraph" w:styleId="a4">
    <w:name w:val="List Paragraph"/>
    <w:basedOn w:val="a"/>
    <w:qFormat/>
    <w:rsid w:val="00D57A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3362</Words>
  <Characters>19167</Characters>
  <Application>Microsoft Office Word</Application>
  <DocSecurity>0</DocSecurity>
  <Lines>159</Lines>
  <Paragraphs>44</Paragraphs>
  <ScaleCrop>false</ScaleCrop>
  <Company>Krokoz™</Company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2018-11-22T09:06:00Z</dcterms:created>
  <dcterms:modified xsi:type="dcterms:W3CDTF">2018-11-22T09:07:00Z</dcterms:modified>
</cp:coreProperties>
</file>