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EE" w:rsidRPr="004C570C" w:rsidRDefault="00A835EE" w:rsidP="004C5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70C">
        <w:rPr>
          <w:rFonts w:ascii="Times New Roman" w:hAnsi="Times New Roman" w:cs="Times New Roman"/>
          <w:sz w:val="24"/>
          <w:szCs w:val="24"/>
        </w:rPr>
        <w:t>УДК</w:t>
      </w:r>
      <w:r w:rsidR="003060EE" w:rsidRPr="004C570C">
        <w:rPr>
          <w:rFonts w:ascii="Times New Roman" w:hAnsi="Times New Roman" w:cs="Times New Roman"/>
          <w:sz w:val="24"/>
          <w:szCs w:val="24"/>
        </w:rPr>
        <w:t>: 616. 71 /. 72 – 002 – 007. 234 – 008. 6 – 056. 257 – 092.</w:t>
      </w:r>
    </w:p>
    <w:p w:rsidR="00A26A82" w:rsidRPr="004C570C" w:rsidRDefault="0045618A" w:rsidP="004C5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70C">
        <w:rPr>
          <w:rFonts w:ascii="Times New Roman" w:hAnsi="Times New Roman" w:cs="Times New Roman"/>
          <w:b/>
          <w:sz w:val="24"/>
          <w:szCs w:val="24"/>
        </w:rPr>
        <w:t xml:space="preserve">ПРОГРЕДІЄНТНІСТЬ ПЕРЕБІГУ </w:t>
      </w:r>
      <w:r w:rsidR="00B57669" w:rsidRPr="004C570C">
        <w:rPr>
          <w:rFonts w:ascii="Times New Roman" w:hAnsi="Times New Roman" w:cs="Times New Roman"/>
          <w:b/>
          <w:sz w:val="24"/>
          <w:szCs w:val="24"/>
        </w:rPr>
        <w:t>ОСТЕОПЕНІЧНОГО С</w:t>
      </w:r>
      <w:r w:rsidR="005667A4" w:rsidRPr="004C570C">
        <w:rPr>
          <w:rFonts w:ascii="Times New Roman" w:hAnsi="Times New Roman" w:cs="Times New Roman"/>
          <w:b/>
          <w:sz w:val="24"/>
          <w:szCs w:val="24"/>
        </w:rPr>
        <w:t xml:space="preserve">ИНДРОМУ У ПАЦІЄНТІВ </w:t>
      </w:r>
      <w:proofErr w:type="gramStart"/>
      <w:r w:rsidR="005667A4" w:rsidRPr="004C57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5667A4" w:rsidRPr="004C570C">
        <w:rPr>
          <w:rFonts w:ascii="Times New Roman" w:hAnsi="Times New Roman" w:cs="Times New Roman"/>
          <w:b/>
          <w:sz w:val="24"/>
          <w:szCs w:val="24"/>
        </w:rPr>
        <w:t xml:space="preserve"> КОМОРБІДНІСТЮ</w:t>
      </w:r>
      <w:r w:rsidR="00B57669" w:rsidRPr="004C570C">
        <w:rPr>
          <w:rFonts w:ascii="Times New Roman" w:hAnsi="Times New Roman" w:cs="Times New Roman"/>
          <w:b/>
          <w:sz w:val="24"/>
          <w:szCs w:val="24"/>
        </w:rPr>
        <w:t xml:space="preserve"> ОСТЕОАРТРОЗУ ТА ОЖИРІННЯ</w:t>
      </w:r>
    </w:p>
    <w:p w:rsidR="00A835EE" w:rsidRPr="004C570C" w:rsidRDefault="00A835EE" w:rsidP="004C5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70C">
        <w:rPr>
          <w:rFonts w:ascii="Times New Roman" w:hAnsi="Times New Roman" w:cs="Times New Roman"/>
          <w:b/>
          <w:sz w:val="24"/>
          <w:szCs w:val="24"/>
        </w:rPr>
        <w:t>Л</w:t>
      </w:r>
      <w:r w:rsidR="00677049" w:rsidRPr="004C570C">
        <w:rPr>
          <w:rFonts w:ascii="Times New Roman" w:hAnsi="Times New Roman" w:cs="Times New Roman"/>
          <w:b/>
          <w:sz w:val="24"/>
          <w:szCs w:val="24"/>
        </w:rPr>
        <w:t>.</w:t>
      </w:r>
      <w:r w:rsidRPr="004C570C">
        <w:rPr>
          <w:rFonts w:ascii="Times New Roman" w:hAnsi="Times New Roman" w:cs="Times New Roman"/>
          <w:b/>
          <w:sz w:val="24"/>
          <w:szCs w:val="24"/>
        </w:rPr>
        <w:t>М</w:t>
      </w:r>
      <w:r w:rsidR="00677049" w:rsidRPr="004C570C">
        <w:rPr>
          <w:rFonts w:ascii="Times New Roman" w:hAnsi="Times New Roman" w:cs="Times New Roman"/>
          <w:b/>
          <w:sz w:val="24"/>
          <w:szCs w:val="24"/>
        </w:rPr>
        <w:t>.</w:t>
      </w:r>
      <w:r w:rsidR="001A3555" w:rsidRPr="004C5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70C">
        <w:rPr>
          <w:rFonts w:ascii="Times New Roman" w:hAnsi="Times New Roman" w:cs="Times New Roman"/>
          <w:b/>
          <w:sz w:val="24"/>
          <w:szCs w:val="24"/>
        </w:rPr>
        <w:t>П</w:t>
      </w:r>
      <w:r w:rsidR="00677049" w:rsidRPr="004C570C">
        <w:rPr>
          <w:rFonts w:ascii="Times New Roman" w:hAnsi="Times New Roman" w:cs="Times New Roman"/>
          <w:b/>
          <w:sz w:val="24"/>
          <w:szCs w:val="24"/>
        </w:rPr>
        <w:t>ас</w:t>
      </w:r>
      <w:r w:rsidR="008A01A7" w:rsidRPr="004C570C">
        <w:rPr>
          <w:rFonts w:ascii="Times New Roman" w:hAnsi="Times New Roman" w:cs="Times New Roman"/>
          <w:b/>
          <w:sz w:val="24"/>
          <w:szCs w:val="24"/>
        </w:rPr>
        <w:t>іє</w:t>
      </w:r>
      <w:r w:rsidR="00677049" w:rsidRPr="004C570C">
        <w:rPr>
          <w:rFonts w:ascii="Times New Roman" w:hAnsi="Times New Roman" w:cs="Times New Roman"/>
          <w:b/>
          <w:sz w:val="24"/>
          <w:szCs w:val="24"/>
        </w:rPr>
        <w:t>шв</w:t>
      </w:r>
      <w:r w:rsidR="008A01A7" w:rsidRPr="004C570C">
        <w:rPr>
          <w:rFonts w:ascii="Times New Roman" w:hAnsi="Times New Roman" w:cs="Times New Roman"/>
          <w:b/>
          <w:sz w:val="24"/>
          <w:szCs w:val="24"/>
        </w:rPr>
        <w:t>ілі</w:t>
      </w:r>
      <w:r w:rsidRPr="004C570C">
        <w:rPr>
          <w:rFonts w:ascii="Times New Roman" w:hAnsi="Times New Roman" w:cs="Times New Roman"/>
          <w:b/>
          <w:sz w:val="24"/>
          <w:szCs w:val="24"/>
        </w:rPr>
        <w:t>, К</w:t>
      </w:r>
      <w:r w:rsidR="00677049" w:rsidRPr="004C570C">
        <w:rPr>
          <w:rFonts w:ascii="Times New Roman" w:hAnsi="Times New Roman" w:cs="Times New Roman"/>
          <w:b/>
          <w:sz w:val="24"/>
          <w:szCs w:val="24"/>
        </w:rPr>
        <w:t>.</w:t>
      </w:r>
      <w:r w:rsidR="008A01A7" w:rsidRPr="004C570C">
        <w:rPr>
          <w:rFonts w:ascii="Times New Roman" w:hAnsi="Times New Roman" w:cs="Times New Roman"/>
          <w:b/>
          <w:sz w:val="24"/>
          <w:szCs w:val="24"/>
        </w:rPr>
        <w:t>І</w:t>
      </w:r>
      <w:r w:rsidR="00677049" w:rsidRPr="004C570C">
        <w:rPr>
          <w:rFonts w:ascii="Times New Roman" w:hAnsi="Times New Roman" w:cs="Times New Roman"/>
          <w:b/>
          <w:sz w:val="24"/>
          <w:szCs w:val="24"/>
        </w:rPr>
        <w:t>.</w:t>
      </w:r>
      <w:r w:rsidR="001A3555" w:rsidRPr="004C5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70C">
        <w:rPr>
          <w:rFonts w:ascii="Times New Roman" w:hAnsi="Times New Roman" w:cs="Times New Roman"/>
          <w:b/>
          <w:sz w:val="24"/>
          <w:szCs w:val="24"/>
        </w:rPr>
        <w:t>Т</w:t>
      </w:r>
      <w:r w:rsidR="00677049" w:rsidRPr="004C570C">
        <w:rPr>
          <w:rFonts w:ascii="Times New Roman" w:hAnsi="Times New Roman" w:cs="Times New Roman"/>
          <w:b/>
          <w:sz w:val="24"/>
          <w:szCs w:val="24"/>
        </w:rPr>
        <w:t>ерешк</w:t>
      </w:r>
      <w:r w:rsidR="008A01A7" w:rsidRPr="004C570C">
        <w:rPr>
          <w:rFonts w:ascii="Times New Roman" w:hAnsi="Times New Roman" w:cs="Times New Roman"/>
          <w:b/>
          <w:sz w:val="24"/>
          <w:szCs w:val="24"/>
        </w:rPr>
        <w:t>і</w:t>
      </w:r>
      <w:r w:rsidR="00677049" w:rsidRPr="004C570C">
        <w:rPr>
          <w:rFonts w:ascii="Times New Roman" w:hAnsi="Times New Roman" w:cs="Times New Roman"/>
          <w:b/>
          <w:sz w:val="24"/>
          <w:szCs w:val="24"/>
        </w:rPr>
        <w:t>н</w:t>
      </w:r>
    </w:p>
    <w:p w:rsidR="00A835EE" w:rsidRPr="004C570C" w:rsidRDefault="00A835EE" w:rsidP="004C5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70C">
        <w:rPr>
          <w:rFonts w:ascii="Times New Roman" w:hAnsi="Times New Roman" w:cs="Times New Roman"/>
          <w:sz w:val="24"/>
          <w:szCs w:val="24"/>
        </w:rPr>
        <w:t>Х</w:t>
      </w:r>
      <w:r w:rsidR="009E6043" w:rsidRPr="004C570C">
        <w:rPr>
          <w:rFonts w:ascii="Times New Roman" w:hAnsi="Times New Roman" w:cs="Times New Roman"/>
          <w:sz w:val="24"/>
          <w:szCs w:val="24"/>
        </w:rPr>
        <w:t>арківський національний</w:t>
      </w:r>
      <w:r w:rsidR="00D648A0" w:rsidRPr="004C570C">
        <w:rPr>
          <w:rFonts w:ascii="Times New Roman" w:hAnsi="Times New Roman" w:cs="Times New Roman"/>
          <w:sz w:val="24"/>
          <w:szCs w:val="24"/>
        </w:rPr>
        <w:t xml:space="preserve"> медичний університет</w:t>
      </w:r>
    </w:p>
    <w:p w:rsidR="00677049" w:rsidRPr="004C570C" w:rsidRDefault="00677049" w:rsidP="004C5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049" w:rsidRPr="004C570C" w:rsidRDefault="00677049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70C">
        <w:rPr>
          <w:rFonts w:ascii="Times New Roman" w:hAnsi="Times New Roman" w:cs="Times New Roman"/>
          <w:b/>
          <w:sz w:val="24"/>
          <w:szCs w:val="24"/>
        </w:rPr>
        <w:t>Мета роботи</w:t>
      </w:r>
      <w:r w:rsidRPr="004C570C">
        <w:rPr>
          <w:rFonts w:ascii="Times New Roman" w:hAnsi="Times New Roman" w:cs="Times New Roman"/>
          <w:sz w:val="24"/>
          <w:szCs w:val="24"/>
        </w:rPr>
        <w:t xml:space="preserve">: визначення впливу гормональної активності жирової тканини та </w:t>
      </w:r>
      <w:r w:rsidR="004B17F3" w:rsidRPr="004C570C">
        <w:rPr>
          <w:rFonts w:ascii="Times New Roman" w:hAnsi="Times New Roman" w:cs="Times New Roman"/>
          <w:sz w:val="24"/>
          <w:szCs w:val="24"/>
        </w:rPr>
        <w:t xml:space="preserve">поліморфізму </w:t>
      </w:r>
      <w:r w:rsidR="00866F84" w:rsidRPr="004C570C">
        <w:rPr>
          <w:rFonts w:ascii="Times New Roman" w:hAnsi="Times New Roman"/>
          <w:i/>
          <w:sz w:val="24"/>
          <w:szCs w:val="24"/>
        </w:rPr>
        <w:t xml:space="preserve">Bsml c.IVS7 G&gt;A, rs1544410 </w:t>
      </w:r>
      <w:r w:rsidRPr="004C570C">
        <w:rPr>
          <w:rFonts w:ascii="Times New Roman" w:hAnsi="Times New Roman" w:cs="Times New Roman"/>
          <w:sz w:val="24"/>
          <w:szCs w:val="24"/>
        </w:rPr>
        <w:t>ген</w:t>
      </w:r>
      <w:r w:rsidR="004B17F3" w:rsidRPr="004C570C">
        <w:rPr>
          <w:rFonts w:ascii="Times New Roman" w:hAnsi="Times New Roman" w:cs="Times New Roman"/>
          <w:sz w:val="24"/>
          <w:szCs w:val="24"/>
        </w:rPr>
        <w:t>а</w:t>
      </w:r>
      <w:r w:rsidR="00703AE4" w:rsidRPr="004C570C">
        <w:rPr>
          <w:rFonts w:ascii="Times New Roman" w:hAnsi="Times New Roman" w:cs="Times New Roman"/>
          <w:sz w:val="24"/>
          <w:szCs w:val="24"/>
        </w:rPr>
        <w:t xml:space="preserve"> рецепторів</w:t>
      </w:r>
      <w:r w:rsidRPr="004C5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57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570C">
        <w:rPr>
          <w:rFonts w:ascii="Times New Roman" w:hAnsi="Times New Roman" w:cs="Times New Roman"/>
          <w:sz w:val="24"/>
          <w:szCs w:val="24"/>
        </w:rPr>
        <w:t xml:space="preserve">ітаміну </w:t>
      </w:r>
      <w:r w:rsidRPr="004C570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570C">
        <w:rPr>
          <w:rFonts w:ascii="Times New Roman" w:hAnsi="Times New Roman" w:cs="Times New Roman"/>
          <w:sz w:val="24"/>
          <w:szCs w:val="24"/>
        </w:rPr>
        <w:t xml:space="preserve"> </w:t>
      </w:r>
      <w:r w:rsidRPr="004C570C">
        <w:rPr>
          <w:rFonts w:ascii="Times New Roman" w:hAnsi="Times New Roman" w:cs="Times New Roman"/>
          <w:i/>
          <w:sz w:val="24"/>
          <w:szCs w:val="24"/>
        </w:rPr>
        <w:t>(</w:t>
      </w:r>
      <w:r w:rsidRPr="004C570C">
        <w:rPr>
          <w:rFonts w:ascii="Times New Roman" w:hAnsi="Times New Roman" w:cs="Times New Roman"/>
          <w:i/>
          <w:sz w:val="24"/>
          <w:szCs w:val="24"/>
          <w:lang w:val="en-US"/>
        </w:rPr>
        <w:t>VDR</w:t>
      </w:r>
      <w:r w:rsidRPr="004C570C">
        <w:rPr>
          <w:rFonts w:ascii="Times New Roman" w:hAnsi="Times New Roman" w:cs="Times New Roman"/>
          <w:sz w:val="24"/>
          <w:szCs w:val="24"/>
        </w:rPr>
        <w:t>) на формування остеопенічних станів у осіб молодого віку з остеоартрозом (ОА) та ожирінням.</w:t>
      </w:r>
    </w:p>
    <w:p w:rsidR="00677049" w:rsidRPr="004C570C" w:rsidRDefault="00677049" w:rsidP="004C570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70C">
        <w:rPr>
          <w:rFonts w:ascii="Times New Roman" w:hAnsi="Times New Roman" w:cs="Times New Roman"/>
          <w:b/>
          <w:sz w:val="24"/>
          <w:szCs w:val="24"/>
        </w:rPr>
        <w:t>Матер</w:t>
      </w:r>
      <w:proofErr w:type="gramEnd"/>
      <w:r w:rsidRPr="004C570C">
        <w:rPr>
          <w:rFonts w:ascii="Times New Roman" w:hAnsi="Times New Roman" w:cs="Times New Roman"/>
          <w:b/>
          <w:sz w:val="24"/>
          <w:szCs w:val="24"/>
        </w:rPr>
        <w:t>іали та методи</w:t>
      </w:r>
      <w:r w:rsidRPr="004C570C">
        <w:rPr>
          <w:rFonts w:ascii="Times New Roman" w:hAnsi="Times New Roman" w:cs="Times New Roman"/>
          <w:sz w:val="24"/>
          <w:szCs w:val="24"/>
        </w:rPr>
        <w:t xml:space="preserve">. Обстежено 96 пацієнтів </w:t>
      </w:r>
      <w:proofErr w:type="gramStart"/>
      <w:r w:rsidR="00640A00" w:rsidRPr="004C570C">
        <w:rPr>
          <w:rFonts w:ascii="Times New Roman" w:hAnsi="Times New Roman" w:cs="Times New Roman"/>
          <w:sz w:val="24"/>
          <w:szCs w:val="24"/>
        </w:rPr>
        <w:t>молодого</w:t>
      </w:r>
      <w:proofErr w:type="gramEnd"/>
      <w:r w:rsidR="00640A00" w:rsidRPr="004C570C">
        <w:rPr>
          <w:rFonts w:ascii="Times New Roman" w:hAnsi="Times New Roman" w:cs="Times New Roman"/>
          <w:sz w:val="24"/>
          <w:szCs w:val="24"/>
        </w:rPr>
        <w:t xml:space="preserve"> віку (до 45 років) </w:t>
      </w:r>
      <w:r w:rsidRPr="004C570C">
        <w:rPr>
          <w:rFonts w:ascii="Times New Roman" w:hAnsi="Times New Roman" w:cs="Times New Roman"/>
          <w:sz w:val="24"/>
          <w:szCs w:val="24"/>
        </w:rPr>
        <w:t xml:space="preserve">з сукупним перебігом </w:t>
      </w:r>
      <w:r w:rsidR="00640A00" w:rsidRPr="004C570C">
        <w:rPr>
          <w:rFonts w:ascii="Times New Roman" w:hAnsi="Times New Roman" w:cs="Times New Roman"/>
          <w:sz w:val="24"/>
          <w:szCs w:val="24"/>
        </w:rPr>
        <w:t>ОА</w:t>
      </w:r>
      <w:r w:rsidRPr="004C570C">
        <w:rPr>
          <w:rFonts w:ascii="Times New Roman" w:hAnsi="Times New Roman" w:cs="Times New Roman"/>
          <w:sz w:val="24"/>
          <w:szCs w:val="24"/>
        </w:rPr>
        <w:t xml:space="preserve"> та </w:t>
      </w:r>
      <w:r w:rsidR="00640A00" w:rsidRPr="004C570C">
        <w:rPr>
          <w:rFonts w:ascii="Times New Roman" w:hAnsi="Times New Roman" w:cs="Times New Roman"/>
          <w:sz w:val="24"/>
          <w:szCs w:val="24"/>
        </w:rPr>
        <w:t>ожиріння</w:t>
      </w:r>
      <w:r w:rsidRPr="004C570C">
        <w:rPr>
          <w:rFonts w:ascii="Times New Roman" w:hAnsi="Times New Roman" w:cs="Times New Roman"/>
          <w:sz w:val="24"/>
          <w:szCs w:val="24"/>
        </w:rPr>
        <w:t xml:space="preserve"> і 34 особи з ОА без ожиріння.</w:t>
      </w:r>
      <w:r w:rsidRPr="004C570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Антропометричними критеріями ожиріння вважався індекс Кетлє або індекс маси </w:t>
      </w:r>
      <w:proofErr w:type="gramStart"/>
      <w:r w:rsidRPr="004C570C">
        <w:rPr>
          <w:rFonts w:ascii="Times New Roman" w:hAnsi="Times New Roman"/>
          <w:color w:val="000000"/>
          <w:sz w:val="24"/>
          <w:szCs w:val="24"/>
          <w:lang w:eastAsia="zh-CN"/>
        </w:rPr>
        <w:t>тіла</w:t>
      </w:r>
      <w:proofErr w:type="gramEnd"/>
      <w:r w:rsidRPr="004C570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(ІМТ). </w:t>
      </w:r>
      <w:r w:rsidR="00F41AE8" w:rsidRPr="004C5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Оцінку функціонального стану опорно-</w:t>
      </w:r>
      <w:r w:rsidR="00F41AE8" w:rsidRPr="004C5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рухового апарату та аналіз показників </w:t>
      </w:r>
      <w:r w:rsidR="00F41AE8" w:rsidRPr="004C570C">
        <w:rPr>
          <w:rFonts w:ascii="Times New Roman" w:hAnsi="Times New Roman"/>
          <w:sz w:val="24"/>
          <w:szCs w:val="24"/>
        </w:rPr>
        <w:t xml:space="preserve">альго-функціональної активності </w:t>
      </w:r>
      <w:r w:rsidR="0016461A" w:rsidRPr="004C570C">
        <w:rPr>
          <w:rFonts w:ascii="Times New Roman" w:hAnsi="Times New Roman"/>
          <w:sz w:val="24"/>
          <w:szCs w:val="24"/>
        </w:rPr>
        <w:t>визначали при</w:t>
      </w:r>
      <w:r w:rsidR="00F41AE8" w:rsidRPr="004C570C">
        <w:rPr>
          <w:rFonts w:ascii="Times New Roman" w:hAnsi="Times New Roman"/>
          <w:sz w:val="24"/>
          <w:szCs w:val="24"/>
        </w:rPr>
        <w:t xml:space="preserve"> використанн</w:t>
      </w:r>
      <w:r w:rsidR="0016461A" w:rsidRPr="004C570C">
        <w:rPr>
          <w:rFonts w:ascii="Times New Roman" w:hAnsi="Times New Roman"/>
          <w:sz w:val="24"/>
          <w:szCs w:val="24"/>
        </w:rPr>
        <w:t>і</w:t>
      </w:r>
      <w:r w:rsidR="00F41AE8" w:rsidRPr="004C5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тест-опитувальника </w:t>
      </w:r>
      <w:r w:rsidR="00F41AE8" w:rsidRPr="004C570C">
        <w:rPr>
          <w:rFonts w:ascii="Times New Roman" w:hAnsi="Times New Roman"/>
          <w:sz w:val="24"/>
          <w:szCs w:val="24"/>
        </w:rPr>
        <w:t>WOMAC</w:t>
      </w:r>
      <w:r w:rsidR="00D9795B" w:rsidRPr="004C570C">
        <w:rPr>
          <w:rFonts w:ascii="Times New Roman" w:hAnsi="Times New Roman"/>
          <w:sz w:val="24"/>
          <w:szCs w:val="24"/>
        </w:rPr>
        <w:t>.</w:t>
      </w:r>
      <w:r w:rsidR="00F41AE8" w:rsidRPr="004C570C">
        <w:rPr>
          <w:rFonts w:ascii="Times New Roman" w:hAnsi="Times New Roman"/>
          <w:sz w:val="24"/>
          <w:szCs w:val="24"/>
        </w:rPr>
        <w:t xml:space="preserve"> </w:t>
      </w:r>
      <w:r w:rsidR="00866F84" w:rsidRPr="004C570C">
        <w:rPr>
          <w:rFonts w:ascii="Times New Roman" w:hAnsi="Times New Roman"/>
          <w:sz w:val="24"/>
          <w:szCs w:val="24"/>
        </w:rPr>
        <w:t>Вимірювання МЩКТ проводили за допомогою двохенергетичної рентгенівської абсорбціометрії (</w:t>
      </w:r>
      <w:r w:rsidR="00866F84" w:rsidRPr="004C570C">
        <w:rPr>
          <w:rFonts w:ascii="Times New Roman" w:hAnsi="Times New Roman"/>
          <w:sz w:val="24"/>
          <w:szCs w:val="24"/>
          <w:lang w:val="en-IE"/>
        </w:rPr>
        <w:t>D</w:t>
      </w:r>
      <w:proofErr w:type="gramStart"/>
      <w:r w:rsidR="00866F84" w:rsidRPr="004C570C">
        <w:rPr>
          <w:rFonts w:ascii="Times New Roman" w:hAnsi="Times New Roman"/>
          <w:sz w:val="24"/>
          <w:szCs w:val="24"/>
        </w:rPr>
        <w:t>Е</w:t>
      </w:r>
      <w:proofErr w:type="gramEnd"/>
      <w:r w:rsidR="00866F84" w:rsidRPr="004C570C">
        <w:rPr>
          <w:rFonts w:ascii="Times New Roman" w:hAnsi="Times New Roman"/>
          <w:sz w:val="24"/>
          <w:szCs w:val="24"/>
          <w:lang w:val="en-IE"/>
        </w:rPr>
        <w:t>XA</w:t>
      </w:r>
      <w:r w:rsidR="00866F84" w:rsidRPr="004C570C">
        <w:rPr>
          <w:rFonts w:ascii="Times New Roman" w:hAnsi="Times New Roman"/>
          <w:sz w:val="24"/>
          <w:szCs w:val="24"/>
        </w:rPr>
        <w:t xml:space="preserve">) на апараті </w:t>
      </w:r>
      <w:r w:rsidR="00866F84" w:rsidRPr="004C570C">
        <w:rPr>
          <w:rFonts w:ascii="Times New Roman" w:hAnsi="Times New Roman"/>
          <w:sz w:val="24"/>
          <w:szCs w:val="24"/>
          <w:lang w:val="en-IE"/>
        </w:rPr>
        <w:t>HOLOGIC</w:t>
      </w:r>
      <w:r w:rsidR="00866F84" w:rsidRPr="004C570C">
        <w:rPr>
          <w:rFonts w:ascii="Times New Roman" w:hAnsi="Times New Roman"/>
          <w:sz w:val="24"/>
          <w:szCs w:val="24"/>
        </w:rPr>
        <w:t xml:space="preserve"> </w:t>
      </w:r>
      <w:r w:rsidR="00866F84" w:rsidRPr="004C570C">
        <w:rPr>
          <w:rFonts w:ascii="Times New Roman" w:hAnsi="Times New Roman"/>
          <w:sz w:val="24"/>
          <w:szCs w:val="24"/>
          <w:lang w:val="en-IE"/>
        </w:rPr>
        <w:t>Explorer</w:t>
      </w:r>
      <w:r w:rsidR="00866F84" w:rsidRPr="004C570C">
        <w:rPr>
          <w:rFonts w:ascii="Times New Roman" w:hAnsi="Times New Roman"/>
          <w:sz w:val="24"/>
          <w:szCs w:val="24"/>
        </w:rPr>
        <w:t xml:space="preserve"> </w:t>
      </w:r>
      <w:r w:rsidR="00866F84" w:rsidRPr="004C570C">
        <w:rPr>
          <w:rFonts w:ascii="Times New Roman" w:hAnsi="Times New Roman"/>
          <w:sz w:val="24"/>
          <w:szCs w:val="24"/>
          <w:lang w:val="en-IE"/>
        </w:rPr>
        <w:t>QDR</w:t>
      </w:r>
      <w:r w:rsidR="00866F84" w:rsidRPr="004C570C">
        <w:rPr>
          <w:rFonts w:ascii="Times New Roman" w:hAnsi="Times New Roman"/>
          <w:sz w:val="24"/>
          <w:szCs w:val="24"/>
        </w:rPr>
        <w:t xml:space="preserve"> </w:t>
      </w:r>
      <w:r w:rsidR="00866F84" w:rsidRPr="004C570C">
        <w:rPr>
          <w:rFonts w:ascii="Times New Roman" w:hAnsi="Times New Roman"/>
          <w:sz w:val="24"/>
          <w:szCs w:val="24"/>
          <w:lang w:val="en-US"/>
        </w:rPr>
        <w:t>W</w:t>
      </w:r>
      <w:r w:rsidR="00866F84" w:rsidRPr="004C570C">
        <w:rPr>
          <w:rFonts w:ascii="Times New Roman" w:hAnsi="Times New Roman"/>
          <w:sz w:val="24"/>
          <w:szCs w:val="24"/>
        </w:rPr>
        <w:t xml:space="preserve"> </w:t>
      </w:r>
      <w:r w:rsidR="00866F84" w:rsidRPr="004C570C">
        <w:rPr>
          <w:rFonts w:ascii="Times New Roman" w:hAnsi="Times New Roman"/>
          <w:sz w:val="24"/>
          <w:szCs w:val="24"/>
          <w:lang w:val="en-IE"/>
        </w:rPr>
        <w:t>Series</w:t>
      </w:r>
      <w:r w:rsidR="00866F84" w:rsidRPr="004C570C">
        <w:rPr>
          <w:rFonts w:ascii="Times New Roman" w:hAnsi="Times New Roman"/>
          <w:sz w:val="24"/>
          <w:szCs w:val="24"/>
        </w:rPr>
        <w:t xml:space="preserve"> </w:t>
      </w:r>
      <w:r w:rsidR="00866F84" w:rsidRPr="004C570C">
        <w:rPr>
          <w:rFonts w:ascii="Times New Roman" w:hAnsi="Times New Roman"/>
          <w:sz w:val="24"/>
          <w:szCs w:val="24"/>
          <w:lang w:val="en-IE"/>
        </w:rPr>
        <w:t>Bone</w:t>
      </w:r>
      <w:r w:rsidR="00866F84" w:rsidRPr="004C570C">
        <w:rPr>
          <w:rFonts w:ascii="Times New Roman" w:hAnsi="Times New Roman"/>
          <w:sz w:val="24"/>
          <w:szCs w:val="24"/>
        </w:rPr>
        <w:t xml:space="preserve"> </w:t>
      </w:r>
      <w:r w:rsidR="00866F84" w:rsidRPr="004C570C">
        <w:rPr>
          <w:rFonts w:ascii="Times New Roman" w:hAnsi="Times New Roman"/>
          <w:sz w:val="24"/>
          <w:szCs w:val="24"/>
          <w:lang w:val="en-IE"/>
        </w:rPr>
        <w:t>Densitometer</w:t>
      </w:r>
      <w:r w:rsidR="00866F84" w:rsidRPr="004C570C">
        <w:rPr>
          <w:rFonts w:ascii="Times New Roman" w:hAnsi="Times New Roman"/>
          <w:sz w:val="24"/>
          <w:szCs w:val="24"/>
        </w:rPr>
        <w:t xml:space="preserve"> (</w:t>
      </w:r>
      <w:r w:rsidR="00866F84" w:rsidRPr="004C570C">
        <w:rPr>
          <w:rFonts w:ascii="Times New Roman" w:hAnsi="Times New Roman"/>
          <w:sz w:val="24"/>
          <w:szCs w:val="24"/>
          <w:lang w:val="en-US"/>
        </w:rPr>
        <w:t>USA</w:t>
      </w:r>
      <w:r w:rsidR="00866F84" w:rsidRPr="004C570C">
        <w:rPr>
          <w:rFonts w:ascii="Times New Roman" w:hAnsi="Times New Roman"/>
          <w:sz w:val="24"/>
          <w:szCs w:val="24"/>
        </w:rPr>
        <w:t xml:space="preserve">). </w:t>
      </w:r>
      <w:r w:rsidR="0016461A" w:rsidRPr="004C570C">
        <w:rPr>
          <w:rFonts w:ascii="Times New Roman" w:hAnsi="Times New Roman"/>
          <w:sz w:val="24"/>
          <w:szCs w:val="24"/>
        </w:rPr>
        <w:t>В сироватці крові в</w:t>
      </w:r>
      <w:r w:rsidRPr="004C570C">
        <w:rPr>
          <w:rFonts w:ascii="Times New Roman" w:hAnsi="Times New Roman"/>
          <w:sz w:val="24"/>
          <w:szCs w:val="24"/>
        </w:rPr>
        <w:t>изначали вмі</w:t>
      </w:r>
      <w:proofErr w:type="gramStart"/>
      <w:r w:rsidRPr="004C570C">
        <w:rPr>
          <w:rFonts w:ascii="Times New Roman" w:hAnsi="Times New Roman"/>
          <w:sz w:val="24"/>
          <w:szCs w:val="24"/>
        </w:rPr>
        <w:t>ст</w:t>
      </w:r>
      <w:proofErr w:type="gramEnd"/>
      <w:r w:rsidRPr="004C570C">
        <w:rPr>
          <w:rFonts w:ascii="Times New Roman" w:hAnsi="Times New Roman"/>
          <w:sz w:val="24"/>
          <w:szCs w:val="24"/>
        </w:rPr>
        <w:t xml:space="preserve"> апеліну-13 (метод</w:t>
      </w:r>
      <w:r w:rsidR="00216E5A" w:rsidRPr="004C570C">
        <w:rPr>
          <w:rFonts w:ascii="Times New Roman" w:hAnsi="Times New Roman"/>
          <w:sz w:val="24"/>
          <w:szCs w:val="24"/>
        </w:rPr>
        <w:t>ом ІФА</w:t>
      </w:r>
      <w:r w:rsidRPr="004C570C">
        <w:rPr>
          <w:rFonts w:ascii="Times New Roman" w:hAnsi="Times New Roman"/>
          <w:sz w:val="24"/>
          <w:szCs w:val="24"/>
        </w:rPr>
        <w:t xml:space="preserve">) з використанням набору реактивів </w:t>
      </w:r>
      <w:r w:rsidRPr="004C570C">
        <w:rPr>
          <w:rFonts w:ascii="Times New Roman" w:hAnsi="Times New Roman"/>
          <w:snapToGrid w:val="0"/>
          <w:sz w:val="24"/>
          <w:szCs w:val="24"/>
        </w:rPr>
        <w:t>«Human» (Німеччина)</w:t>
      </w:r>
      <w:r w:rsidR="00D9795B" w:rsidRPr="004C570C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16461A" w:rsidRPr="004C570C">
        <w:rPr>
          <w:rFonts w:ascii="Times New Roman" w:hAnsi="Times New Roman"/>
          <w:snapToGrid w:val="0"/>
          <w:sz w:val="24"/>
          <w:szCs w:val="24"/>
        </w:rPr>
        <w:t>П</w:t>
      </w:r>
      <w:r w:rsidR="00D9795B" w:rsidRPr="004C570C">
        <w:rPr>
          <w:rFonts w:ascii="Times New Roman" w:hAnsi="Times New Roman"/>
          <w:snapToGrid w:val="0"/>
          <w:sz w:val="24"/>
          <w:szCs w:val="24"/>
        </w:rPr>
        <w:t>оліморфізм</w:t>
      </w:r>
      <w:r w:rsidR="0016461A" w:rsidRPr="004C570C">
        <w:rPr>
          <w:rFonts w:ascii="Times New Roman" w:hAnsi="Times New Roman"/>
          <w:snapToGrid w:val="0"/>
          <w:sz w:val="24"/>
          <w:szCs w:val="24"/>
        </w:rPr>
        <w:t xml:space="preserve"> гену </w:t>
      </w:r>
      <w:proofErr w:type="gramStart"/>
      <w:r w:rsidR="0016461A" w:rsidRPr="004C570C">
        <w:rPr>
          <w:rFonts w:ascii="Times New Roman" w:hAnsi="Times New Roman"/>
          <w:snapToGrid w:val="0"/>
          <w:sz w:val="24"/>
          <w:szCs w:val="24"/>
        </w:rPr>
        <w:t>досл</w:t>
      </w:r>
      <w:proofErr w:type="gramEnd"/>
      <w:r w:rsidR="0016461A" w:rsidRPr="004C570C">
        <w:rPr>
          <w:rFonts w:ascii="Times New Roman" w:hAnsi="Times New Roman"/>
          <w:snapToGrid w:val="0"/>
          <w:sz w:val="24"/>
          <w:szCs w:val="24"/>
        </w:rPr>
        <w:t>іджували</w:t>
      </w:r>
      <w:r w:rsidR="00D9795B" w:rsidRPr="004C570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122A9" w:rsidRPr="004C570C">
        <w:rPr>
          <w:rFonts w:ascii="Times New Roman" w:hAnsi="Times New Roman"/>
          <w:sz w:val="24"/>
          <w:szCs w:val="24"/>
        </w:rPr>
        <w:t>в геномі людини</w:t>
      </w:r>
      <w:r w:rsidR="005122A9" w:rsidRPr="004C570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122A9" w:rsidRPr="004C570C">
        <w:rPr>
          <w:rFonts w:ascii="Times New Roman" w:hAnsi="Times New Roman"/>
          <w:sz w:val="24"/>
          <w:szCs w:val="24"/>
        </w:rPr>
        <w:t xml:space="preserve">методом полімеразної ланцюгової реакції в режимі реального часу </w:t>
      </w:r>
      <w:r w:rsidR="00D9795B" w:rsidRPr="004C570C">
        <w:rPr>
          <w:rFonts w:ascii="Times New Roman" w:hAnsi="Times New Roman"/>
          <w:sz w:val="24"/>
          <w:szCs w:val="24"/>
        </w:rPr>
        <w:t xml:space="preserve">за допомогою набору </w:t>
      </w:r>
      <w:r w:rsidR="00D9795B" w:rsidRPr="004C570C">
        <w:rPr>
          <w:rFonts w:ascii="Times New Roman" w:hAnsi="Times New Roman"/>
          <w:i/>
          <w:sz w:val="24"/>
          <w:szCs w:val="24"/>
        </w:rPr>
        <w:t>VDR</w:t>
      </w:r>
      <w:r w:rsidR="00D9795B" w:rsidRPr="004C570C">
        <w:rPr>
          <w:rFonts w:ascii="Times New Roman" w:hAnsi="Times New Roman"/>
          <w:sz w:val="24"/>
          <w:szCs w:val="24"/>
        </w:rPr>
        <w:t xml:space="preserve"> </w:t>
      </w:r>
      <w:r w:rsidR="00D9795B" w:rsidRPr="004C570C">
        <w:rPr>
          <w:rFonts w:ascii="Times New Roman" w:hAnsi="Times New Roman"/>
          <w:i/>
          <w:sz w:val="24"/>
          <w:szCs w:val="24"/>
        </w:rPr>
        <w:t xml:space="preserve">(Bsml c.IVS7 G&gt;A, rs1544410) </w:t>
      </w:r>
      <w:r w:rsidR="00D9795B" w:rsidRPr="004C570C">
        <w:rPr>
          <w:rFonts w:ascii="Times New Roman" w:hAnsi="Times New Roman"/>
          <w:sz w:val="24"/>
          <w:szCs w:val="24"/>
        </w:rPr>
        <w:t>«Мутація рецептора вітаміну D».</w:t>
      </w:r>
      <w:r w:rsidR="00D536EA" w:rsidRPr="004C570C">
        <w:rPr>
          <w:rFonts w:ascii="Times New Roman" w:hAnsi="Times New Roman"/>
          <w:sz w:val="24"/>
          <w:szCs w:val="24"/>
        </w:rPr>
        <w:t xml:space="preserve"> Статистичний аналіз даних</w:t>
      </w:r>
      <w:r w:rsidR="007E0BCA" w:rsidRPr="004C570C">
        <w:rPr>
          <w:rFonts w:ascii="Times New Roman" w:hAnsi="Times New Roman"/>
          <w:sz w:val="24"/>
          <w:szCs w:val="24"/>
        </w:rPr>
        <w:t xml:space="preserve"> проводили  з використанням комп’</w:t>
      </w:r>
      <w:r w:rsidR="00D536EA" w:rsidRPr="004C570C">
        <w:rPr>
          <w:rFonts w:ascii="Times New Roman" w:hAnsi="Times New Roman"/>
          <w:sz w:val="24"/>
          <w:szCs w:val="24"/>
        </w:rPr>
        <w:t>ютерного пакета прикладних програм  Stata 12.1</w:t>
      </w:r>
      <w:r w:rsidR="0016461A" w:rsidRPr="004C570C">
        <w:rPr>
          <w:rFonts w:ascii="Times New Roman" w:hAnsi="Times New Roman"/>
          <w:sz w:val="24"/>
          <w:szCs w:val="24"/>
        </w:rPr>
        <w:t>; с</w:t>
      </w:r>
      <w:r w:rsidR="00D536EA" w:rsidRPr="004C570C">
        <w:rPr>
          <w:rFonts w:ascii="Times New Roman" w:hAnsi="Times New Roman"/>
          <w:sz w:val="24"/>
          <w:szCs w:val="24"/>
        </w:rPr>
        <w:t>татистичн</w:t>
      </w:r>
      <w:r w:rsidR="0016461A" w:rsidRPr="004C570C">
        <w:rPr>
          <w:rFonts w:ascii="Times New Roman" w:hAnsi="Times New Roman"/>
          <w:sz w:val="24"/>
          <w:szCs w:val="24"/>
        </w:rPr>
        <w:t>у</w:t>
      </w:r>
      <w:r w:rsidR="00D536EA" w:rsidRPr="004C570C">
        <w:rPr>
          <w:rFonts w:ascii="Times New Roman" w:hAnsi="Times New Roman"/>
          <w:sz w:val="24"/>
          <w:szCs w:val="24"/>
        </w:rPr>
        <w:t xml:space="preserve"> обробк</w:t>
      </w:r>
      <w:r w:rsidR="0016461A" w:rsidRPr="004C570C">
        <w:rPr>
          <w:rFonts w:ascii="Times New Roman" w:hAnsi="Times New Roman"/>
          <w:sz w:val="24"/>
          <w:szCs w:val="24"/>
        </w:rPr>
        <w:t xml:space="preserve">у </w:t>
      </w:r>
      <w:r w:rsidR="00B2778E" w:rsidRPr="004C570C">
        <w:rPr>
          <w:rFonts w:ascii="Times New Roman" w:hAnsi="Times New Roman"/>
          <w:sz w:val="24"/>
          <w:szCs w:val="24"/>
        </w:rPr>
        <w:t>–</w:t>
      </w:r>
      <w:r w:rsidR="00D536EA" w:rsidRPr="004C570C">
        <w:rPr>
          <w:rFonts w:ascii="Times New Roman" w:hAnsi="Times New Roman"/>
          <w:sz w:val="24"/>
          <w:szCs w:val="24"/>
        </w:rPr>
        <w:t xml:space="preserve"> з використанням W-критерію Шапіро-Уілка, </w:t>
      </w:r>
      <w:proofErr w:type="gramStart"/>
      <w:r w:rsidR="00D536EA" w:rsidRPr="004C570C">
        <w:rPr>
          <w:rFonts w:ascii="Times New Roman" w:hAnsi="Times New Roman"/>
          <w:sz w:val="24"/>
          <w:szCs w:val="24"/>
        </w:rPr>
        <w:t>П</w:t>
      </w:r>
      <w:proofErr w:type="gramEnd"/>
      <w:r w:rsidR="00D536EA" w:rsidRPr="004C570C">
        <w:rPr>
          <w:rFonts w:ascii="Times New Roman" w:hAnsi="Times New Roman"/>
          <w:sz w:val="24"/>
          <w:szCs w:val="24"/>
        </w:rPr>
        <w:t>ірсона, а однорідність дисперсій – критерію Левена.</w:t>
      </w:r>
    </w:p>
    <w:p w:rsidR="00F41AE8" w:rsidRPr="004C570C" w:rsidRDefault="00F41AE8" w:rsidP="004C570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570C">
        <w:rPr>
          <w:rFonts w:ascii="Times New Roman" w:hAnsi="Times New Roman"/>
          <w:b/>
          <w:sz w:val="24"/>
          <w:szCs w:val="24"/>
        </w:rPr>
        <w:t>Результати та їх обговорення</w:t>
      </w:r>
      <w:r w:rsidRPr="004C570C">
        <w:rPr>
          <w:rFonts w:ascii="Times New Roman" w:hAnsi="Times New Roman"/>
          <w:sz w:val="24"/>
          <w:szCs w:val="24"/>
        </w:rPr>
        <w:t xml:space="preserve">. </w:t>
      </w:r>
      <w:r w:rsidR="002A0FA4" w:rsidRPr="004C570C">
        <w:rPr>
          <w:rFonts w:ascii="Times New Roman" w:hAnsi="Times New Roman"/>
          <w:sz w:val="24"/>
          <w:szCs w:val="24"/>
        </w:rPr>
        <w:t xml:space="preserve">Визначено збільшення </w:t>
      </w:r>
      <w:proofErr w:type="gramStart"/>
      <w:r w:rsidR="002A0FA4" w:rsidRPr="004C570C">
        <w:rPr>
          <w:rFonts w:ascii="Times New Roman" w:hAnsi="Times New Roman"/>
          <w:sz w:val="24"/>
          <w:szCs w:val="24"/>
        </w:rPr>
        <w:t>р</w:t>
      </w:r>
      <w:proofErr w:type="gramEnd"/>
      <w:r w:rsidR="002A0FA4" w:rsidRPr="004C570C">
        <w:rPr>
          <w:rFonts w:ascii="Times New Roman" w:hAnsi="Times New Roman"/>
          <w:sz w:val="24"/>
          <w:szCs w:val="24"/>
        </w:rPr>
        <w:t>івню  адіпокіну апеліну</w:t>
      </w:r>
      <w:r w:rsidR="00866F84" w:rsidRPr="004C570C">
        <w:rPr>
          <w:rFonts w:ascii="Times New Roman" w:hAnsi="Times New Roman"/>
          <w:sz w:val="24"/>
          <w:szCs w:val="24"/>
        </w:rPr>
        <w:t>-13</w:t>
      </w:r>
      <w:r w:rsidR="002A0FA4" w:rsidRPr="004C570C">
        <w:rPr>
          <w:rFonts w:ascii="Times New Roman" w:hAnsi="Times New Roman"/>
          <w:sz w:val="24"/>
          <w:szCs w:val="24"/>
        </w:rPr>
        <w:t xml:space="preserve"> в сироватці крові означених пацієнтів, вміст якого залежав від рентгенологічної стадії захворювання</w:t>
      </w:r>
      <w:r w:rsidR="00F44B66" w:rsidRPr="004C570C">
        <w:rPr>
          <w:rFonts w:ascii="Times New Roman" w:hAnsi="Times New Roman"/>
          <w:sz w:val="24"/>
          <w:szCs w:val="24"/>
        </w:rPr>
        <w:t xml:space="preserve"> та</w:t>
      </w:r>
      <w:r w:rsidR="002A0FA4" w:rsidRPr="004C570C">
        <w:rPr>
          <w:rFonts w:ascii="Times New Roman" w:hAnsi="Times New Roman"/>
          <w:sz w:val="24"/>
          <w:szCs w:val="24"/>
        </w:rPr>
        <w:t xml:space="preserve"> </w:t>
      </w:r>
      <w:r w:rsidR="00640A00" w:rsidRPr="004C570C">
        <w:rPr>
          <w:rFonts w:ascii="Times New Roman" w:hAnsi="Times New Roman"/>
          <w:sz w:val="24"/>
          <w:szCs w:val="24"/>
        </w:rPr>
        <w:t xml:space="preserve">показників </w:t>
      </w:r>
      <w:r w:rsidR="002A0FA4" w:rsidRPr="004C570C">
        <w:rPr>
          <w:rFonts w:ascii="Times New Roman" w:hAnsi="Times New Roman"/>
          <w:sz w:val="24"/>
          <w:szCs w:val="24"/>
        </w:rPr>
        <w:t>альго-функціональної активності за індексом  WOMAC та не</w:t>
      </w:r>
      <w:r w:rsidR="00F44B66" w:rsidRPr="004C570C">
        <w:rPr>
          <w:rFonts w:ascii="Times New Roman" w:hAnsi="Times New Roman"/>
          <w:sz w:val="24"/>
          <w:szCs w:val="24"/>
        </w:rPr>
        <w:t xml:space="preserve"> мав залежності від ІМТ. Також встановлен</w:t>
      </w:r>
      <w:r w:rsidR="001E03A7" w:rsidRPr="004C570C">
        <w:rPr>
          <w:rFonts w:ascii="Times New Roman" w:hAnsi="Times New Roman"/>
          <w:sz w:val="24"/>
          <w:szCs w:val="24"/>
        </w:rPr>
        <w:t>о</w:t>
      </w:r>
      <w:r w:rsidR="00F44B66" w:rsidRPr="004C570C">
        <w:rPr>
          <w:rFonts w:ascii="Times New Roman" w:hAnsi="Times New Roman"/>
          <w:sz w:val="24"/>
          <w:szCs w:val="24"/>
        </w:rPr>
        <w:t xml:space="preserve">, що переважна більшість пацієнтів молодого віку з ОА </w:t>
      </w:r>
      <w:r w:rsidR="00FD3619" w:rsidRPr="004C570C">
        <w:rPr>
          <w:rFonts w:ascii="Times New Roman" w:hAnsi="Times New Roman"/>
          <w:sz w:val="24"/>
          <w:szCs w:val="24"/>
        </w:rPr>
        <w:t>та</w:t>
      </w:r>
      <w:r w:rsidR="00F44B66" w:rsidRPr="004C570C">
        <w:rPr>
          <w:rFonts w:ascii="Times New Roman" w:hAnsi="Times New Roman"/>
          <w:sz w:val="24"/>
          <w:szCs w:val="24"/>
        </w:rPr>
        <w:t xml:space="preserve"> надлишковою вагою або ожирінням </w:t>
      </w:r>
      <w:r w:rsidR="002A0FA4" w:rsidRPr="004C570C">
        <w:rPr>
          <w:rFonts w:ascii="Times New Roman" w:hAnsi="Times New Roman"/>
          <w:sz w:val="24"/>
          <w:szCs w:val="24"/>
        </w:rPr>
        <w:t xml:space="preserve"> </w:t>
      </w:r>
      <w:r w:rsidR="001E03A7" w:rsidRPr="004C570C">
        <w:rPr>
          <w:rFonts w:ascii="Times New Roman" w:hAnsi="Times New Roman"/>
          <w:sz w:val="24"/>
          <w:szCs w:val="24"/>
        </w:rPr>
        <w:t xml:space="preserve">мала несприятливий </w:t>
      </w:r>
      <w:r w:rsidR="005E32DE">
        <w:rPr>
          <w:rFonts w:ascii="Times New Roman" w:hAnsi="Times New Roman"/>
          <w:sz w:val="24"/>
          <w:szCs w:val="24"/>
          <w:lang w:val="uk-UA"/>
        </w:rPr>
        <w:t xml:space="preserve">генотип </w:t>
      </w:r>
      <w:proofErr w:type="gramStart"/>
      <w:r w:rsidR="005E32DE">
        <w:rPr>
          <w:rFonts w:ascii="Times New Roman" w:hAnsi="Times New Roman"/>
          <w:sz w:val="24"/>
          <w:szCs w:val="24"/>
        </w:rPr>
        <w:t>ВВ</w:t>
      </w:r>
      <w:proofErr w:type="gramEnd"/>
      <w:r w:rsidR="005E32DE">
        <w:rPr>
          <w:rFonts w:ascii="Times New Roman" w:hAnsi="Times New Roman"/>
          <w:sz w:val="24"/>
          <w:szCs w:val="24"/>
        </w:rPr>
        <w:t xml:space="preserve"> гену рецептор</w:t>
      </w:r>
      <w:r w:rsidR="005E32DE">
        <w:rPr>
          <w:rFonts w:ascii="Times New Roman" w:hAnsi="Times New Roman"/>
          <w:sz w:val="24"/>
          <w:szCs w:val="24"/>
          <w:lang w:val="uk-UA"/>
        </w:rPr>
        <w:t>а</w:t>
      </w:r>
      <w:r w:rsidR="001E03A7" w:rsidRPr="004C570C">
        <w:rPr>
          <w:rFonts w:ascii="Times New Roman" w:hAnsi="Times New Roman"/>
          <w:sz w:val="24"/>
          <w:szCs w:val="24"/>
        </w:rPr>
        <w:t xml:space="preserve"> вітаміну D</w:t>
      </w:r>
      <w:r w:rsidR="00E34C37" w:rsidRPr="004C570C">
        <w:rPr>
          <w:rFonts w:ascii="Times New Roman" w:hAnsi="Times New Roman"/>
          <w:sz w:val="24"/>
          <w:szCs w:val="24"/>
        </w:rPr>
        <w:t xml:space="preserve">, що проявлялося </w:t>
      </w:r>
      <w:r w:rsidR="001E03A7" w:rsidRPr="004C570C">
        <w:rPr>
          <w:rFonts w:ascii="Times New Roman" w:hAnsi="Times New Roman"/>
          <w:sz w:val="24"/>
          <w:szCs w:val="24"/>
        </w:rPr>
        <w:t>більш тяжк</w:t>
      </w:r>
      <w:r w:rsidR="00E34C37" w:rsidRPr="004C570C">
        <w:rPr>
          <w:rFonts w:ascii="Times New Roman" w:hAnsi="Times New Roman"/>
          <w:sz w:val="24"/>
          <w:szCs w:val="24"/>
        </w:rPr>
        <w:t>ими</w:t>
      </w:r>
      <w:r w:rsidR="001E03A7" w:rsidRPr="004C570C">
        <w:rPr>
          <w:rFonts w:ascii="Times New Roman" w:hAnsi="Times New Roman"/>
          <w:sz w:val="24"/>
          <w:szCs w:val="24"/>
        </w:rPr>
        <w:t xml:space="preserve"> рентгенологічн</w:t>
      </w:r>
      <w:r w:rsidR="00E34C37" w:rsidRPr="004C570C">
        <w:rPr>
          <w:rFonts w:ascii="Times New Roman" w:hAnsi="Times New Roman"/>
          <w:sz w:val="24"/>
          <w:szCs w:val="24"/>
        </w:rPr>
        <w:t>ими</w:t>
      </w:r>
      <w:r w:rsidR="001E03A7" w:rsidRPr="004C570C">
        <w:rPr>
          <w:rFonts w:ascii="Times New Roman" w:hAnsi="Times New Roman"/>
          <w:sz w:val="24"/>
          <w:szCs w:val="24"/>
        </w:rPr>
        <w:t xml:space="preserve"> стаді</w:t>
      </w:r>
      <w:r w:rsidR="00E34C37" w:rsidRPr="004C570C">
        <w:rPr>
          <w:rFonts w:ascii="Times New Roman" w:hAnsi="Times New Roman"/>
          <w:sz w:val="24"/>
          <w:szCs w:val="24"/>
        </w:rPr>
        <w:t>ями</w:t>
      </w:r>
      <w:r w:rsidR="001E03A7" w:rsidRPr="004C570C">
        <w:rPr>
          <w:rFonts w:ascii="Times New Roman" w:hAnsi="Times New Roman"/>
          <w:sz w:val="24"/>
          <w:szCs w:val="24"/>
        </w:rPr>
        <w:t xml:space="preserve"> захворювання, розвитк</w:t>
      </w:r>
      <w:r w:rsidR="00E34C37" w:rsidRPr="004C570C">
        <w:rPr>
          <w:rFonts w:ascii="Times New Roman" w:hAnsi="Times New Roman"/>
          <w:sz w:val="24"/>
          <w:szCs w:val="24"/>
        </w:rPr>
        <w:t>ом</w:t>
      </w:r>
      <w:r w:rsidR="001E03A7" w:rsidRPr="004C570C">
        <w:rPr>
          <w:rFonts w:ascii="Times New Roman" w:hAnsi="Times New Roman"/>
          <w:sz w:val="24"/>
          <w:szCs w:val="24"/>
        </w:rPr>
        <w:t xml:space="preserve"> остео</w:t>
      </w:r>
      <w:r w:rsidR="007E0BCA" w:rsidRPr="004C570C">
        <w:rPr>
          <w:rFonts w:ascii="Times New Roman" w:hAnsi="Times New Roman"/>
          <w:sz w:val="24"/>
          <w:szCs w:val="24"/>
        </w:rPr>
        <w:t>пенічних</w:t>
      </w:r>
      <w:r w:rsidR="001E03A7" w:rsidRPr="004C570C">
        <w:rPr>
          <w:rFonts w:ascii="Times New Roman" w:hAnsi="Times New Roman"/>
          <w:sz w:val="24"/>
          <w:szCs w:val="24"/>
        </w:rPr>
        <w:t xml:space="preserve"> станів та збільшення</w:t>
      </w:r>
      <w:r w:rsidR="00E34C37" w:rsidRPr="004C570C">
        <w:rPr>
          <w:rFonts w:ascii="Times New Roman" w:hAnsi="Times New Roman"/>
          <w:sz w:val="24"/>
          <w:szCs w:val="24"/>
        </w:rPr>
        <w:t xml:space="preserve">м </w:t>
      </w:r>
      <w:r w:rsidR="001E03A7" w:rsidRPr="004C570C">
        <w:rPr>
          <w:rFonts w:ascii="Times New Roman" w:hAnsi="Times New Roman"/>
          <w:sz w:val="24"/>
          <w:szCs w:val="24"/>
        </w:rPr>
        <w:t xml:space="preserve">вмісту апеліну. </w:t>
      </w:r>
    </w:p>
    <w:p w:rsidR="009C522A" w:rsidRPr="004C570C" w:rsidRDefault="001E03A7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70C">
        <w:rPr>
          <w:rFonts w:ascii="Times New Roman" w:hAnsi="Times New Roman" w:cs="Times New Roman"/>
          <w:b/>
          <w:sz w:val="24"/>
          <w:szCs w:val="24"/>
        </w:rPr>
        <w:t>Висновки.</w:t>
      </w:r>
      <w:r w:rsidRPr="004C570C">
        <w:rPr>
          <w:rFonts w:ascii="Times New Roman" w:hAnsi="Times New Roman" w:cs="Times New Roman"/>
          <w:sz w:val="24"/>
          <w:szCs w:val="24"/>
        </w:rPr>
        <w:t xml:space="preserve"> Серед пацієнтів на остеоартроз та ожиріння доволі часто (45,8%) проти </w:t>
      </w:r>
      <w:r w:rsidR="00FD3619" w:rsidRPr="004C570C">
        <w:rPr>
          <w:rFonts w:ascii="Times New Roman" w:hAnsi="Times New Roman" w:cs="Times New Roman"/>
          <w:sz w:val="24"/>
          <w:szCs w:val="24"/>
        </w:rPr>
        <w:t xml:space="preserve">групи </w:t>
      </w:r>
      <w:r w:rsidRPr="004C570C">
        <w:rPr>
          <w:rFonts w:ascii="Times New Roman" w:hAnsi="Times New Roman" w:cs="Times New Roman"/>
          <w:sz w:val="24"/>
          <w:szCs w:val="24"/>
        </w:rPr>
        <w:t xml:space="preserve">контролю (11,5%) зустрічається несприятливий </w:t>
      </w:r>
      <w:r w:rsidR="005E32DE">
        <w:rPr>
          <w:rFonts w:ascii="Times New Roman" w:hAnsi="Times New Roman" w:cs="Times New Roman"/>
          <w:sz w:val="24"/>
          <w:szCs w:val="24"/>
          <w:lang w:val="uk-UA"/>
        </w:rPr>
        <w:t xml:space="preserve">варіант генотипу </w:t>
      </w:r>
      <w:proofErr w:type="gramStart"/>
      <w:r w:rsidR="005E32DE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4C570C">
        <w:rPr>
          <w:rFonts w:ascii="Times New Roman" w:hAnsi="Times New Roman" w:cs="Times New Roman"/>
          <w:sz w:val="24"/>
          <w:szCs w:val="24"/>
        </w:rPr>
        <w:t xml:space="preserve"> </w:t>
      </w:r>
      <w:r w:rsidR="00866F84" w:rsidRPr="004C570C">
        <w:rPr>
          <w:rStyle w:val="normaltextrunscx133561867"/>
          <w:rFonts w:ascii="Times New Roman" w:hAnsi="Times New Roman"/>
          <w:sz w:val="24"/>
          <w:szCs w:val="24"/>
        </w:rPr>
        <w:t xml:space="preserve">мутації </w:t>
      </w:r>
      <w:r w:rsidR="00866F84" w:rsidRPr="004C5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</w:t>
      </w:r>
      <w:r w:rsidR="00866F84" w:rsidRPr="004C5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63980</w:t>
      </w:r>
      <w:r w:rsidR="00866F84" w:rsidRPr="004C5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866F84" w:rsidRPr="004C570C">
        <w:rPr>
          <w:rStyle w:val="normaltextrunscx133561867"/>
          <w:rFonts w:ascii="Times New Roman" w:hAnsi="Times New Roman"/>
          <w:sz w:val="24"/>
          <w:szCs w:val="24"/>
        </w:rPr>
        <w:t xml:space="preserve"> гену рецептора вітаміну D </w:t>
      </w:r>
      <w:r w:rsidR="00866F84" w:rsidRPr="004C570C">
        <w:rPr>
          <w:rStyle w:val="normaltextrunscx133561867"/>
          <w:rFonts w:ascii="Times New Roman" w:hAnsi="Times New Roman"/>
          <w:i/>
          <w:sz w:val="24"/>
          <w:szCs w:val="24"/>
        </w:rPr>
        <w:t>(VDR</w:t>
      </w:r>
      <w:r w:rsidR="00866F84" w:rsidRPr="004C570C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4C570C">
        <w:rPr>
          <w:rFonts w:ascii="Times New Roman" w:hAnsi="Times New Roman" w:cs="Times New Roman"/>
          <w:sz w:val="24"/>
          <w:szCs w:val="24"/>
        </w:rPr>
        <w:t>, що підтверджується у таких пацієнтів  рентгенологічним прогресуванням ураження суглобів та формуванням остеопенічних станів (75,9%).</w:t>
      </w:r>
      <w:r w:rsidR="00B24627" w:rsidRPr="004C570C">
        <w:rPr>
          <w:rFonts w:ascii="Times New Roman" w:hAnsi="Times New Roman" w:cs="Times New Roman"/>
          <w:sz w:val="24"/>
          <w:szCs w:val="24"/>
        </w:rPr>
        <w:t xml:space="preserve"> </w:t>
      </w:r>
      <w:r w:rsidRPr="004C570C">
        <w:rPr>
          <w:rFonts w:ascii="Times New Roman" w:hAnsi="Times New Roman" w:cs="Times New Roman"/>
          <w:sz w:val="24"/>
          <w:szCs w:val="24"/>
        </w:rPr>
        <w:t>Перебіг остеоартрозу у осіб молодого віку з надлишковою вагою а</w:t>
      </w:r>
      <w:r w:rsidR="00B24627" w:rsidRPr="004C570C">
        <w:rPr>
          <w:rFonts w:ascii="Times New Roman" w:hAnsi="Times New Roman" w:cs="Times New Roman"/>
          <w:sz w:val="24"/>
          <w:szCs w:val="24"/>
        </w:rPr>
        <w:t>бо</w:t>
      </w:r>
      <w:r w:rsidR="00B2778E">
        <w:rPr>
          <w:rFonts w:ascii="Times New Roman" w:hAnsi="Times New Roman" w:cs="Times New Roman"/>
          <w:sz w:val="24"/>
          <w:szCs w:val="24"/>
        </w:rPr>
        <w:t xml:space="preserve"> ожирінням відбувається на тлі </w:t>
      </w:r>
      <w:proofErr w:type="gramStart"/>
      <w:r w:rsidRPr="004C57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570C">
        <w:rPr>
          <w:rFonts w:ascii="Times New Roman" w:hAnsi="Times New Roman" w:cs="Times New Roman"/>
          <w:sz w:val="24"/>
          <w:szCs w:val="24"/>
        </w:rPr>
        <w:t>ідвищення</w:t>
      </w:r>
      <w:r w:rsidR="00B24627" w:rsidRPr="004C570C">
        <w:rPr>
          <w:rFonts w:ascii="Times New Roman" w:hAnsi="Times New Roman" w:cs="Times New Roman"/>
          <w:sz w:val="24"/>
          <w:szCs w:val="24"/>
        </w:rPr>
        <w:t xml:space="preserve"> рівню</w:t>
      </w:r>
      <w:r w:rsidRPr="004C570C">
        <w:rPr>
          <w:rFonts w:ascii="Times New Roman" w:hAnsi="Times New Roman" w:cs="Times New Roman"/>
          <w:sz w:val="24"/>
          <w:szCs w:val="24"/>
        </w:rPr>
        <w:t xml:space="preserve"> </w:t>
      </w:r>
      <w:r w:rsidR="00FD3619" w:rsidRPr="004C570C">
        <w:rPr>
          <w:rFonts w:ascii="Times New Roman" w:hAnsi="Times New Roman" w:cs="Times New Roman"/>
          <w:sz w:val="24"/>
          <w:szCs w:val="24"/>
        </w:rPr>
        <w:t>адипоцитокіну</w:t>
      </w:r>
      <w:r w:rsidRPr="004C570C">
        <w:rPr>
          <w:rFonts w:ascii="Times New Roman" w:hAnsi="Times New Roman" w:cs="Times New Roman"/>
          <w:sz w:val="24"/>
          <w:szCs w:val="24"/>
        </w:rPr>
        <w:t xml:space="preserve"> апеліну, вміст якого різниться</w:t>
      </w:r>
      <w:r w:rsidR="00FD3619" w:rsidRPr="004C570C">
        <w:rPr>
          <w:rFonts w:ascii="Times New Roman" w:hAnsi="Times New Roman" w:cs="Times New Roman"/>
          <w:sz w:val="24"/>
          <w:szCs w:val="24"/>
        </w:rPr>
        <w:t xml:space="preserve"> в залежності від</w:t>
      </w:r>
      <w:r w:rsidRPr="004C570C">
        <w:rPr>
          <w:rFonts w:ascii="Times New Roman" w:hAnsi="Times New Roman" w:cs="Times New Roman"/>
          <w:sz w:val="24"/>
          <w:szCs w:val="24"/>
        </w:rPr>
        <w:t xml:space="preserve"> поліморфних варіа</w:t>
      </w:r>
      <w:r w:rsidR="00B24627" w:rsidRPr="004C570C">
        <w:rPr>
          <w:rFonts w:ascii="Times New Roman" w:hAnsi="Times New Roman" w:cs="Times New Roman"/>
          <w:sz w:val="24"/>
          <w:szCs w:val="24"/>
        </w:rPr>
        <w:t>нт</w:t>
      </w:r>
      <w:r w:rsidR="00FD3619" w:rsidRPr="004C570C">
        <w:rPr>
          <w:rFonts w:ascii="Times New Roman" w:hAnsi="Times New Roman" w:cs="Times New Roman"/>
          <w:sz w:val="24"/>
          <w:szCs w:val="24"/>
        </w:rPr>
        <w:t>ів</w:t>
      </w:r>
      <w:r w:rsidR="00B24627" w:rsidRPr="004C570C">
        <w:rPr>
          <w:rFonts w:ascii="Times New Roman" w:hAnsi="Times New Roman" w:cs="Times New Roman"/>
          <w:sz w:val="24"/>
          <w:szCs w:val="24"/>
        </w:rPr>
        <w:t xml:space="preserve"> гену</w:t>
      </w:r>
      <w:r w:rsidRPr="004C570C">
        <w:rPr>
          <w:rFonts w:ascii="Times New Roman" w:hAnsi="Times New Roman" w:cs="Times New Roman"/>
          <w:sz w:val="24"/>
          <w:szCs w:val="24"/>
        </w:rPr>
        <w:t xml:space="preserve"> </w:t>
      </w:r>
      <w:r w:rsidR="00227B94" w:rsidRPr="004C570C">
        <w:rPr>
          <w:rFonts w:ascii="Times New Roman" w:hAnsi="Times New Roman" w:cs="Times New Roman"/>
          <w:i/>
          <w:sz w:val="24"/>
          <w:szCs w:val="24"/>
          <w:lang w:val="en-US"/>
        </w:rPr>
        <w:t>VDR</w:t>
      </w:r>
      <w:r w:rsidRPr="004C570C">
        <w:rPr>
          <w:rFonts w:ascii="Times New Roman" w:hAnsi="Times New Roman" w:cs="Times New Roman"/>
          <w:sz w:val="24"/>
          <w:szCs w:val="24"/>
        </w:rPr>
        <w:t xml:space="preserve">, не залежить </w:t>
      </w:r>
      <w:r w:rsidR="009C522A" w:rsidRPr="004C570C">
        <w:rPr>
          <w:rFonts w:ascii="Times New Roman" w:hAnsi="Times New Roman" w:cs="Times New Roman"/>
          <w:sz w:val="24"/>
          <w:szCs w:val="24"/>
        </w:rPr>
        <w:t xml:space="preserve">від </w:t>
      </w:r>
      <w:r w:rsidRPr="004C570C">
        <w:rPr>
          <w:rFonts w:ascii="Times New Roman" w:hAnsi="Times New Roman" w:cs="Times New Roman"/>
          <w:sz w:val="24"/>
          <w:szCs w:val="24"/>
        </w:rPr>
        <w:t>ступеню ожиріння, але має залежність  від рентгенологічної стадії захворювання.</w:t>
      </w:r>
    </w:p>
    <w:p w:rsidR="002D5BB1" w:rsidRPr="005E32DE" w:rsidRDefault="002D5BB1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570C">
        <w:rPr>
          <w:rFonts w:ascii="Times New Roman" w:hAnsi="Times New Roman" w:cs="Times New Roman"/>
          <w:b/>
          <w:sz w:val="24"/>
          <w:szCs w:val="24"/>
        </w:rPr>
        <w:t>Ключові слова</w:t>
      </w:r>
      <w:r w:rsidRPr="004C570C">
        <w:rPr>
          <w:rFonts w:ascii="Times New Roman" w:hAnsi="Times New Roman" w:cs="Times New Roman"/>
          <w:sz w:val="24"/>
          <w:szCs w:val="24"/>
        </w:rPr>
        <w:t xml:space="preserve">: остеоартроз, апелін, ген рецепторів </w:t>
      </w:r>
      <w:proofErr w:type="gramStart"/>
      <w:r w:rsidRPr="004C57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570C">
        <w:rPr>
          <w:rFonts w:ascii="Times New Roman" w:hAnsi="Times New Roman" w:cs="Times New Roman"/>
          <w:sz w:val="24"/>
          <w:szCs w:val="24"/>
        </w:rPr>
        <w:t xml:space="preserve">ітаміну </w:t>
      </w:r>
      <w:r w:rsidRPr="004C570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570C">
        <w:rPr>
          <w:rFonts w:ascii="Times New Roman" w:hAnsi="Times New Roman" w:cs="Times New Roman"/>
          <w:sz w:val="24"/>
          <w:szCs w:val="24"/>
        </w:rPr>
        <w:t>, остеопороз</w:t>
      </w:r>
      <w:r w:rsidR="005E32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7049" w:rsidRPr="004C570C" w:rsidRDefault="00677049" w:rsidP="004C5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EE" w:rsidRPr="004C570C" w:rsidRDefault="00D648A0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0C">
        <w:rPr>
          <w:rFonts w:ascii="Times New Roman" w:hAnsi="Times New Roman" w:cs="Times New Roman"/>
          <w:b/>
          <w:sz w:val="24"/>
          <w:szCs w:val="24"/>
        </w:rPr>
        <w:t>Вступ</w:t>
      </w:r>
      <w:r w:rsidRPr="004C570C">
        <w:rPr>
          <w:rFonts w:ascii="Times New Roman" w:hAnsi="Times New Roman" w:cs="Times New Roman"/>
          <w:sz w:val="24"/>
          <w:szCs w:val="24"/>
        </w:rPr>
        <w:t xml:space="preserve">. </w:t>
      </w:r>
      <w:r w:rsidR="00AC7DA4" w:rsidRPr="004C570C">
        <w:rPr>
          <w:rFonts w:ascii="Times New Roman" w:hAnsi="Times New Roman" w:cs="Times New Roman"/>
          <w:sz w:val="24"/>
          <w:szCs w:val="24"/>
        </w:rPr>
        <w:t>Розвиток вторинного остеопорозу (ОП) на теперішній час розглядається як патогенетично обумовлене ускладнення при багатьох захворюваннях внутрішніх органів. При цьому мова йде не тільки про виникнення такої нозології у осіб похилого віку, але</w:t>
      </w:r>
      <w:r w:rsidR="00C5650E" w:rsidRPr="004C570C">
        <w:rPr>
          <w:rFonts w:ascii="Times New Roman" w:hAnsi="Times New Roman" w:cs="Times New Roman"/>
          <w:sz w:val="24"/>
          <w:szCs w:val="24"/>
        </w:rPr>
        <w:t xml:space="preserve"> і</w:t>
      </w:r>
      <w:r w:rsidR="00AC7DA4" w:rsidRPr="004C570C">
        <w:rPr>
          <w:rFonts w:ascii="Times New Roman" w:hAnsi="Times New Roman" w:cs="Times New Roman"/>
          <w:sz w:val="24"/>
          <w:szCs w:val="24"/>
        </w:rPr>
        <w:t xml:space="preserve"> серед молоді, що пов’язують з наявністю захворювань, </w:t>
      </w:r>
      <w:r w:rsidR="00092F2B" w:rsidRPr="004C570C">
        <w:rPr>
          <w:rFonts w:ascii="Times New Roman" w:hAnsi="Times New Roman" w:cs="Times New Roman"/>
          <w:sz w:val="24"/>
          <w:szCs w:val="24"/>
        </w:rPr>
        <w:t>формування</w:t>
      </w:r>
      <w:r w:rsidR="00AC7DA4" w:rsidRPr="004C570C">
        <w:rPr>
          <w:rFonts w:ascii="Times New Roman" w:hAnsi="Times New Roman" w:cs="Times New Roman"/>
          <w:sz w:val="24"/>
          <w:szCs w:val="24"/>
        </w:rPr>
        <w:t xml:space="preserve"> і перебіг яких відбувається з порушеннями</w:t>
      </w:r>
      <w:proofErr w:type="gramEnd"/>
      <w:r w:rsidR="00AC7DA4" w:rsidRPr="004C570C">
        <w:rPr>
          <w:rFonts w:ascii="Times New Roman" w:hAnsi="Times New Roman" w:cs="Times New Roman"/>
          <w:sz w:val="24"/>
          <w:szCs w:val="24"/>
        </w:rPr>
        <w:t xml:space="preserve"> кальціє</w:t>
      </w:r>
      <w:proofErr w:type="gramStart"/>
      <w:r w:rsidR="00AC7DA4" w:rsidRPr="004C570C">
        <w:rPr>
          <w:rFonts w:ascii="Times New Roman" w:hAnsi="Times New Roman" w:cs="Times New Roman"/>
          <w:sz w:val="24"/>
          <w:szCs w:val="24"/>
        </w:rPr>
        <w:t>во-фосфорного</w:t>
      </w:r>
      <w:proofErr w:type="gramEnd"/>
      <w:r w:rsidR="00AC7DA4" w:rsidRPr="004C570C">
        <w:rPr>
          <w:rFonts w:ascii="Times New Roman" w:hAnsi="Times New Roman" w:cs="Times New Roman"/>
          <w:sz w:val="24"/>
          <w:szCs w:val="24"/>
        </w:rPr>
        <w:t xml:space="preserve"> обміну. </w:t>
      </w:r>
      <w:r w:rsidR="0004713E" w:rsidRPr="004C570C">
        <w:rPr>
          <w:rFonts w:ascii="Times New Roman" w:hAnsi="Times New Roman" w:cs="Times New Roman"/>
          <w:sz w:val="24"/>
          <w:szCs w:val="24"/>
        </w:rPr>
        <w:t>В</w:t>
      </w:r>
      <w:r w:rsidR="00AC7DA4" w:rsidRPr="004C570C">
        <w:rPr>
          <w:rFonts w:ascii="Times New Roman" w:hAnsi="Times New Roman" w:cs="Times New Roman"/>
          <w:sz w:val="24"/>
          <w:szCs w:val="24"/>
        </w:rPr>
        <w:t xml:space="preserve">иділено понад 150  хронічних неінфекційних захворювань внутрішніх органів, </w:t>
      </w:r>
      <w:r w:rsidR="00665EBF" w:rsidRPr="004C570C">
        <w:rPr>
          <w:rFonts w:ascii="Times New Roman" w:hAnsi="Times New Roman" w:cs="Times New Roman"/>
          <w:sz w:val="24"/>
          <w:szCs w:val="24"/>
        </w:rPr>
        <w:t>які в той, чи іншій мі</w:t>
      </w:r>
      <w:proofErr w:type="gramStart"/>
      <w:r w:rsidR="00665EBF" w:rsidRPr="004C57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65EBF" w:rsidRPr="004C570C">
        <w:rPr>
          <w:rFonts w:ascii="Times New Roman" w:hAnsi="Times New Roman" w:cs="Times New Roman"/>
          <w:sz w:val="24"/>
          <w:szCs w:val="24"/>
        </w:rPr>
        <w:t>і пов</w:t>
      </w:r>
      <w:r w:rsidR="00C5650E" w:rsidRPr="004C570C">
        <w:rPr>
          <w:rFonts w:ascii="Times New Roman" w:hAnsi="Times New Roman" w:cs="Times New Roman"/>
          <w:sz w:val="24"/>
          <w:szCs w:val="24"/>
        </w:rPr>
        <w:t>’</w:t>
      </w:r>
      <w:r w:rsidR="00665EBF" w:rsidRPr="004C570C">
        <w:rPr>
          <w:rFonts w:ascii="Times New Roman" w:hAnsi="Times New Roman" w:cs="Times New Roman"/>
          <w:sz w:val="24"/>
          <w:szCs w:val="24"/>
        </w:rPr>
        <w:t>язані з участю іонів кальцію в пере</w:t>
      </w:r>
      <w:r w:rsidR="00D515E5" w:rsidRPr="004C570C">
        <w:rPr>
          <w:rFonts w:ascii="Times New Roman" w:hAnsi="Times New Roman" w:cs="Times New Roman"/>
          <w:sz w:val="24"/>
          <w:szCs w:val="24"/>
        </w:rPr>
        <w:t>б</w:t>
      </w:r>
      <w:r w:rsidR="00665EBF" w:rsidRPr="004C570C">
        <w:rPr>
          <w:rFonts w:ascii="Times New Roman" w:hAnsi="Times New Roman" w:cs="Times New Roman"/>
          <w:sz w:val="24"/>
          <w:szCs w:val="24"/>
        </w:rPr>
        <w:t>і</w:t>
      </w:r>
      <w:r w:rsidR="0004713E" w:rsidRPr="004C570C">
        <w:rPr>
          <w:rFonts w:ascii="Times New Roman" w:hAnsi="Times New Roman" w:cs="Times New Roman"/>
          <w:sz w:val="24"/>
          <w:szCs w:val="24"/>
        </w:rPr>
        <w:t>гу</w:t>
      </w:r>
      <w:r w:rsidR="00665EBF" w:rsidRPr="004C570C">
        <w:rPr>
          <w:rFonts w:ascii="Times New Roman" w:hAnsi="Times New Roman" w:cs="Times New Roman"/>
          <w:sz w:val="24"/>
          <w:szCs w:val="24"/>
        </w:rPr>
        <w:t xml:space="preserve"> означених нозологічних форм </w:t>
      </w:r>
      <w:r w:rsidR="003A39AF" w:rsidRPr="004C570C">
        <w:rPr>
          <w:rFonts w:ascii="Times New Roman" w:hAnsi="Times New Roman" w:cs="Times New Roman"/>
          <w:sz w:val="24"/>
          <w:szCs w:val="24"/>
        </w:rPr>
        <w:t>[1]</w:t>
      </w:r>
      <w:r w:rsidR="00665EBF" w:rsidRPr="004C570C">
        <w:rPr>
          <w:rFonts w:ascii="Times New Roman" w:hAnsi="Times New Roman" w:cs="Times New Roman"/>
          <w:sz w:val="24"/>
          <w:szCs w:val="24"/>
        </w:rPr>
        <w:t xml:space="preserve">. Тобто, ці хвороби  є потенційно небезпечними для формування вторинного </w:t>
      </w:r>
      <w:r w:rsidR="00866F84" w:rsidRPr="004C570C">
        <w:rPr>
          <w:rFonts w:ascii="Times New Roman" w:hAnsi="Times New Roman" w:cs="Times New Roman"/>
          <w:sz w:val="24"/>
          <w:szCs w:val="24"/>
        </w:rPr>
        <w:t>ОП</w:t>
      </w:r>
      <w:r w:rsidR="00665EBF" w:rsidRPr="004C570C">
        <w:rPr>
          <w:rFonts w:ascii="Times New Roman" w:hAnsi="Times New Roman" w:cs="Times New Roman"/>
          <w:sz w:val="24"/>
          <w:szCs w:val="24"/>
        </w:rPr>
        <w:t>.</w:t>
      </w:r>
      <w:r w:rsidR="00C5650E" w:rsidRPr="004C570C">
        <w:rPr>
          <w:rFonts w:ascii="Times New Roman" w:hAnsi="Times New Roman" w:cs="Times New Roman"/>
          <w:sz w:val="24"/>
          <w:szCs w:val="24"/>
        </w:rPr>
        <w:t xml:space="preserve"> Серед </w:t>
      </w:r>
      <w:proofErr w:type="gramStart"/>
      <w:r w:rsidR="00C5650E" w:rsidRPr="004C570C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C5650E" w:rsidRPr="004C570C">
        <w:rPr>
          <w:rFonts w:ascii="Times New Roman" w:hAnsi="Times New Roman" w:cs="Times New Roman"/>
          <w:sz w:val="24"/>
          <w:szCs w:val="24"/>
        </w:rPr>
        <w:t xml:space="preserve"> захворювань розглядають цукровий діабет,</w:t>
      </w:r>
      <w:r w:rsidR="00A11EB9" w:rsidRPr="004C570C">
        <w:rPr>
          <w:rFonts w:ascii="Times New Roman" w:hAnsi="Times New Roman" w:cs="Times New Roman"/>
          <w:sz w:val="24"/>
          <w:szCs w:val="24"/>
        </w:rPr>
        <w:t xml:space="preserve"> гіпертонічну хворобу, захворювання</w:t>
      </w:r>
      <w:r w:rsidR="00C5650E" w:rsidRPr="004C570C">
        <w:rPr>
          <w:rFonts w:ascii="Times New Roman" w:hAnsi="Times New Roman" w:cs="Times New Roman"/>
          <w:sz w:val="24"/>
          <w:szCs w:val="24"/>
        </w:rPr>
        <w:t xml:space="preserve"> травного тракту (хронічний панкреатит, хворобу Крона та неспецифічний виразковий коліт), ревматоїдний артрит тощо.</w:t>
      </w:r>
    </w:p>
    <w:p w:rsidR="00C5650E" w:rsidRPr="004C570C" w:rsidRDefault="00C5650E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70C">
        <w:rPr>
          <w:rFonts w:ascii="Times New Roman" w:hAnsi="Times New Roman" w:cs="Times New Roman"/>
          <w:sz w:val="24"/>
          <w:szCs w:val="24"/>
        </w:rPr>
        <w:lastRenderedPageBreak/>
        <w:t xml:space="preserve">На теперішній час </w:t>
      </w:r>
      <w:r w:rsidR="00C26B3E" w:rsidRPr="004C570C">
        <w:rPr>
          <w:rFonts w:ascii="Times New Roman" w:hAnsi="Times New Roman" w:cs="Times New Roman"/>
          <w:sz w:val="24"/>
          <w:szCs w:val="24"/>
        </w:rPr>
        <w:t>є</w:t>
      </w:r>
      <w:r w:rsidRPr="004C570C">
        <w:rPr>
          <w:rFonts w:ascii="Times New Roman" w:hAnsi="Times New Roman" w:cs="Times New Roman"/>
          <w:sz w:val="24"/>
          <w:szCs w:val="24"/>
        </w:rPr>
        <w:t xml:space="preserve"> багато наукових праць, в яких визначається роль ожиріння </w:t>
      </w:r>
      <w:r w:rsidR="00FF6947" w:rsidRPr="004C5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947" w:rsidRPr="004C570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FF6947" w:rsidRPr="004C570C">
        <w:rPr>
          <w:rFonts w:ascii="Times New Roman" w:hAnsi="Times New Roman" w:cs="Times New Roman"/>
          <w:sz w:val="24"/>
          <w:szCs w:val="24"/>
        </w:rPr>
        <w:t xml:space="preserve"> </w:t>
      </w:r>
      <w:r w:rsidRPr="004C570C">
        <w:rPr>
          <w:rFonts w:ascii="Times New Roman" w:hAnsi="Times New Roman" w:cs="Times New Roman"/>
          <w:sz w:val="24"/>
          <w:szCs w:val="24"/>
        </w:rPr>
        <w:t xml:space="preserve"> </w:t>
      </w:r>
      <w:r w:rsidR="00FF6947" w:rsidRPr="004C570C">
        <w:rPr>
          <w:rFonts w:ascii="Times New Roman" w:hAnsi="Times New Roman" w:cs="Times New Roman"/>
          <w:sz w:val="24"/>
          <w:szCs w:val="24"/>
        </w:rPr>
        <w:t xml:space="preserve">поєднанні </w:t>
      </w:r>
      <w:r w:rsidRPr="004C570C">
        <w:rPr>
          <w:rFonts w:ascii="Times New Roman" w:hAnsi="Times New Roman" w:cs="Times New Roman"/>
          <w:sz w:val="24"/>
          <w:szCs w:val="24"/>
        </w:rPr>
        <w:t xml:space="preserve">з іншими захворюваннями внутрішніх органів </w:t>
      </w:r>
      <w:r w:rsidR="00282FA7" w:rsidRPr="004C570C">
        <w:rPr>
          <w:rFonts w:ascii="Times New Roman" w:hAnsi="Times New Roman" w:cs="Times New Roman"/>
          <w:sz w:val="24"/>
          <w:szCs w:val="24"/>
        </w:rPr>
        <w:t>[2]</w:t>
      </w:r>
      <w:r w:rsidRPr="004C570C">
        <w:rPr>
          <w:rFonts w:ascii="Times New Roman" w:hAnsi="Times New Roman" w:cs="Times New Roman"/>
          <w:sz w:val="24"/>
          <w:szCs w:val="24"/>
        </w:rPr>
        <w:t xml:space="preserve">. Така увага до надлишкової ваги та ожиріння обумовлена збільшенням кількості населення в усьому </w:t>
      </w:r>
      <w:proofErr w:type="gramStart"/>
      <w:r w:rsidRPr="004C570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C570C">
        <w:rPr>
          <w:rFonts w:ascii="Times New Roman" w:hAnsi="Times New Roman" w:cs="Times New Roman"/>
          <w:sz w:val="24"/>
          <w:szCs w:val="24"/>
        </w:rPr>
        <w:t>іті з означеними  негараздами та тим впливом ожиріння, що констатується при багатьох коморбідних стан</w:t>
      </w:r>
      <w:r w:rsidR="00D515E5" w:rsidRPr="004C570C">
        <w:rPr>
          <w:rFonts w:ascii="Times New Roman" w:hAnsi="Times New Roman" w:cs="Times New Roman"/>
          <w:sz w:val="24"/>
          <w:szCs w:val="24"/>
        </w:rPr>
        <w:t>ах</w:t>
      </w:r>
      <w:r w:rsidRPr="004C570C">
        <w:rPr>
          <w:rFonts w:ascii="Times New Roman" w:hAnsi="Times New Roman" w:cs="Times New Roman"/>
          <w:sz w:val="24"/>
          <w:szCs w:val="24"/>
        </w:rPr>
        <w:t xml:space="preserve">. Однак, </w:t>
      </w:r>
      <w:proofErr w:type="gramStart"/>
      <w:r w:rsidRPr="004C570C">
        <w:rPr>
          <w:rFonts w:ascii="Times New Roman" w:hAnsi="Times New Roman" w:cs="Times New Roman"/>
          <w:sz w:val="24"/>
          <w:szCs w:val="24"/>
        </w:rPr>
        <w:t>не</w:t>
      </w:r>
      <w:r w:rsidR="00D515E5" w:rsidRPr="004C570C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="00D515E5" w:rsidRPr="004C570C">
        <w:rPr>
          <w:rFonts w:ascii="Times New Roman" w:hAnsi="Times New Roman" w:cs="Times New Roman"/>
          <w:sz w:val="24"/>
          <w:szCs w:val="24"/>
        </w:rPr>
        <w:t>є</w:t>
      </w:r>
      <w:r w:rsidRPr="004C570C">
        <w:rPr>
          <w:rFonts w:ascii="Times New Roman" w:hAnsi="Times New Roman" w:cs="Times New Roman"/>
          <w:sz w:val="24"/>
          <w:szCs w:val="24"/>
        </w:rPr>
        <w:t xml:space="preserve"> однозначної думки щодо впливу ожиріння на формування вторинного </w:t>
      </w:r>
      <w:r w:rsidR="00866F84" w:rsidRPr="004C570C">
        <w:rPr>
          <w:rFonts w:ascii="Times New Roman" w:hAnsi="Times New Roman" w:cs="Times New Roman"/>
          <w:sz w:val="24"/>
          <w:szCs w:val="24"/>
        </w:rPr>
        <w:t>ОП</w:t>
      </w:r>
      <w:r w:rsidRPr="004C570C">
        <w:rPr>
          <w:rFonts w:ascii="Times New Roman" w:hAnsi="Times New Roman" w:cs="Times New Roman"/>
          <w:sz w:val="24"/>
          <w:szCs w:val="24"/>
        </w:rPr>
        <w:t>.</w:t>
      </w:r>
      <w:r w:rsidR="00282FA7" w:rsidRPr="004C5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2FA7" w:rsidRPr="004C570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82FA7" w:rsidRPr="004C570C">
        <w:rPr>
          <w:rFonts w:ascii="Times New Roman" w:hAnsi="Times New Roman" w:cs="Times New Roman"/>
          <w:sz w:val="24"/>
          <w:szCs w:val="24"/>
        </w:rPr>
        <w:t xml:space="preserve"> одного боку є припущення, що</w:t>
      </w:r>
      <w:r w:rsidRPr="004C570C">
        <w:rPr>
          <w:rFonts w:ascii="Times New Roman" w:hAnsi="Times New Roman" w:cs="Times New Roman"/>
          <w:sz w:val="24"/>
          <w:szCs w:val="24"/>
        </w:rPr>
        <w:t xml:space="preserve"> надлишкова вага на початкових етапах її накопичення захищає  організм від формування ОП, але </w:t>
      </w:r>
      <w:r w:rsidR="00D515E5" w:rsidRPr="004C570C">
        <w:rPr>
          <w:rFonts w:ascii="Times New Roman" w:hAnsi="Times New Roman" w:cs="Times New Roman"/>
          <w:sz w:val="24"/>
          <w:szCs w:val="24"/>
        </w:rPr>
        <w:t>при</w:t>
      </w:r>
      <w:r w:rsidRPr="004C570C">
        <w:rPr>
          <w:rFonts w:ascii="Times New Roman" w:hAnsi="Times New Roman" w:cs="Times New Roman"/>
          <w:sz w:val="24"/>
          <w:szCs w:val="24"/>
        </w:rPr>
        <w:t xml:space="preserve"> ожирінн</w:t>
      </w:r>
      <w:r w:rsidR="00D515E5" w:rsidRPr="004C570C">
        <w:rPr>
          <w:rFonts w:ascii="Times New Roman" w:hAnsi="Times New Roman" w:cs="Times New Roman"/>
          <w:sz w:val="24"/>
          <w:szCs w:val="24"/>
        </w:rPr>
        <w:t>і</w:t>
      </w:r>
      <w:r w:rsidRPr="004C570C">
        <w:rPr>
          <w:rFonts w:ascii="Times New Roman" w:hAnsi="Times New Roman" w:cs="Times New Roman"/>
          <w:sz w:val="24"/>
          <w:szCs w:val="24"/>
        </w:rPr>
        <w:t xml:space="preserve"> </w:t>
      </w:r>
      <w:r w:rsidR="00D515E5" w:rsidRPr="004C570C">
        <w:rPr>
          <w:rFonts w:ascii="Times New Roman" w:hAnsi="Times New Roman" w:cs="Times New Roman"/>
          <w:sz w:val="24"/>
          <w:szCs w:val="24"/>
        </w:rPr>
        <w:t xml:space="preserve">3 стадії її </w:t>
      </w:r>
      <w:r w:rsidRPr="004C570C">
        <w:rPr>
          <w:rFonts w:ascii="Times New Roman" w:hAnsi="Times New Roman" w:cs="Times New Roman"/>
          <w:sz w:val="24"/>
          <w:szCs w:val="24"/>
        </w:rPr>
        <w:t>розглядають як фактор, що сприяє його формуванню</w:t>
      </w:r>
      <w:r w:rsidR="00BC7CCB" w:rsidRPr="004C570C">
        <w:rPr>
          <w:rFonts w:ascii="Times New Roman" w:hAnsi="Times New Roman" w:cs="Times New Roman"/>
          <w:sz w:val="24"/>
          <w:szCs w:val="24"/>
        </w:rPr>
        <w:t xml:space="preserve"> </w:t>
      </w:r>
      <w:r w:rsidR="001A3F2A" w:rsidRPr="004C570C">
        <w:rPr>
          <w:rFonts w:ascii="Times New Roman" w:hAnsi="Times New Roman" w:cs="Times New Roman"/>
          <w:sz w:val="24"/>
          <w:szCs w:val="24"/>
        </w:rPr>
        <w:t>[3]</w:t>
      </w:r>
      <w:r w:rsidRPr="004C570C">
        <w:rPr>
          <w:rFonts w:ascii="Times New Roman" w:hAnsi="Times New Roman" w:cs="Times New Roman"/>
          <w:sz w:val="24"/>
          <w:szCs w:val="24"/>
        </w:rPr>
        <w:t xml:space="preserve">. В той же час, не тільки ожиріння слід розглядати як можливий </w:t>
      </w:r>
      <w:r w:rsidR="00D515E5" w:rsidRPr="004C570C">
        <w:rPr>
          <w:rFonts w:ascii="Times New Roman" w:hAnsi="Times New Roman" w:cs="Times New Roman"/>
          <w:sz w:val="24"/>
          <w:szCs w:val="24"/>
        </w:rPr>
        <w:t>«</w:t>
      </w:r>
      <w:r w:rsidRPr="004C570C">
        <w:rPr>
          <w:rFonts w:ascii="Times New Roman" w:hAnsi="Times New Roman" w:cs="Times New Roman"/>
          <w:sz w:val="24"/>
          <w:szCs w:val="24"/>
        </w:rPr>
        <w:t>гарант</w:t>
      </w:r>
      <w:r w:rsidR="00D515E5" w:rsidRPr="004C570C">
        <w:rPr>
          <w:rFonts w:ascii="Times New Roman" w:hAnsi="Times New Roman" w:cs="Times New Roman"/>
          <w:sz w:val="24"/>
          <w:szCs w:val="24"/>
        </w:rPr>
        <w:t>»</w:t>
      </w:r>
      <w:r w:rsidRPr="004C570C">
        <w:rPr>
          <w:rFonts w:ascii="Times New Roman" w:hAnsi="Times New Roman" w:cs="Times New Roman"/>
          <w:sz w:val="24"/>
          <w:szCs w:val="24"/>
        </w:rPr>
        <w:t xml:space="preserve"> або предиктор формування остеопенічних станів. Слід розрізняти вплив </w:t>
      </w:r>
      <w:proofErr w:type="gramStart"/>
      <w:r w:rsidRPr="004C570C">
        <w:rPr>
          <w:rFonts w:ascii="Times New Roman" w:hAnsi="Times New Roman" w:cs="Times New Roman"/>
          <w:sz w:val="24"/>
          <w:szCs w:val="24"/>
        </w:rPr>
        <w:t xml:space="preserve">його </w:t>
      </w:r>
      <w:r w:rsidR="006F0F6F" w:rsidRPr="004C57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F0F6F" w:rsidRPr="004C570C">
        <w:rPr>
          <w:rFonts w:ascii="Times New Roman" w:hAnsi="Times New Roman" w:cs="Times New Roman"/>
          <w:sz w:val="24"/>
          <w:szCs w:val="24"/>
        </w:rPr>
        <w:t xml:space="preserve"> залежності від захворювання, що з ним поєднується.</w:t>
      </w:r>
    </w:p>
    <w:p w:rsidR="00B56BC3" w:rsidRPr="004C570C" w:rsidRDefault="006F0F6F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70C">
        <w:rPr>
          <w:rFonts w:ascii="Times New Roman" w:hAnsi="Times New Roman" w:cs="Times New Roman"/>
          <w:sz w:val="24"/>
          <w:szCs w:val="24"/>
        </w:rPr>
        <w:t xml:space="preserve">Низкою </w:t>
      </w:r>
      <w:proofErr w:type="gramStart"/>
      <w:r w:rsidRPr="004C570C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C570C">
        <w:rPr>
          <w:rFonts w:ascii="Times New Roman" w:hAnsi="Times New Roman" w:cs="Times New Roman"/>
          <w:sz w:val="24"/>
          <w:szCs w:val="24"/>
        </w:rPr>
        <w:t xml:space="preserve">ідників </w:t>
      </w:r>
      <w:r w:rsidR="00D515E5" w:rsidRPr="004C570C">
        <w:rPr>
          <w:rFonts w:ascii="Times New Roman" w:hAnsi="Times New Roman" w:cs="Times New Roman"/>
          <w:sz w:val="24"/>
          <w:szCs w:val="24"/>
        </w:rPr>
        <w:t>встановлено</w:t>
      </w:r>
      <w:r w:rsidRPr="004C570C">
        <w:rPr>
          <w:rFonts w:ascii="Times New Roman" w:hAnsi="Times New Roman" w:cs="Times New Roman"/>
          <w:sz w:val="24"/>
          <w:szCs w:val="24"/>
        </w:rPr>
        <w:t xml:space="preserve">, що при наявності остеартрозу (ОА) ураження кісткової тканини не обмежується тільки хрящовою </w:t>
      </w:r>
      <w:r w:rsidR="00B56BC3" w:rsidRPr="004C570C">
        <w:rPr>
          <w:rFonts w:ascii="Times New Roman" w:hAnsi="Times New Roman" w:cs="Times New Roman"/>
          <w:sz w:val="24"/>
          <w:szCs w:val="24"/>
        </w:rPr>
        <w:t>поверхнею</w:t>
      </w:r>
      <w:r w:rsidRPr="004C570C">
        <w:rPr>
          <w:rFonts w:ascii="Times New Roman" w:hAnsi="Times New Roman" w:cs="Times New Roman"/>
          <w:sz w:val="24"/>
          <w:szCs w:val="24"/>
        </w:rPr>
        <w:t xml:space="preserve"> суглоба та його складовими, а одночасно відбувається перебудова та зменшення мінеральної щільності кісткової тканини (МЩКТ) </w:t>
      </w:r>
      <w:r w:rsidR="000673D2" w:rsidRPr="004C570C">
        <w:rPr>
          <w:rFonts w:ascii="Times New Roman" w:hAnsi="Times New Roman" w:cs="Times New Roman"/>
          <w:sz w:val="24"/>
          <w:szCs w:val="24"/>
        </w:rPr>
        <w:t>[4]</w:t>
      </w:r>
      <w:r w:rsidRPr="004C570C">
        <w:rPr>
          <w:rFonts w:ascii="Times New Roman" w:hAnsi="Times New Roman" w:cs="Times New Roman"/>
          <w:sz w:val="24"/>
          <w:szCs w:val="24"/>
        </w:rPr>
        <w:t>. Такі зміни можуть виникати  навіть у молодому віці, що пов’язують з генетичною схильністю до таких ускладнень.</w:t>
      </w:r>
      <w:r w:rsidR="00C26B3E" w:rsidRPr="004C5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F6F" w:rsidRPr="004C570C" w:rsidRDefault="0004713E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70C">
        <w:rPr>
          <w:rFonts w:ascii="Times New Roman" w:hAnsi="Times New Roman" w:cs="Times New Roman"/>
          <w:sz w:val="24"/>
          <w:szCs w:val="24"/>
        </w:rPr>
        <w:t>Встановлено</w:t>
      </w:r>
      <w:r w:rsidR="00C26B3E" w:rsidRPr="004C570C">
        <w:rPr>
          <w:rFonts w:ascii="Times New Roman" w:hAnsi="Times New Roman" w:cs="Times New Roman"/>
          <w:sz w:val="24"/>
          <w:szCs w:val="24"/>
        </w:rPr>
        <w:t xml:space="preserve"> 9 генів-кандидатів, поліморфізм яких може </w:t>
      </w:r>
      <w:r w:rsidRPr="004C570C">
        <w:rPr>
          <w:rFonts w:ascii="Times New Roman" w:hAnsi="Times New Roman" w:cs="Times New Roman"/>
          <w:sz w:val="24"/>
          <w:szCs w:val="24"/>
        </w:rPr>
        <w:t>сприяти ранньому</w:t>
      </w:r>
      <w:r w:rsidR="00C26B3E" w:rsidRPr="004C570C">
        <w:rPr>
          <w:rFonts w:ascii="Times New Roman" w:hAnsi="Times New Roman" w:cs="Times New Roman"/>
          <w:sz w:val="24"/>
          <w:szCs w:val="24"/>
        </w:rPr>
        <w:t xml:space="preserve"> </w:t>
      </w:r>
      <w:r w:rsidRPr="004C570C">
        <w:rPr>
          <w:rFonts w:ascii="Times New Roman" w:hAnsi="Times New Roman" w:cs="Times New Roman"/>
          <w:sz w:val="24"/>
          <w:szCs w:val="24"/>
        </w:rPr>
        <w:t xml:space="preserve">формуванню вторинного </w:t>
      </w:r>
      <w:r w:rsidR="00C26B3E" w:rsidRPr="004C570C">
        <w:rPr>
          <w:rFonts w:ascii="Times New Roman" w:hAnsi="Times New Roman" w:cs="Times New Roman"/>
          <w:sz w:val="24"/>
          <w:szCs w:val="24"/>
        </w:rPr>
        <w:t xml:space="preserve"> остеопорозу</w:t>
      </w:r>
      <w:r w:rsidR="00B56BC3" w:rsidRPr="004C570C">
        <w:rPr>
          <w:rFonts w:ascii="Times New Roman" w:hAnsi="Times New Roman" w:cs="Times New Roman"/>
          <w:sz w:val="24"/>
          <w:szCs w:val="24"/>
        </w:rPr>
        <w:t xml:space="preserve">, серед яких одне з </w:t>
      </w:r>
      <w:proofErr w:type="gramStart"/>
      <w:r w:rsidR="00B56BC3" w:rsidRPr="004C570C">
        <w:rPr>
          <w:rFonts w:ascii="Times New Roman" w:hAnsi="Times New Roman" w:cs="Times New Roman"/>
          <w:sz w:val="24"/>
          <w:szCs w:val="24"/>
        </w:rPr>
        <w:t>пров</w:t>
      </w:r>
      <w:proofErr w:type="gramEnd"/>
      <w:r w:rsidR="00B56BC3" w:rsidRPr="004C570C">
        <w:rPr>
          <w:rFonts w:ascii="Times New Roman" w:hAnsi="Times New Roman" w:cs="Times New Roman"/>
          <w:sz w:val="24"/>
          <w:szCs w:val="24"/>
        </w:rPr>
        <w:t xml:space="preserve">ідних місць належить </w:t>
      </w:r>
      <w:r w:rsidR="00B63139" w:rsidRPr="004C570C">
        <w:rPr>
          <w:rStyle w:val="normaltextrunscx133561867"/>
          <w:rFonts w:ascii="Times New Roman" w:hAnsi="Times New Roman"/>
          <w:sz w:val="24"/>
          <w:szCs w:val="24"/>
        </w:rPr>
        <w:t xml:space="preserve">мутації </w:t>
      </w:r>
      <w:r w:rsidR="00B63139" w:rsidRPr="004C5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</w:t>
      </w:r>
      <w:r w:rsidR="00B63139" w:rsidRPr="004C5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63980</w:t>
      </w:r>
      <w:r w:rsidR="00B63139" w:rsidRPr="004C5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B63139" w:rsidRPr="004C570C">
        <w:rPr>
          <w:rStyle w:val="normaltextrunscx133561867"/>
          <w:rFonts w:ascii="Times New Roman" w:hAnsi="Times New Roman"/>
          <w:sz w:val="24"/>
          <w:szCs w:val="24"/>
        </w:rPr>
        <w:t xml:space="preserve"> гену рецептора вітаміну D </w:t>
      </w:r>
      <w:r w:rsidR="00B63139" w:rsidRPr="004C570C">
        <w:rPr>
          <w:rStyle w:val="normaltextrunscx133561867"/>
          <w:rFonts w:ascii="Times New Roman" w:hAnsi="Times New Roman"/>
          <w:i/>
          <w:sz w:val="24"/>
          <w:szCs w:val="24"/>
        </w:rPr>
        <w:t>(VDR</w:t>
      </w:r>
      <w:r w:rsidR="00B63139" w:rsidRPr="004C570C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B56BC3" w:rsidRPr="004C570C">
        <w:rPr>
          <w:rFonts w:ascii="Times New Roman" w:hAnsi="Times New Roman" w:cs="Times New Roman"/>
          <w:sz w:val="24"/>
          <w:szCs w:val="24"/>
        </w:rPr>
        <w:t xml:space="preserve"> [</w:t>
      </w:r>
      <w:r w:rsidR="000673D2" w:rsidRPr="004C570C">
        <w:rPr>
          <w:rFonts w:ascii="Times New Roman" w:hAnsi="Times New Roman" w:cs="Times New Roman"/>
          <w:sz w:val="24"/>
          <w:szCs w:val="24"/>
        </w:rPr>
        <w:t>5</w:t>
      </w:r>
      <w:r w:rsidR="00B56BC3" w:rsidRPr="004C570C">
        <w:rPr>
          <w:rFonts w:ascii="Times New Roman" w:hAnsi="Times New Roman" w:cs="Times New Roman"/>
          <w:sz w:val="24"/>
          <w:szCs w:val="24"/>
        </w:rPr>
        <w:t>]</w:t>
      </w:r>
      <w:r w:rsidR="00C26B3E" w:rsidRPr="004C570C">
        <w:rPr>
          <w:rFonts w:ascii="Times New Roman" w:hAnsi="Times New Roman" w:cs="Times New Roman"/>
          <w:sz w:val="24"/>
          <w:szCs w:val="24"/>
        </w:rPr>
        <w:t>.</w:t>
      </w:r>
      <w:r w:rsidR="000A73C8" w:rsidRPr="004C570C">
        <w:rPr>
          <w:rFonts w:ascii="Times New Roman" w:hAnsi="Times New Roman" w:cs="Times New Roman"/>
          <w:sz w:val="24"/>
          <w:szCs w:val="24"/>
        </w:rPr>
        <w:t xml:space="preserve"> </w:t>
      </w:r>
      <w:r w:rsidRPr="004C570C">
        <w:rPr>
          <w:rFonts w:ascii="Times New Roman" w:hAnsi="Times New Roman" w:cs="Times New Roman"/>
          <w:sz w:val="24"/>
          <w:szCs w:val="24"/>
        </w:rPr>
        <w:t>Доведено</w:t>
      </w:r>
      <w:r w:rsidR="000A73C8" w:rsidRPr="004C570C">
        <w:rPr>
          <w:rFonts w:ascii="Times New Roman" w:hAnsi="Times New Roman" w:cs="Times New Roman"/>
          <w:sz w:val="24"/>
          <w:szCs w:val="24"/>
        </w:rPr>
        <w:t>, що зміна поліморфізму гена з переважанням мінорного алелю</w:t>
      </w:r>
      <w:proofErr w:type="gramStart"/>
      <w:r w:rsidR="000A73C8" w:rsidRPr="004C570C">
        <w:rPr>
          <w:rFonts w:ascii="Times New Roman" w:hAnsi="Times New Roman" w:cs="Times New Roman"/>
          <w:sz w:val="24"/>
          <w:szCs w:val="24"/>
        </w:rPr>
        <w:t xml:space="preserve"> </w:t>
      </w:r>
      <w:r w:rsidR="00BC7CCB" w:rsidRPr="004C57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A73C8" w:rsidRPr="004C570C">
        <w:rPr>
          <w:rFonts w:ascii="Times New Roman" w:hAnsi="Times New Roman" w:cs="Times New Roman"/>
          <w:sz w:val="24"/>
          <w:szCs w:val="24"/>
        </w:rPr>
        <w:t xml:space="preserve"> є можливим фактором, що набуває своєї чинності при певних клінічних обставинах </w:t>
      </w:r>
      <w:r w:rsidR="00B63139" w:rsidRPr="004C570C">
        <w:rPr>
          <w:rFonts w:ascii="Times New Roman" w:hAnsi="Times New Roman" w:cs="Times New Roman"/>
          <w:sz w:val="24"/>
          <w:szCs w:val="24"/>
        </w:rPr>
        <w:t>[6]</w:t>
      </w:r>
      <w:r w:rsidR="000A73C8" w:rsidRPr="004C570C">
        <w:rPr>
          <w:rFonts w:ascii="Times New Roman" w:hAnsi="Times New Roman" w:cs="Times New Roman"/>
          <w:sz w:val="24"/>
          <w:szCs w:val="24"/>
        </w:rPr>
        <w:t xml:space="preserve">. Тобто, формування  ряду захворювань внутрішніх органів, при яких може проявитися  несприятливий </w:t>
      </w:r>
      <w:r w:rsidR="00BC7CCB" w:rsidRPr="004C570C">
        <w:rPr>
          <w:rFonts w:ascii="Times New Roman" w:hAnsi="Times New Roman" w:cs="Times New Roman"/>
          <w:sz w:val="24"/>
          <w:szCs w:val="24"/>
        </w:rPr>
        <w:t xml:space="preserve">алель </w:t>
      </w:r>
      <w:r w:rsidR="000A73C8" w:rsidRPr="004C570C">
        <w:rPr>
          <w:rFonts w:ascii="Times New Roman" w:hAnsi="Times New Roman" w:cs="Times New Roman"/>
          <w:sz w:val="24"/>
          <w:szCs w:val="24"/>
        </w:rPr>
        <w:t xml:space="preserve">гену рецепторів </w:t>
      </w:r>
      <w:proofErr w:type="gramStart"/>
      <w:r w:rsidR="000A73C8" w:rsidRPr="004C57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A73C8" w:rsidRPr="004C570C">
        <w:rPr>
          <w:rFonts w:ascii="Times New Roman" w:hAnsi="Times New Roman" w:cs="Times New Roman"/>
          <w:sz w:val="24"/>
          <w:szCs w:val="24"/>
        </w:rPr>
        <w:t xml:space="preserve">ітаміну </w:t>
      </w:r>
      <w:r w:rsidR="00BC7CCB" w:rsidRPr="004C570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76DC0" w:rsidRPr="004C570C">
        <w:rPr>
          <w:rFonts w:ascii="Times New Roman" w:hAnsi="Times New Roman" w:cs="Times New Roman"/>
          <w:sz w:val="24"/>
          <w:szCs w:val="24"/>
        </w:rPr>
        <w:t xml:space="preserve">, є потенційно провокаційним щодо </w:t>
      </w:r>
      <w:r w:rsidR="000A73C8" w:rsidRPr="004C570C">
        <w:rPr>
          <w:rFonts w:ascii="Times New Roman" w:hAnsi="Times New Roman" w:cs="Times New Roman"/>
          <w:sz w:val="24"/>
          <w:szCs w:val="24"/>
        </w:rPr>
        <w:t>нестач</w:t>
      </w:r>
      <w:r w:rsidR="00F76DC0" w:rsidRPr="004C570C">
        <w:rPr>
          <w:rFonts w:ascii="Times New Roman" w:hAnsi="Times New Roman" w:cs="Times New Roman"/>
          <w:sz w:val="24"/>
          <w:szCs w:val="24"/>
        </w:rPr>
        <w:t>і</w:t>
      </w:r>
      <w:r w:rsidR="000A73C8" w:rsidRPr="004C570C">
        <w:rPr>
          <w:rFonts w:ascii="Times New Roman" w:hAnsi="Times New Roman" w:cs="Times New Roman"/>
          <w:sz w:val="24"/>
          <w:szCs w:val="24"/>
        </w:rPr>
        <w:t xml:space="preserve"> всмоктування означеного вітаміну, </w:t>
      </w:r>
      <w:r w:rsidR="00F76DC0" w:rsidRPr="004C570C">
        <w:rPr>
          <w:rFonts w:ascii="Times New Roman" w:hAnsi="Times New Roman" w:cs="Times New Roman"/>
          <w:sz w:val="24"/>
          <w:szCs w:val="24"/>
        </w:rPr>
        <w:t xml:space="preserve">тим самим </w:t>
      </w:r>
      <w:r w:rsidR="000A73C8" w:rsidRPr="004C570C">
        <w:rPr>
          <w:rFonts w:ascii="Times New Roman" w:hAnsi="Times New Roman" w:cs="Times New Roman"/>
          <w:sz w:val="24"/>
          <w:szCs w:val="24"/>
        </w:rPr>
        <w:t xml:space="preserve">може провокувати розвиток остеопенічних станів. </w:t>
      </w:r>
    </w:p>
    <w:p w:rsidR="006F0F6F" w:rsidRPr="004C570C" w:rsidRDefault="006F0F6F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70C">
        <w:rPr>
          <w:rFonts w:ascii="Times New Roman" w:hAnsi="Times New Roman" w:cs="Times New Roman"/>
          <w:b/>
          <w:sz w:val="24"/>
          <w:szCs w:val="24"/>
        </w:rPr>
        <w:t>Метою</w:t>
      </w:r>
      <w:r w:rsidRPr="004C570C">
        <w:rPr>
          <w:rFonts w:ascii="Times New Roman" w:hAnsi="Times New Roman" w:cs="Times New Roman"/>
          <w:sz w:val="24"/>
          <w:szCs w:val="24"/>
        </w:rPr>
        <w:t xml:space="preserve"> роботи було визначення впливу гормональної активності жирової тканини та </w:t>
      </w:r>
      <w:r w:rsidR="004B17F3" w:rsidRPr="004C570C">
        <w:rPr>
          <w:rFonts w:ascii="Times New Roman" w:hAnsi="Times New Roman" w:cs="Times New Roman"/>
          <w:sz w:val="24"/>
          <w:szCs w:val="24"/>
        </w:rPr>
        <w:t xml:space="preserve">поліморфізму </w:t>
      </w:r>
      <w:r w:rsidRPr="004C570C">
        <w:rPr>
          <w:rFonts w:ascii="Times New Roman" w:hAnsi="Times New Roman" w:cs="Times New Roman"/>
          <w:sz w:val="24"/>
          <w:szCs w:val="24"/>
        </w:rPr>
        <w:t>ген</w:t>
      </w:r>
      <w:r w:rsidR="004B17F3" w:rsidRPr="004C570C">
        <w:rPr>
          <w:rFonts w:ascii="Times New Roman" w:hAnsi="Times New Roman" w:cs="Times New Roman"/>
          <w:sz w:val="24"/>
          <w:szCs w:val="24"/>
        </w:rPr>
        <w:t>а</w:t>
      </w:r>
      <w:r w:rsidR="00703AE4" w:rsidRPr="004C570C">
        <w:rPr>
          <w:rFonts w:ascii="Times New Roman" w:hAnsi="Times New Roman" w:cs="Times New Roman"/>
          <w:sz w:val="24"/>
          <w:szCs w:val="24"/>
        </w:rPr>
        <w:t xml:space="preserve"> рецепторів</w:t>
      </w:r>
      <w:r w:rsidR="00734736" w:rsidRPr="004C57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57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570C">
        <w:rPr>
          <w:rFonts w:ascii="Times New Roman" w:hAnsi="Times New Roman" w:cs="Times New Roman"/>
          <w:sz w:val="24"/>
          <w:szCs w:val="24"/>
        </w:rPr>
        <w:t xml:space="preserve">ітаміну </w:t>
      </w:r>
      <w:r w:rsidRPr="004C570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570C">
        <w:rPr>
          <w:rFonts w:ascii="Times New Roman" w:hAnsi="Times New Roman" w:cs="Times New Roman"/>
          <w:sz w:val="24"/>
          <w:szCs w:val="24"/>
        </w:rPr>
        <w:t xml:space="preserve"> </w:t>
      </w:r>
      <w:r w:rsidRPr="004C570C">
        <w:rPr>
          <w:rFonts w:ascii="Times New Roman" w:hAnsi="Times New Roman" w:cs="Times New Roman"/>
          <w:i/>
          <w:sz w:val="24"/>
          <w:szCs w:val="24"/>
        </w:rPr>
        <w:t>(</w:t>
      </w:r>
      <w:r w:rsidRPr="004C570C">
        <w:rPr>
          <w:rFonts w:ascii="Times New Roman" w:hAnsi="Times New Roman" w:cs="Times New Roman"/>
          <w:i/>
          <w:sz w:val="24"/>
          <w:szCs w:val="24"/>
          <w:lang w:val="en-US"/>
        </w:rPr>
        <w:t>VDR</w:t>
      </w:r>
      <w:r w:rsidRPr="004C570C">
        <w:rPr>
          <w:rFonts w:ascii="Times New Roman" w:hAnsi="Times New Roman" w:cs="Times New Roman"/>
          <w:sz w:val="24"/>
          <w:szCs w:val="24"/>
        </w:rPr>
        <w:t>) на формування остеопенічних станів у осіб молодого віку з остеоартрозом та ожирінням.</w:t>
      </w:r>
    </w:p>
    <w:p w:rsidR="001D4612" w:rsidRPr="004C570C" w:rsidRDefault="00D648A0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70C">
        <w:rPr>
          <w:rFonts w:ascii="Times New Roman" w:hAnsi="Times New Roman" w:cs="Times New Roman"/>
          <w:b/>
          <w:sz w:val="24"/>
          <w:szCs w:val="24"/>
        </w:rPr>
        <w:t xml:space="preserve">Матеріали та методи </w:t>
      </w:r>
      <w:proofErr w:type="gramStart"/>
      <w:r w:rsidRPr="004C570C">
        <w:rPr>
          <w:rFonts w:ascii="Times New Roman" w:hAnsi="Times New Roman" w:cs="Times New Roman"/>
          <w:b/>
          <w:sz w:val="24"/>
          <w:szCs w:val="24"/>
        </w:rPr>
        <w:t>досл</w:t>
      </w:r>
      <w:proofErr w:type="gramEnd"/>
      <w:r w:rsidRPr="004C570C">
        <w:rPr>
          <w:rFonts w:ascii="Times New Roman" w:hAnsi="Times New Roman" w:cs="Times New Roman"/>
          <w:b/>
          <w:sz w:val="24"/>
          <w:szCs w:val="24"/>
        </w:rPr>
        <w:t>ідження</w:t>
      </w:r>
      <w:r w:rsidRPr="004C57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57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570C">
        <w:rPr>
          <w:rFonts w:ascii="Times New Roman" w:hAnsi="Times New Roman" w:cs="Times New Roman"/>
          <w:sz w:val="24"/>
          <w:szCs w:val="24"/>
        </w:rPr>
        <w:t xml:space="preserve">ід спостереженням знаходилося </w:t>
      </w:r>
      <w:r w:rsidR="00D004D0" w:rsidRPr="004C570C">
        <w:rPr>
          <w:rFonts w:ascii="Times New Roman" w:hAnsi="Times New Roman"/>
          <w:sz w:val="24"/>
          <w:szCs w:val="24"/>
        </w:rPr>
        <w:t>96 пацієнтів з ОА,</w:t>
      </w:r>
      <w:r w:rsidR="001D4612" w:rsidRPr="004C570C">
        <w:rPr>
          <w:rFonts w:ascii="Times New Roman" w:hAnsi="Times New Roman"/>
          <w:sz w:val="24"/>
          <w:szCs w:val="24"/>
        </w:rPr>
        <w:t xml:space="preserve"> який перебігав на тлі надлишкової ваги або ожиріння (основна група). Вік </w:t>
      </w:r>
      <w:r w:rsidR="0004713E" w:rsidRPr="004C570C">
        <w:rPr>
          <w:rFonts w:ascii="Times New Roman" w:hAnsi="Times New Roman"/>
          <w:sz w:val="24"/>
          <w:szCs w:val="24"/>
        </w:rPr>
        <w:t xml:space="preserve"> </w:t>
      </w:r>
      <w:r w:rsidR="001D4612" w:rsidRPr="004C570C">
        <w:rPr>
          <w:rFonts w:ascii="Times New Roman" w:hAnsi="Times New Roman"/>
          <w:sz w:val="24"/>
          <w:szCs w:val="24"/>
        </w:rPr>
        <w:t>хворих в середньому по групі дорівнював 35,5</w:t>
      </w:r>
      <w:r w:rsidR="001D4612" w:rsidRPr="004C570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±</w:t>
      </w:r>
      <w:r w:rsidR="001D4612" w:rsidRPr="004C570C">
        <w:rPr>
          <w:rFonts w:ascii="Times New Roman" w:hAnsi="Times New Roman"/>
          <w:sz w:val="24"/>
          <w:szCs w:val="24"/>
        </w:rPr>
        <w:t xml:space="preserve">0,9 років; серед обстежених переважали </w:t>
      </w:r>
      <w:r w:rsidR="00D004D0" w:rsidRPr="004C570C">
        <w:rPr>
          <w:rFonts w:ascii="Times New Roman" w:hAnsi="Times New Roman"/>
          <w:sz w:val="24"/>
          <w:szCs w:val="24"/>
        </w:rPr>
        <w:t>жінки (</w:t>
      </w:r>
      <w:r w:rsidR="001D4612" w:rsidRPr="004C570C">
        <w:rPr>
          <w:rFonts w:ascii="Times New Roman" w:hAnsi="Times New Roman"/>
          <w:sz w:val="24"/>
          <w:szCs w:val="24"/>
        </w:rPr>
        <w:t xml:space="preserve">72 </w:t>
      </w:r>
      <w:r w:rsidR="00B63139" w:rsidRPr="004C570C">
        <w:rPr>
          <w:rFonts w:ascii="Times New Roman" w:hAnsi="Times New Roman"/>
          <w:sz w:val="24"/>
          <w:szCs w:val="24"/>
        </w:rPr>
        <w:t>–</w:t>
      </w:r>
      <w:r w:rsidR="001D4612" w:rsidRPr="004C570C">
        <w:rPr>
          <w:rFonts w:ascii="Times New Roman" w:hAnsi="Times New Roman"/>
          <w:sz w:val="24"/>
          <w:szCs w:val="24"/>
        </w:rPr>
        <w:t xml:space="preserve"> </w:t>
      </w:r>
      <w:r w:rsidR="00D004D0" w:rsidRPr="004C570C">
        <w:rPr>
          <w:rFonts w:ascii="Times New Roman" w:hAnsi="Times New Roman"/>
          <w:sz w:val="24"/>
          <w:szCs w:val="24"/>
        </w:rPr>
        <w:t>75%)</w:t>
      </w:r>
      <w:r w:rsidR="001D4612" w:rsidRPr="004C570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D4612" w:rsidRPr="001D39EB">
        <w:rPr>
          <w:rFonts w:ascii="Times New Roman" w:hAnsi="Times New Roman"/>
          <w:sz w:val="24"/>
          <w:szCs w:val="24"/>
        </w:rPr>
        <w:t>З</w:t>
      </w:r>
      <w:proofErr w:type="gramEnd"/>
      <w:r w:rsidR="001D4612" w:rsidRPr="001D39EB">
        <w:rPr>
          <w:rFonts w:ascii="Times New Roman" w:hAnsi="Times New Roman"/>
          <w:sz w:val="24"/>
          <w:szCs w:val="24"/>
        </w:rPr>
        <w:t xml:space="preserve"> метою визначення впливу ож</w:t>
      </w:r>
      <w:r w:rsidR="001D39EB" w:rsidRPr="001D39EB">
        <w:rPr>
          <w:rFonts w:ascii="Times New Roman" w:hAnsi="Times New Roman"/>
          <w:sz w:val="24"/>
          <w:szCs w:val="24"/>
        </w:rPr>
        <w:t xml:space="preserve">иріння на перебіг ОА </w:t>
      </w:r>
      <w:r w:rsidR="001D4612" w:rsidRPr="001D39EB">
        <w:rPr>
          <w:rFonts w:ascii="Times New Roman" w:hAnsi="Times New Roman"/>
          <w:sz w:val="24"/>
          <w:szCs w:val="24"/>
        </w:rPr>
        <w:t xml:space="preserve">була виділена група порівняння  </w:t>
      </w:r>
      <w:r w:rsidR="00B63139" w:rsidRPr="001D39EB">
        <w:rPr>
          <w:rFonts w:ascii="Times New Roman" w:hAnsi="Times New Roman"/>
          <w:sz w:val="24"/>
          <w:szCs w:val="24"/>
        </w:rPr>
        <w:t>–</w:t>
      </w:r>
      <w:r w:rsidR="001D4612" w:rsidRPr="001D39EB">
        <w:rPr>
          <w:rFonts w:ascii="Times New Roman" w:hAnsi="Times New Roman"/>
          <w:sz w:val="24"/>
          <w:szCs w:val="24"/>
        </w:rPr>
        <w:t xml:space="preserve"> </w:t>
      </w:r>
      <w:r w:rsidR="00EB46F5" w:rsidRPr="001D39EB">
        <w:rPr>
          <w:rFonts w:ascii="Times New Roman" w:hAnsi="Times New Roman"/>
          <w:sz w:val="24"/>
          <w:szCs w:val="24"/>
        </w:rPr>
        <w:t xml:space="preserve"> 34 </w:t>
      </w:r>
      <w:r w:rsidR="001D4612" w:rsidRPr="001D39EB">
        <w:rPr>
          <w:rFonts w:ascii="Times New Roman" w:hAnsi="Times New Roman"/>
          <w:sz w:val="24"/>
          <w:szCs w:val="24"/>
        </w:rPr>
        <w:t>ос</w:t>
      </w:r>
      <w:r w:rsidR="00EB46F5" w:rsidRPr="001D39EB">
        <w:rPr>
          <w:rFonts w:ascii="Times New Roman" w:hAnsi="Times New Roman"/>
          <w:sz w:val="24"/>
          <w:szCs w:val="24"/>
        </w:rPr>
        <w:t>оби</w:t>
      </w:r>
      <w:r w:rsidR="001D39EB" w:rsidRPr="001D39EB">
        <w:rPr>
          <w:rFonts w:ascii="Times New Roman" w:hAnsi="Times New Roman"/>
          <w:sz w:val="24"/>
          <w:szCs w:val="24"/>
        </w:rPr>
        <w:t xml:space="preserve"> з ОА </w:t>
      </w:r>
      <w:r w:rsidR="00F76DC0" w:rsidRPr="001D39EB">
        <w:rPr>
          <w:rFonts w:ascii="Times New Roman" w:hAnsi="Times New Roman"/>
          <w:sz w:val="24"/>
          <w:szCs w:val="24"/>
        </w:rPr>
        <w:t>та нормальною вагою</w:t>
      </w:r>
      <w:r w:rsidR="001D39EB" w:rsidRPr="001D39EB">
        <w:rPr>
          <w:rFonts w:ascii="Times New Roman" w:hAnsi="Times New Roman"/>
          <w:sz w:val="24"/>
          <w:szCs w:val="24"/>
          <w:lang w:val="uk-UA"/>
        </w:rPr>
        <w:t>,</w:t>
      </w:r>
      <w:r w:rsidR="0004713E" w:rsidRPr="001D39EB">
        <w:rPr>
          <w:rFonts w:ascii="Times New Roman" w:hAnsi="Times New Roman"/>
          <w:sz w:val="24"/>
          <w:szCs w:val="24"/>
        </w:rPr>
        <w:t xml:space="preserve"> </w:t>
      </w:r>
      <w:r w:rsidR="001D39EB" w:rsidRPr="001D39EB">
        <w:rPr>
          <w:rFonts w:ascii="Times New Roman" w:hAnsi="Times New Roman"/>
          <w:sz w:val="24"/>
          <w:szCs w:val="24"/>
        </w:rPr>
        <w:t xml:space="preserve">аналогічної </w:t>
      </w:r>
      <w:r w:rsidR="001D39EB" w:rsidRPr="001D39EB">
        <w:rPr>
          <w:rFonts w:ascii="Times New Roman" w:hAnsi="Times New Roman"/>
          <w:sz w:val="24"/>
          <w:szCs w:val="24"/>
          <w:lang w:val="uk-UA"/>
        </w:rPr>
        <w:t>вікової категорії із реципрокним статевим розподілом</w:t>
      </w:r>
      <w:r w:rsidR="001D39EB" w:rsidRPr="001D39EB">
        <w:rPr>
          <w:rFonts w:ascii="Times New Roman" w:hAnsi="Times New Roman"/>
          <w:sz w:val="24"/>
          <w:szCs w:val="24"/>
        </w:rPr>
        <w:t xml:space="preserve"> </w:t>
      </w:r>
      <w:r w:rsidR="001D39EB" w:rsidRPr="001D39EB">
        <w:rPr>
          <w:rFonts w:ascii="Times New Roman" w:hAnsi="Times New Roman"/>
          <w:sz w:val="24"/>
          <w:szCs w:val="24"/>
          <w:lang w:val="uk-UA"/>
        </w:rPr>
        <w:t>(</w:t>
      </w:r>
      <w:r w:rsidR="0004713E" w:rsidRPr="001D39EB">
        <w:rPr>
          <w:rFonts w:ascii="Times New Roman" w:hAnsi="Times New Roman"/>
          <w:sz w:val="24"/>
          <w:szCs w:val="24"/>
        </w:rPr>
        <w:t>серед</w:t>
      </w:r>
      <w:r w:rsidR="001D39EB" w:rsidRPr="001D39EB">
        <w:rPr>
          <w:rFonts w:ascii="Times New Roman" w:hAnsi="Times New Roman"/>
          <w:sz w:val="24"/>
          <w:szCs w:val="24"/>
          <w:lang w:val="uk-UA"/>
        </w:rPr>
        <w:t>ій</w:t>
      </w:r>
      <w:r w:rsidR="0004713E" w:rsidRPr="001D39EB">
        <w:rPr>
          <w:rFonts w:ascii="Times New Roman" w:hAnsi="Times New Roman"/>
          <w:sz w:val="24"/>
          <w:szCs w:val="24"/>
        </w:rPr>
        <w:t xml:space="preserve"> вік</w:t>
      </w:r>
      <w:r w:rsidR="001D39EB" w:rsidRPr="001D39EB">
        <w:rPr>
          <w:rFonts w:ascii="Times New Roman" w:hAnsi="Times New Roman"/>
          <w:sz w:val="24"/>
          <w:szCs w:val="24"/>
          <w:lang w:val="uk-UA"/>
        </w:rPr>
        <w:t xml:space="preserve"> склав </w:t>
      </w:r>
      <w:r w:rsidR="001D39EB" w:rsidRPr="001D39EB">
        <w:rPr>
          <w:rFonts w:ascii="Times New Roman" w:hAnsi="Times New Roman"/>
          <w:sz w:val="24"/>
          <w:szCs w:val="24"/>
        </w:rPr>
        <w:t>35,</w:t>
      </w:r>
      <w:r w:rsidR="001D39EB" w:rsidRPr="001D39EB">
        <w:rPr>
          <w:rFonts w:ascii="Times New Roman" w:hAnsi="Times New Roman"/>
          <w:sz w:val="24"/>
          <w:szCs w:val="24"/>
          <w:lang w:val="uk-UA"/>
        </w:rPr>
        <w:t>3</w:t>
      </w:r>
      <w:r w:rsidR="001D39EB" w:rsidRPr="001D39E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±</w:t>
      </w:r>
      <w:r w:rsidR="001D39EB" w:rsidRPr="001D39EB">
        <w:rPr>
          <w:rFonts w:ascii="Times New Roman" w:hAnsi="Times New Roman"/>
          <w:sz w:val="24"/>
          <w:szCs w:val="24"/>
        </w:rPr>
        <w:t>0,</w:t>
      </w:r>
      <w:r w:rsidR="001D39EB" w:rsidRPr="001D39EB">
        <w:rPr>
          <w:rFonts w:ascii="Times New Roman" w:hAnsi="Times New Roman"/>
          <w:sz w:val="24"/>
          <w:szCs w:val="24"/>
          <w:lang w:val="uk-UA"/>
        </w:rPr>
        <w:t>8</w:t>
      </w:r>
      <w:r w:rsidR="001D39EB" w:rsidRPr="001D39EB">
        <w:rPr>
          <w:rFonts w:ascii="Times New Roman" w:hAnsi="Times New Roman"/>
          <w:sz w:val="24"/>
          <w:szCs w:val="24"/>
        </w:rPr>
        <w:t xml:space="preserve"> років</w:t>
      </w:r>
      <w:r w:rsidR="001D39EB" w:rsidRPr="001D39EB">
        <w:rPr>
          <w:rFonts w:ascii="Times New Roman" w:hAnsi="Times New Roman"/>
          <w:sz w:val="24"/>
          <w:szCs w:val="24"/>
          <w:lang w:val="uk-UA"/>
        </w:rPr>
        <w:t>)</w:t>
      </w:r>
      <w:r w:rsidR="001D4612" w:rsidRPr="001D39EB">
        <w:rPr>
          <w:rFonts w:ascii="Times New Roman" w:hAnsi="Times New Roman"/>
          <w:sz w:val="24"/>
          <w:szCs w:val="24"/>
        </w:rPr>
        <w:t>.</w:t>
      </w:r>
      <w:r w:rsidR="001D4612" w:rsidRPr="004C570C">
        <w:rPr>
          <w:rFonts w:ascii="Times New Roman" w:hAnsi="Times New Roman"/>
          <w:sz w:val="24"/>
          <w:szCs w:val="24"/>
        </w:rPr>
        <w:t xml:space="preserve"> До контрольної групи увійшло 96 практично здорових </w:t>
      </w:r>
      <w:proofErr w:type="gramStart"/>
      <w:r w:rsidR="001D4612" w:rsidRPr="004C570C">
        <w:rPr>
          <w:rFonts w:ascii="Times New Roman" w:hAnsi="Times New Roman"/>
          <w:sz w:val="24"/>
          <w:szCs w:val="24"/>
        </w:rPr>
        <w:t>осіб</w:t>
      </w:r>
      <w:proofErr w:type="gramEnd"/>
      <w:r w:rsidR="001D4612" w:rsidRPr="004C570C">
        <w:rPr>
          <w:rFonts w:ascii="Times New Roman" w:hAnsi="Times New Roman"/>
          <w:sz w:val="24"/>
          <w:szCs w:val="24"/>
        </w:rPr>
        <w:t xml:space="preserve">, відповідних за основними показниками виділеним групам, що дозволило порівняти поліморфний розподіл за геном </w:t>
      </w:r>
      <w:r w:rsidR="001D4612" w:rsidRPr="004C570C">
        <w:rPr>
          <w:rFonts w:ascii="Times New Roman" w:hAnsi="Times New Roman" w:cs="Times New Roman"/>
          <w:i/>
          <w:sz w:val="24"/>
          <w:szCs w:val="24"/>
          <w:lang w:val="en-US"/>
        </w:rPr>
        <w:t>VDR</w:t>
      </w:r>
      <w:r w:rsidR="001D4612" w:rsidRPr="004C570C">
        <w:rPr>
          <w:rFonts w:ascii="Times New Roman" w:hAnsi="Times New Roman" w:cs="Times New Roman"/>
          <w:i/>
          <w:sz w:val="24"/>
          <w:szCs w:val="24"/>
        </w:rPr>
        <w:t>.</w:t>
      </w:r>
      <w:r w:rsidR="00D77B6F" w:rsidRPr="004C5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4D0" w:rsidRPr="004C570C" w:rsidRDefault="001D4612" w:rsidP="004C570C">
      <w:pPr>
        <w:spacing w:after="0" w:line="240" w:lineRule="auto"/>
        <w:ind w:firstLine="567"/>
        <w:jc w:val="both"/>
        <w:rPr>
          <w:rFonts w:ascii="Times New Roman" w:hAnsi="Times New Roman" w:cs="Verdana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C570C">
        <w:rPr>
          <w:rFonts w:ascii="Times New Roman" w:hAnsi="Times New Roman"/>
          <w:sz w:val="24"/>
          <w:szCs w:val="24"/>
        </w:rPr>
        <w:t xml:space="preserve"> </w:t>
      </w:r>
      <w:r w:rsidR="00D004D0" w:rsidRPr="004C570C">
        <w:rPr>
          <w:rFonts w:ascii="Times New Roman" w:hAnsi="Times New Roman"/>
          <w:sz w:val="24"/>
          <w:szCs w:val="24"/>
        </w:rPr>
        <w:t xml:space="preserve">Верифікація діагнозу проводилась за оцінкою скарг, </w:t>
      </w:r>
      <w:r w:rsidRPr="004C570C">
        <w:rPr>
          <w:rFonts w:ascii="Times New Roman" w:hAnsi="Times New Roman"/>
          <w:sz w:val="24"/>
          <w:szCs w:val="24"/>
        </w:rPr>
        <w:t xml:space="preserve">даних </w:t>
      </w:r>
      <w:r w:rsidR="00D004D0" w:rsidRPr="004C570C">
        <w:rPr>
          <w:rFonts w:ascii="Times New Roman" w:hAnsi="Times New Roman"/>
          <w:sz w:val="24"/>
          <w:szCs w:val="24"/>
        </w:rPr>
        <w:t>анамне</w:t>
      </w:r>
      <w:r w:rsidRPr="004C570C">
        <w:rPr>
          <w:rFonts w:ascii="Times New Roman" w:hAnsi="Times New Roman"/>
          <w:sz w:val="24"/>
          <w:szCs w:val="24"/>
        </w:rPr>
        <w:t>зу</w:t>
      </w:r>
      <w:r w:rsidR="00D004D0" w:rsidRPr="004C570C">
        <w:rPr>
          <w:rFonts w:ascii="Times New Roman" w:hAnsi="Times New Roman"/>
          <w:sz w:val="24"/>
          <w:szCs w:val="24"/>
        </w:rPr>
        <w:t xml:space="preserve">, лабораторних показників та інструментальних методів </w:t>
      </w:r>
      <w:proofErr w:type="gramStart"/>
      <w:r w:rsidR="00D004D0" w:rsidRPr="004C570C">
        <w:rPr>
          <w:rFonts w:ascii="Times New Roman" w:hAnsi="Times New Roman"/>
          <w:sz w:val="24"/>
          <w:szCs w:val="24"/>
        </w:rPr>
        <w:t>досл</w:t>
      </w:r>
      <w:proofErr w:type="gramEnd"/>
      <w:r w:rsidR="00D004D0" w:rsidRPr="004C570C">
        <w:rPr>
          <w:rFonts w:ascii="Times New Roman" w:hAnsi="Times New Roman"/>
          <w:sz w:val="24"/>
          <w:szCs w:val="24"/>
        </w:rPr>
        <w:t xml:space="preserve">ідження (рентгенографія суглобів, </w:t>
      </w:r>
      <w:r w:rsidRPr="004C570C">
        <w:rPr>
          <w:rFonts w:ascii="Times New Roman" w:hAnsi="Times New Roman"/>
          <w:sz w:val="24"/>
          <w:szCs w:val="24"/>
        </w:rPr>
        <w:t>денситометрія)</w:t>
      </w:r>
      <w:r w:rsidR="00DA3E22" w:rsidRPr="004C570C">
        <w:rPr>
          <w:rFonts w:ascii="Times New Roman" w:hAnsi="Times New Roman"/>
          <w:sz w:val="24"/>
          <w:szCs w:val="24"/>
        </w:rPr>
        <w:t xml:space="preserve">, на підставі </w:t>
      </w:r>
      <w:r w:rsidR="00D004D0" w:rsidRPr="004C570C">
        <w:rPr>
          <w:rFonts w:ascii="Times New Roman" w:hAnsi="Times New Roman"/>
          <w:sz w:val="24"/>
          <w:szCs w:val="24"/>
        </w:rPr>
        <w:t>наказу МОЗ України від 12.10.2006 року «Про надання медичної допомоги хворим із остеоартрозом»,</w:t>
      </w:r>
      <w:r w:rsidR="000A73C8" w:rsidRPr="004C570C">
        <w:rPr>
          <w:rFonts w:ascii="Times New Roman" w:hAnsi="Times New Roman"/>
          <w:sz w:val="24"/>
          <w:szCs w:val="24"/>
        </w:rPr>
        <w:t xml:space="preserve"> </w:t>
      </w:r>
      <w:r w:rsidR="00D004D0" w:rsidRPr="004C570C">
        <w:rPr>
          <w:rFonts w:ascii="Times New Roman" w:hAnsi="Times New Roman"/>
          <w:sz w:val="24"/>
          <w:szCs w:val="24"/>
        </w:rPr>
        <w:t xml:space="preserve">уніфікованих діагностичних критеріїв Асоціації ревматологів України (2004) </w:t>
      </w:r>
      <w:r w:rsidR="002C2154" w:rsidRPr="004C570C">
        <w:rPr>
          <w:rFonts w:ascii="Times New Roman" w:hAnsi="Times New Roman"/>
          <w:sz w:val="24"/>
          <w:szCs w:val="24"/>
        </w:rPr>
        <w:t>та критеріїв, запропонованих Американською колегією ревматологів (ACR 1986 р.) та EULAR 2010 р. перегляду</w:t>
      </w:r>
      <w:r w:rsidR="002C2154" w:rsidRPr="004C570C">
        <w:rPr>
          <w:rFonts w:ascii="Times New Roman" w:hAnsi="Times New Roman" w:cs="Verdana"/>
          <w:sz w:val="24"/>
          <w:szCs w:val="24"/>
          <w:bdr w:val="none" w:sz="0" w:space="0" w:color="auto" w:frame="1"/>
          <w:shd w:val="clear" w:color="auto" w:fill="FFFFFF"/>
        </w:rPr>
        <w:t xml:space="preserve"> [</w:t>
      </w:r>
      <w:r w:rsidR="002C2154" w:rsidRPr="004C570C">
        <w:rPr>
          <w:rFonts w:ascii="Times New Roman" w:hAnsi="Times New Roman"/>
          <w:sz w:val="24"/>
          <w:szCs w:val="24"/>
        </w:rPr>
        <w:t>7</w:t>
      </w:r>
      <w:r w:rsidR="002C2154" w:rsidRPr="004C570C">
        <w:rPr>
          <w:rFonts w:ascii="Times New Roman" w:hAnsi="Times New Roman" w:cs="Verdana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2C2154" w:rsidRPr="004C570C">
        <w:rPr>
          <w:rFonts w:ascii="Times New Roman" w:hAnsi="Times New Roman"/>
          <w:sz w:val="24"/>
          <w:szCs w:val="24"/>
        </w:rPr>
        <w:t>8, 9</w:t>
      </w:r>
      <w:r w:rsidR="002C2154" w:rsidRPr="004C570C">
        <w:rPr>
          <w:rFonts w:ascii="Times New Roman" w:hAnsi="Times New Roman" w:cs="Verdana"/>
          <w:sz w:val="24"/>
          <w:szCs w:val="24"/>
          <w:bdr w:val="none" w:sz="0" w:space="0" w:color="auto" w:frame="1"/>
          <w:shd w:val="clear" w:color="auto" w:fill="FFFFFF"/>
        </w:rPr>
        <w:t>]</w:t>
      </w:r>
      <w:r w:rsidR="00D004D0" w:rsidRPr="004C570C">
        <w:rPr>
          <w:rFonts w:ascii="Times New Roman" w:hAnsi="Times New Roman" w:cs="Verdana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004D0" w:rsidRPr="004C570C" w:rsidRDefault="00D004D0" w:rsidP="004C570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C570C">
        <w:rPr>
          <w:rFonts w:ascii="Times New Roman" w:hAnsi="Times New Roman"/>
          <w:sz w:val="24"/>
          <w:szCs w:val="24"/>
        </w:rPr>
        <w:t>За локалізацією уражен</w:t>
      </w:r>
      <w:r w:rsidR="00487ED0" w:rsidRPr="004C570C">
        <w:rPr>
          <w:rFonts w:ascii="Times New Roman" w:hAnsi="Times New Roman"/>
          <w:sz w:val="24"/>
          <w:szCs w:val="24"/>
        </w:rPr>
        <w:t>их</w:t>
      </w:r>
      <w:r w:rsidRPr="004C570C">
        <w:rPr>
          <w:rFonts w:ascii="Times New Roman" w:hAnsi="Times New Roman"/>
          <w:sz w:val="24"/>
          <w:szCs w:val="24"/>
        </w:rPr>
        <w:t xml:space="preserve"> суглобів </w:t>
      </w:r>
      <w:r w:rsidR="00487ED0" w:rsidRPr="004C570C">
        <w:rPr>
          <w:rFonts w:ascii="Times New Roman" w:hAnsi="Times New Roman"/>
          <w:sz w:val="24"/>
          <w:szCs w:val="24"/>
        </w:rPr>
        <w:t>пацієнти були представлені</w:t>
      </w:r>
      <w:r w:rsidRPr="004C570C">
        <w:rPr>
          <w:rFonts w:ascii="Times New Roman" w:hAnsi="Times New Roman"/>
          <w:sz w:val="24"/>
          <w:szCs w:val="24"/>
        </w:rPr>
        <w:t xml:space="preserve"> </w:t>
      </w:r>
      <w:r w:rsidR="00487ED0" w:rsidRPr="004C570C">
        <w:rPr>
          <w:rFonts w:ascii="Times New Roman" w:hAnsi="Times New Roman"/>
          <w:sz w:val="24"/>
          <w:szCs w:val="24"/>
        </w:rPr>
        <w:t>наступним чином</w:t>
      </w:r>
      <w:r w:rsidRPr="004C570C">
        <w:rPr>
          <w:rFonts w:ascii="Times New Roman" w:hAnsi="Times New Roman"/>
          <w:sz w:val="24"/>
          <w:szCs w:val="24"/>
        </w:rPr>
        <w:t xml:space="preserve">: </w:t>
      </w:r>
      <w:r w:rsidR="00487ED0" w:rsidRPr="004C570C">
        <w:rPr>
          <w:rFonts w:ascii="Times New Roman" w:hAnsi="Times New Roman"/>
          <w:sz w:val="24"/>
          <w:szCs w:val="24"/>
        </w:rPr>
        <w:t xml:space="preserve">зміни в </w:t>
      </w:r>
      <w:r w:rsidRPr="004C570C">
        <w:rPr>
          <w:rFonts w:ascii="Times New Roman" w:hAnsi="Times New Roman"/>
          <w:sz w:val="24"/>
          <w:szCs w:val="24"/>
        </w:rPr>
        <w:t>колінних суглоб</w:t>
      </w:r>
      <w:r w:rsidR="00487ED0" w:rsidRPr="004C570C">
        <w:rPr>
          <w:rFonts w:ascii="Times New Roman" w:hAnsi="Times New Roman"/>
          <w:sz w:val="24"/>
          <w:szCs w:val="24"/>
        </w:rPr>
        <w:t>ах мало</w:t>
      </w:r>
      <w:r w:rsidRPr="004C570C">
        <w:rPr>
          <w:rFonts w:ascii="Times New Roman" w:hAnsi="Times New Roman"/>
          <w:sz w:val="24"/>
          <w:szCs w:val="24"/>
        </w:rPr>
        <w:t xml:space="preserve"> 53 пацієнта </w:t>
      </w:r>
      <w:r w:rsidR="00487ED0" w:rsidRPr="004C570C">
        <w:rPr>
          <w:rFonts w:ascii="Times New Roman" w:hAnsi="Times New Roman"/>
          <w:sz w:val="24"/>
          <w:szCs w:val="24"/>
        </w:rPr>
        <w:t>(</w:t>
      </w:r>
      <w:r w:rsidRPr="004C570C">
        <w:rPr>
          <w:rFonts w:ascii="Times New Roman" w:hAnsi="Times New Roman"/>
          <w:sz w:val="24"/>
          <w:szCs w:val="24"/>
        </w:rPr>
        <w:t>55,2%</w:t>
      </w:r>
      <w:r w:rsidR="00487ED0" w:rsidRPr="004C570C">
        <w:rPr>
          <w:rFonts w:ascii="Times New Roman" w:hAnsi="Times New Roman"/>
          <w:sz w:val="24"/>
          <w:szCs w:val="24"/>
        </w:rPr>
        <w:t>)</w:t>
      </w:r>
      <w:r w:rsidRPr="004C570C">
        <w:rPr>
          <w:rFonts w:ascii="Times New Roman" w:hAnsi="Times New Roman"/>
          <w:sz w:val="24"/>
          <w:szCs w:val="24"/>
        </w:rPr>
        <w:t>; кульшових суглобів</w:t>
      </w:r>
      <w:r w:rsidR="00487ED0" w:rsidRPr="004C570C">
        <w:rPr>
          <w:rFonts w:ascii="Times New Roman" w:hAnsi="Times New Roman"/>
          <w:sz w:val="24"/>
          <w:szCs w:val="24"/>
        </w:rPr>
        <w:t xml:space="preserve"> </w:t>
      </w:r>
      <w:r w:rsidR="00B63139" w:rsidRPr="004C570C">
        <w:rPr>
          <w:rFonts w:ascii="Times New Roman" w:hAnsi="Times New Roman"/>
          <w:sz w:val="24"/>
          <w:szCs w:val="24"/>
        </w:rPr>
        <w:t>–</w:t>
      </w:r>
      <w:r w:rsidRPr="004C570C">
        <w:rPr>
          <w:rFonts w:ascii="Times New Roman" w:hAnsi="Times New Roman"/>
          <w:sz w:val="24"/>
          <w:szCs w:val="24"/>
        </w:rPr>
        <w:t xml:space="preserve"> 29 </w:t>
      </w:r>
      <w:proofErr w:type="gramStart"/>
      <w:r w:rsidR="00487ED0" w:rsidRPr="004C570C">
        <w:rPr>
          <w:rFonts w:ascii="Times New Roman" w:hAnsi="Times New Roman"/>
          <w:sz w:val="24"/>
          <w:szCs w:val="24"/>
        </w:rPr>
        <w:t>осіб</w:t>
      </w:r>
      <w:proofErr w:type="gramEnd"/>
      <w:r w:rsidR="00487ED0" w:rsidRPr="004C570C">
        <w:rPr>
          <w:rFonts w:ascii="Times New Roman" w:hAnsi="Times New Roman"/>
          <w:sz w:val="24"/>
          <w:szCs w:val="24"/>
        </w:rPr>
        <w:t xml:space="preserve"> (</w:t>
      </w:r>
      <w:r w:rsidRPr="004C570C">
        <w:rPr>
          <w:rFonts w:ascii="Times New Roman" w:hAnsi="Times New Roman"/>
          <w:sz w:val="24"/>
          <w:szCs w:val="24"/>
        </w:rPr>
        <w:t>30,2%</w:t>
      </w:r>
      <w:r w:rsidR="00487ED0" w:rsidRPr="004C570C">
        <w:rPr>
          <w:rFonts w:ascii="Times New Roman" w:hAnsi="Times New Roman"/>
          <w:sz w:val="24"/>
          <w:szCs w:val="24"/>
        </w:rPr>
        <w:t>)</w:t>
      </w:r>
      <w:r w:rsidRPr="004C570C">
        <w:rPr>
          <w:rFonts w:ascii="Times New Roman" w:hAnsi="Times New Roman"/>
          <w:sz w:val="24"/>
          <w:szCs w:val="24"/>
        </w:rPr>
        <w:t>; поєднан</w:t>
      </w:r>
      <w:r w:rsidR="00487ED0" w:rsidRPr="004C570C">
        <w:rPr>
          <w:rFonts w:ascii="Times New Roman" w:hAnsi="Times New Roman"/>
          <w:sz w:val="24"/>
          <w:szCs w:val="24"/>
        </w:rPr>
        <w:t>ня</w:t>
      </w:r>
      <w:r w:rsidRPr="004C570C">
        <w:rPr>
          <w:rFonts w:ascii="Times New Roman" w:hAnsi="Times New Roman"/>
          <w:sz w:val="24"/>
          <w:szCs w:val="24"/>
        </w:rPr>
        <w:t xml:space="preserve"> колінних, кульшових та інших суглобів – 14 (14,6%).</w:t>
      </w:r>
      <w:r w:rsidR="00487ED0" w:rsidRPr="004C570C">
        <w:rPr>
          <w:rFonts w:ascii="Times New Roman" w:hAnsi="Times New Roman"/>
          <w:sz w:val="24"/>
          <w:szCs w:val="24"/>
        </w:rPr>
        <w:t xml:space="preserve"> В </w:t>
      </w:r>
      <w:r w:rsidRPr="004C570C">
        <w:rPr>
          <w:rFonts w:ascii="Times New Roman" w:hAnsi="Times New Roman"/>
          <w:sz w:val="24"/>
          <w:szCs w:val="24"/>
        </w:rPr>
        <w:t xml:space="preserve"> груп</w:t>
      </w:r>
      <w:r w:rsidR="00487ED0" w:rsidRPr="004C570C">
        <w:rPr>
          <w:rFonts w:ascii="Times New Roman" w:hAnsi="Times New Roman"/>
          <w:sz w:val="24"/>
          <w:szCs w:val="24"/>
        </w:rPr>
        <w:t>і</w:t>
      </w:r>
      <w:r w:rsidRPr="004C570C">
        <w:rPr>
          <w:rFonts w:ascii="Times New Roman" w:hAnsi="Times New Roman"/>
          <w:sz w:val="24"/>
          <w:szCs w:val="24"/>
        </w:rPr>
        <w:t xml:space="preserve"> порівняння</w:t>
      </w:r>
      <w:r w:rsidR="00487ED0" w:rsidRPr="004C570C">
        <w:rPr>
          <w:rFonts w:ascii="Times New Roman" w:hAnsi="Times New Roman"/>
          <w:sz w:val="24"/>
          <w:szCs w:val="24"/>
        </w:rPr>
        <w:t xml:space="preserve"> такий розподіл відповідав </w:t>
      </w:r>
      <w:r w:rsidRPr="004C570C">
        <w:rPr>
          <w:rFonts w:ascii="Times New Roman" w:hAnsi="Times New Roman"/>
          <w:sz w:val="24"/>
          <w:szCs w:val="24"/>
        </w:rPr>
        <w:t xml:space="preserve"> 55,6%</w:t>
      </w:r>
      <w:r w:rsidR="00487ED0" w:rsidRPr="004C570C">
        <w:rPr>
          <w:rFonts w:ascii="Times New Roman" w:hAnsi="Times New Roman"/>
          <w:sz w:val="24"/>
          <w:szCs w:val="24"/>
        </w:rPr>
        <w:t>,</w:t>
      </w:r>
      <w:r w:rsidRPr="004C570C">
        <w:rPr>
          <w:rFonts w:ascii="Times New Roman" w:hAnsi="Times New Roman"/>
          <w:sz w:val="24"/>
          <w:szCs w:val="24"/>
        </w:rPr>
        <w:t xml:space="preserve"> 22,2%</w:t>
      </w:r>
      <w:r w:rsidR="00487ED0" w:rsidRPr="004C570C">
        <w:rPr>
          <w:rFonts w:ascii="Times New Roman" w:hAnsi="Times New Roman"/>
          <w:sz w:val="24"/>
          <w:szCs w:val="24"/>
        </w:rPr>
        <w:t xml:space="preserve"> та 22,2% відповідно</w:t>
      </w:r>
      <w:r w:rsidRPr="004C570C">
        <w:rPr>
          <w:rFonts w:ascii="Times New Roman" w:hAnsi="Times New Roman"/>
          <w:sz w:val="24"/>
          <w:szCs w:val="24"/>
        </w:rPr>
        <w:t>.</w:t>
      </w:r>
    </w:p>
    <w:p w:rsidR="00866F84" w:rsidRPr="004C570C" w:rsidRDefault="00487ED0" w:rsidP="004C570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5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D004D0" w:rsidRPr="004C5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цінк</w:t>
      </w:r>
      <w:r w:rsidRPr="004C5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D004D0" w:rsidRPr="004C5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функціонального стану опорно-</w:t>
      </w:r>
      <w:r w:rsidR="00D004D0" w:rsidRPr="004C5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рухового апарату та аналіз показників </w:t>
      </w:r>
      <w:r w:rsidR="00D004D0" w:rsidRPr="004C570C">
        <w:rPr>
          <w:rFonts w:ascii="Times New Roman" w:hAnsi="Times New Roman"/>
          <w:sz w:val="24"/>
          <w:szCs w:val="24"/>
        </w:rPr>
        <w:t>альго-функціональної активності</w:t>
      </w:r>
      <w:r w:rsidRPr="004C570C">
        <w:rPr>
          <w:rFonts w:ascii="Times New Roman" w:hAnsi="Times New Roman"/>
          <w:sz w:val="24"/>
          <w:szCs w:val="24"/>
        </w:rPr>
        <w:t xml:space="preserve"> проводили з використанням</w:t>
      </w:r>
      <w:r w:rsidR="00D004D0" w:rsidRPr="004C5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тест-опитувальник</w:t>
      </w:r>
      <w:r w:rsidRPr="004C5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D004D0" w:rsidRPr="004C5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004D0" w:rsidRPr="004C570C">
        <w:rPr>
          <w:rFonts w:ascii="Times New Roman" w:hAnsi="Times New Roman"/>
          <w:sz w:val="24"/>
          <w:szCs w:val="24"/>
        </w:rPr>
        <w:t>WOMAC</w:t>
      </w:r>
      <w:r w:rsidR="00511D12" w:rsidRPr="004C570C">
        <w:rPr>
          <w:rFonts w:ascii="Times New Roman" w:hAnsi="Times New Roman"/>
          <w:sz w:val="24"/>
          <w:szCs w:val="24"/>
        </w:rPr>
        <w:t xml:space="preserve"> </w:t>
      </w:r>
      <w:r w:rsidR="00511D12" w:rsidRPr="004C570C">
        <w:rPr>
          <w:rFonts w:ascii="Times New Roman" w:hAnsi="Times New Roman" w:cs="Arial"/>
          <w:bCs/>
          <w:kern w:val="32"/>
          <w:sz w:val="24"/>
          <w:szCs w:val="24"/>
        </w:rPr>
        <w:t>(</w:t>
      </w:r>
      <w:r w:rsidR="00511D12" w:rsidRPr="004C570C">
        <w:rPr>
          <w:rFonts w:ascii="Times New Roman" w:hAnsi="Times New Roman" w:cs="Arial"/>
          <w:bCs/>
          <w:kern w:val="32"/>
          <w:sz w:val="24"/>
          <w:szCs w:val="24"/>
          <w:lang w:val="en-US"/>
        </w:rPr>
        <w:t>Western</w:t>
      </w:r>
      <w:r w:rsidR="00511D12" w:rsidRPr="004C570C">
        <w:rPr>
          <w:rFonts w:ascii="Times New Roman" w:hAnsi="Times New Roman" w:cs="Arial"/>
          <w:bCs/>
          <w:kern w:val="32"/>
          <w:sz w:val="24"/>
          <w:szCs w:val="24"/>
        </w:rPr>
        <w:t xml:space="preserve"> </w:t>
      </w:r>
      <w:r w:rsidR="00511D12" w:rsidRPr="004C570C">
        <w:rPr>
          <w:rFonts w:ascii="Times New Roman" w:hAnsi="Times New Roman" w:cs="Arial"/>
          <w:bCs/>
          <w:kern w:val="32"/>
          <w:sz w:val="24"/>
          <w:szCs w:val="24"/>
          <w:lang w:val="en-US"/>
        </w:rPr>
        <w:t>Ontario</w:t>
      </w:r>
      <w:r w:rsidR="00511D12" w:rsidRPr="004C570C">
        <w:rPr>
          <w:rFonts w:ascii="Times New Roman" w:hAnsi="Times New Roman" w:cs="Arial"/>
          <w:bCs/>
          <w:kern w:val="32"/>
          <w:sz w:val="24"/>
          <w:szCs w:val="24"/>
        </w:rPr>
        <w:t xml:space="preserve"> </w:t>
      </w:r>
      <w:r w:rsidR="00511D12" w:rsidRPr="004C570C">
        <w:rPr>
          <w:rFonts w:ascii="Times New Roman" w:hAnsi="Times New Roman" w:cs="Arial"/>
          <w:bCs/>
          <w:kern w:val="32"/>
          <w:sz w:val="24"/>
          <w:szCs w:val="24"/>
          <w:lang w:val="en-US"/>
        </w:rPr>
        <w:t>and</w:t>
      </w:r>
      <w:r w:rsidR="00511D12" w:rsidRPr="004C570C">
        <w:rPr>
          <w:rFonts w:ascii="Times New Roman" w:hAnsi="Times New Roman" w:cs="Arial"/>
          <w:bCs/>
          <w:kern w:val="32"/>
          <w:sz w:val="24"/>
          <w:szCs w:val="24"/>
        </w:rPr>
        <w:t xml:space="preserve"> </w:t>
      </w:r>
      <w:r w:rsidR="00511D12" w:rsidRPr="004C570C">
        <w:rPr>
          <w:rFonts w:ascii="Times New Roman" w:hAnsi="Times New Roman" w:cs="Arial"/>
          <w:bCs/>
          <w:kern w:val="32"/>
          <w:sz w:val="24"/>
          <w:szCs w:val="24"/>
          <w:lang w:val="en-US"/>
        </w:rPr>
        <w:t>McMaster</w:t>
      </w:r>
      <w:r w:rsidR="00511D12" w:rsidRPr="004C570C">
        <w:rPr>
          <w:rFonts w:ascii="Times New Roman" w:hAnsi="Times New Roman" w:cs="Arial"/>
          <w:bCs/>
          <w:kern w:val="32"/>
          <w:sz w:val="24"/>
          <w:szCs w:val="24"/>
        </w:rPr>
        <w:t xml:space="preserve"> </w:t>
      </w:r>
      <w:r w:rsidR="00511D12" w:rsidRPr="004C570C">
        <w:rPr>
          <w:rFonts w:ascii="Times New Roman" w:hAnsi="Times New Roman" w:cs="Arial"/>
          <w:bCs/>
          <w:kern w:val="32"/>
          <w:sz w:val="24"/>
          <w:szCs w:val="24"/>
          <w:lang w:val="en-US"/>
        </w:rPr>
        <w:t>University</w:t>
      </w:r>
      <w:r w:rsidR="00511D12" w:rsidRPr="004C570C">
        <w:rPr>
          <w:rFonts w:ascii="Times New Roman" w:hAnsi="Times New Roman" w:cs="Arial"/>
          <w:bCs/>
          <w:kern w:val="32"/>
          <w:sz w:val="24"/>
          <w:szCs w:val="24"/>
        </w:rPr>
        <w:t>) за шкалою ВАШ від 0 до 100 мм</w:t>
      </w:r>
      <w:r w:rsidR="00511D12" w:rsidRPr="004C570C">
        <w:rPr>
          <w:rFonts w:ascii="Times New Roman" w:hAnsi="Times New Roman"/>
          <w:sz w:val="24"/>
          <w:szCs w:val="24"/>
        </w:rPr>
        <w:t xml:space="preserve"> [10]</w:t>
      </w:r>
      <w:r w:rsidR="00D004D0" w:rsidRPr="004C570C">
        <w:rPr>
          <w:rFonts w:ascii="Times New Roman" w:hAnsi="Times New Roman"/>
          <w:sz w:val="24"/>
          <w:szCs w:val="24"/>
        </w:rPr>
        <w:t>.</w:t>
      </w:r>
      <w:r w:rsidR="00D004D0" w:rsidRPr="004C5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0616D" w:rsidRPr="004C570C" w:rsidRDefault="00D0616D" w:rsidP="004C570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4C570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Наявність ожиріння </w:t>
      </w:r>
      <w:r w:rsidR="004354EC">
        <w:rPr>
          <w:rFonts w:ascii="Times New Roman" w:hAnsi="Times New Roman"/>
          <w:color w:val="000000"/>
          <w:sz w:val="24"/>
          <w:szCs w:val="24"/>
          <w:lang w:eastAsia="zh-CN"/>
        </w:rPr>
        <w:t>визначали за загальноприйнятими</w:t>
      </w:r>
      <w:r w:rsidRPr="004C570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антропометричними показниками  критерів International Diabetes Federation (IDF, 2005 р.). Антропометричними критеріями ожиріння вважався індекс Кетлє</w:t>
      </w:r>
      <w:r w:rsidR="00866F84" w:rsidRPr="004C570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4C570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або індекс маси </w:t>
      </w:r>
      <w:proofErr w:type="gramStart"/>
      <w:r w:rsidRPr="004C570C">
        <w:rPr>
          <w:rFonts w:ascii="Times New Roman" w:hAnsi="Times New Roman"/>
          <w:color w:val="000000"/>
          <w:sz w:val="24"/>
          <w:szCs w:val="24"/>
          <w:lang w:eastAsia="zh-CN"/>
        </w:rPr>
        <w:t>тіла</w:t>
      </w:r>
      <w:proofErr w:type="gramEnd"/>
      <w:r w:rsidRPr="004C570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(ІМТ).</w:t>
      </w:r>
    </w:p>
    <w:p w:rsidR="0004713E" w:rsidRPr="001D39EB" w:rsidRDefault="00712D67" w:rsidP="004C57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39EB">
        <w:rPr>
          <w:rFonts w:ascii="Times New Roman" w:hAnsi="Times New Roman"/>
          <w:sz w:val="24"/>
          <w:szCs w:val="24"/>
          <w:lang w:val="uk-UA"/>
        </w:rPr>
        <w:lastRenderedPageBreak/>
        <w:t>В</w:t>
      </w:r>
      <w:r w:rsidR="00D0616D" w:rsidRPr="001D39EB">
        <w:rPr>
          <w:rFonts w:ascii="Times New Roman" w:hAnsi="Times New Roman"/>
          <w:sz w:val="24"/>
          <w:szCs w:val="24"/>
          <w:lang w:val="uk-UA"/>
        </w:rPr>
        <w:t xml:space="preserve">міст </w:t>
      </w:r>
      <w:r w:rsidRPr="001D39EB">
        <w:rPr>
          <w:rFonts w:ascii="Times New Roman" w:hAnsi="Times New Roman"/>
          <w:sz w:val="24"/>
          <w:szCs w:val="24"/>
          <w:lang w:val="uk-UA"/>
        </w:rPr>
        <w:t xml:space="preserve">гормону жирової тканини </w:t>
      </w:r>
      <w:r w:rsidR="00D0616D" w:rsidRPr="001D39EB">
        <w:rPr>
          <w:rFonts w:ascii="Times New Roman" w:hAnsi="Times New Roman"/>
          <w:sz w:val="24"/>
          <w:szCs w:val="24"/>
          <w:lang w:val="uk-UA"/>
        </w:rPr>
        <w:t>апеліну</w:t>
      </w:r>
      <w:r w:rsidR="00B45156" w:rsidRPr="001D39EB">
        <w:rPr>
          <w:rFonts w:ascii="Times New Roman" w:hAnsi="Times New Roman"/>
          <w:sz w:val="24"/>
          <w:szCs w:val="24"/>
          <w:lang w:val="uk-UA"/>
        </w:rPr>
        <w:t>-13</w:t>
      </w:r>
      <w:r w:rsidRPr="001D39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713E" w:rsidRPr="001D39EB">
        <w:rPr>
          <w:rFonts w:ascii="Times New Roman" w:hAnsi="Times New Roman"/>
          <w:sz w:val="24"/>
          <w:szCs w:val="24"/>
          <w:lang w:val="uk-UA"/>
        </w:rPr>
        <w:t>визначали</w:t>
      </w:r>
      <w:r w:rsidR="00D0616D" w:rsidRPr="001D39EB">
        <w:rPr>
          <w:rFonts w:ascii="Times New Roman" w:hAnsi="Times New Roman"/>
          <w:sz w:val="24"/>
          <w:szCs w:val="24"/>
          <w:lang w:val="uk-UA"/>
        </w:rPr>
        <w:t xml:space="preserve"> в сироватці крові імуноферментним методом (ІФА) з використанням комерційних тест-систем виробництва </w:t>
      </w:r>
      <w:r w:rsidR="00D0616D" w:rsidRPr="001D39EB">
        <w:rPr>
          <w:rFonts w:ascii="Times New Roman" w:hAnsi="Times New Roman"/>
          <w:snapToGrid w:val="0"/>
          <w:sz w:val="24"/>
          <w:szCs w:val="24"/>
          <w:lang w:val="uk-UA"/>
        </w:rPr>
        <w:t>«</w:t>
      </w:r>
      <w:r w:rsidR="00D0616D" w:rsidRPr="004C570C">
        <w:rPr>
          <w:rFonts w:ascii="Times New Roman" w:hAnsi="Times New Roman"/>
          <w:snapToGrid w:val="0"/>
          <w:sz w:val="24"/>
          <w:szCs w:val="24"/>
        </w:rPr>
        <w:t>Human</w:t>
      </w:r>
      <w:r w:rsidR="00D0616D" w:rsidRPr="001D39EB">
        <w:rPr>
          <w:rFonts w:ascii="Times New Roman" w:hAnsi="Times New Roman"/>
          <w:snapToGrid w:val="0"/>
          <w:sz w:val="24"/>
          <w:szCs w:val="24"/>
          <w:lang w:val="uk-UA"/>
        </w:rPr>
        <w:t xml:space="preserve">» (Німеччина) </w:t>
      </w:r>
      <w:r w:rsidR="00D0616D" w:rsidRPr="001D39EB">
        <w:rPr>
          <w:rFonts w:ascii="Times New Roman" w:hAnsi="Times New Roman"/>
          <w:sz w:val="24"/>
          <w:szCs w:val="24"/>
          <w:lang w:val="uk-UA"/>
        </w:rPr>
        <w:t>на ІФА-аналізаторі «</w:t>
      </w:r>
      <w:r w:rsidR="00D0616D" w:rsidRPr="004C570C">
        <w:rPr>
          <w:rFonts w:ascii="Times New Roman" w:hAnsi="Times New Roman"/>
          <w:sz w:val="24"/>
          <w:szCs w:val="24"/>
        </w:rPr>
        <w:t>Labline</w:t>
      </w:r>
      <w:r w:rsidR="00D0616D" w:rsidRPr="001D39EB">
        <w:rPr>
          <w:rFonts w:ascii="Times New Roman" w:hAnsi="Times New Roman"/>
          <w:sz w:val="24"/>
          <w:szCs w:val="24"/>
          <w:lang w:val="uk-UA"/>
        </w:rPr>
        <w:t>-90» (Австрія)</w:t>
      </w:r>
      <w:r w:rsidR="00B45156" w:rsidRPr="001D39EB">
        <w:rPr>
          <w:rFonts w:ascii="Times New Roman" w:hAnsi="Times New Roman"/>
          <w:sz w:val="24"/>
          <w:szCs w:val="24"/>
          <w:lang w:val="uk-UA"/>
        </w:rPr>
        <w:t>.</w:t>
      </w:r>
      <w:r w:rsidR="00D0616D" w:rsidRPr="001D39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713E" w:rsidRPr="001D39E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11D12" w:rsidRPr="001D39EB" w:rsidRDefault="00511D12" w:rsidP="004C57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39EB">
        <w:rPr>
          <w:rFonts w:ascii="Times New Roman" w:hAnsi="Times New Roman"/>
          <w:sz w:val="24"/>
          <w:szCs w:val="24"/>
          <w:lang w:val="uk-UA"/>
        </w:rPr>
        <w:t>Проведення ПЛР для виявлення поліморфізмів в геномі людини</w:t>
      </w:r>
      <w:r w:rsidR="00D9795B" w:rsidRPr="001D39EB">
        <w:rPr>
          <w:rFonts w:ascii="Times New Roman" w:hAnsi="Times New Roman"/>
          <w:sz w:val="24"/>
          <w:szCs w:val="24"/>
          <w:lang w:val="uk-UA"/>
        </w:rPr>
        <w:t xml:space="preserve"> проводилось за допомогою набору </w:t>
      </w:r>
      <w:r w:rsidRPr="004C570C">
        <w:rPr>
          <w:rFonts w:ascii="Times New Roman" w:hAnsi="Times New Roman"/>
          <w:i/>
          <w:sz w:val="24"/>
          <w:szCs w:val="24"/>
          <w:lang w:val="en-US"/>
        </w:rPr>
        <w:t>VDR</w:t>
      </w:r>
      <w:r w:rsidRPr="001D39EB">
        <w:rPr>
          <w:rFonts w:ascii="Times New Roman" w:hAnsi="Times New Roman"/>
          <w:i/>
          <w:sz w:val="24"/>
          <w:szCs w:val="24"/>
          <w:lang w:val="uk-UA"/>
        </w:rPr>
        <w:t xml:space="preserve"> (</w:t>
      </w:r>
      <w:r w:rsidRPr="004C570C">
        <w:rPr>
          <w:rFonts w:ascii="Times New Roman" w:hAnsi="Times New Roman"/>
          <w:i/>
          <w:sz w:val="24"/>
          <w:szCs w:val="24"/>
          <w:lang w:val="en-US"/>
        </w:rPr>
        <w:t>Bsml</w:t>
      </w:r>
      <w:r w:rsidRPr="001D39E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4C570C">
        <w:rPr>
          <w:rFonts w:ascii="Times New Roman" w:hAnsi="Times New Roman"/>
          <w:i/>
          <w:sz w:val="24"/>
          <w:szCs w:val="24"/>
          <w:lang w:val="en-US"/>
        </w:rPr>
        <w:t>c</w:t>
      </w:r>
      <w:r w:rsidRPr="001D39EB">
        <w:rPr>
          <w:rFonts w:ascii="Times New Roman" w:hAnsi="Times New Roman"/>
          <w:i/>
          <w:sz w:val="24"/>
          <w:szCs w:val="24"/>
          <w:lang w:val="uk-UA"/>
        </w:rPr>
        <w:t>.</w:t>
      </w:r>
      <w:r w:rsidRPr="004C570C">
        <w:rPr>
          <w:rFonts w:ascii="Times New Roman" w:hAnsi="Times New Roman"/>
          <w:i/>
          <w:sz w:val="24"/>
          <w:szCs w:val="24"/>
          <w:lang w:val="en-US"/>
        </w:rPr>
        <w:t>IVS</w:t>
      </w:r>
      <w:r w:rsidRPr="001D39EB">
        <w:rPr>
          <w:rFonts w:ascii="Times New Roman" w:hAnsi="Times New Roman"/>
          <w:i/>
          <w:sz w:val="24"/>
          <w:szCs w:val="24"/>
          <w:lang w:val="uk-UA"/>
        </w:rPr>
        <w:t xml:space="preserve">7 </w:t>
      </w:r>
      <w:r w:rsidRPr="004C570C">
        <w:rPr>
          <w:rFonts w:ascii="Times New Roman" w:hAnsi="Times New Roman"/>
          <w:i/>
          <w:sz w:val="24"/>
          <w:szCs w:val="24"/>
          <w:lang w:val="en-US"/>
        </w:rPr>
        <w:t>G</w:t>
      </w:r>
      <w:r w:rsidRPr="001D39EB">
        <w:rPr>
          <w:rFonts w:ascii="Times New Roman" w:hAnsi="Times New Roman"/>
          <w:i/>
          <w:sz w:val="24"/>
          <w:szCs w:val="24"/>
          <w:lang w:val="uk-UA"/>
        </w:rPr>
        <w:t>&gt;</w:t>
      </w:r>
      <w:r w:rsidRPr="004C570C">
        <w:rPr>
          <w:rFonts w:ascii="Times New Roman" w:hAnsi="Times New Roman"/>
          <w:i/>
          <w:sz w:val="24"/>
          <w:szCs w:val="24"/>
          <w:lang w:val="en-US"/>
        </w:rPr>
        <w:t>A</w:t>
      </w:r>
      <w:r w:rsidRPr="001D39EB">
        <w:rPr>
          <w:rFonts w:ascii="Times New Roman" w:hAnsi="Times New Roman"/>
          <w:i/>
          <w:sz w:val="24"/>
          <w:szCs w:val="24"/>
          <w:lang w:val="uk-UA"/>
        </w:rPr>
        <w:t>,</w:t>
      </w:r>
      <w:r w:rsidRPr="001D39EB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4C570C">
        <w:rPr>
          <w:rFonts w:ascii="Times New Roman" w:eastAsia="Times New Roman" w:hAnsi="Times New Roman"/>
          <w:sz w:val="24"/>
          <w:szCs w:val="24"/>
        </w:rPr>
        <w:t>rs</w:t>
      </w:r>
      <w:r w:rsidRPr="001D39EB">
        <w:rPr>
          <w:rFonts w:ascii="Times New Roman" w:hAnsi="Times New Roman"/>
          <w:color w:val="000000"/>
          <w:sz w:val="24"/>
          <w:szCs w:val="24"/>
          <w:lang w:val="uk-UA"/>
        </w:rPr>
        <w:t>1544410</w:t>
      </w:r>
      <w:r w:rsidRPr="001D39EB">
        <w:rPr>
          <w:rFonts w:ascii="Times New Roman" w:hAnsi="Times New Roman"/>
          <w:i/>
          <w:sz w:val="24"/>
          <w:szCs w:val="24"/>
          <w:lang w:val="uk-UA"/>
        </w:rPr>
        <w:t>)</w:t>
      </w:r>
      <w:r w:rsidRPr="001D39EB">
        <w:rPr>
          <w:rFonts w:ascii="Times New Roman" w:hAnsi="Times New Roman"/>
          <w:sz w:val="24"/>
          <w:szCs w:val="24"/>
          <w:lang w:val="uk-UA"/>
        </w:rPr>
        <w:t xml:space="preserve"> «Мутація рецептора вітаміну </w:t>
      </w:r>
      <w:r w:rsidRPr="004C570C">
        <w:rPr>
          <w:rFonts w:ascii="Times New Roman" w:hAnsi="Times New Roman"/>
          <w:sz w:val="24"/>
          <w:szCs w:val="24"/>
          <w:lang w:val="en-US"/>
        </w:rPr>
        <w:t>D</w:t>
      </w:r>
      <w:r w:rsidRPr="001D39EB">
        <w:rPr>
          <w:rFonts w:ascii="Times New Roman" w:hAnsi="Times New Roman"/>
          <w:sz w:val="24"/>
          <w:szCs w:val="24"/>
          <w:lang w:val="uk-UA"/>
        </w:rPr>
        <w:t>».</w:t>
      </w:r>
    </w:p>
    <w:p w:rsidR="00866F84" w:rsidRPr="001D39EB" w:rsidRDefault="00866F84" w:rsidP="004C57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39EB">
        <w:rPr>
          <w:rFonts w:ascii="Times New Roman" w:hAnsi="Times New Roman"/>
          <w:sz w:val="24"/>
          <w:szCs w:val="24"/>
          <w:lang w:val="uk-UA"/>
        </w:rPr>
        <w:t xml:space="preserve">Рентгенологічну стадію ОА визначали за </w:t>
      </w:r>
      <w:r w:rsidRPr="004C570C">
        <w:rPr>
          <w:rFonts w:ascii="Times New Roman" w:hAnsi="Times New Roman"/>
          <w:sz w:val="24"/>
          <w:szCs w:val="24"/>
        </w:rPr>
        <w:t>Kellgren</w:t>
      </w:r>
      <w:r w:rsidRPr="001D39E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39EB">
        <w:rPr>
          <w:rFonts w:ascii="Times New Roman" w:hAnsi="Times New Roman"/>
          <w:bCs/>
          <w:color w:val="2B2B2B"/>
          <w:kern w:val="36"/>
          <w:sz w:val="24"/>
          <w:szCs w:val="24"/>
          <w:lang w:val="uk-UA"/>
        </w:rPr>
        <w:t xml:space="preserve">&amp; </w:t>
      </w:r>
      <w:r w:rsidRPr="004C570C">
        <w:rPr>
          <w:rFonts w:ascii="Times New Roman" w:hAnsi="Times New Roman"/>
          <w:sz w:val="24"/>
          <w:szCs w:val="24"/>
        </w:rPr>
        <w:t>Lawrence</w:t>
      </w:r>
      <w:r w:rsidRPr="001D39E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1D39EB">
        <w:rPr>
          <w:rFonts w:ascii="Times New Roman" w:hAnsi="Times New Roman"/>
          <w:sz w:val="24"/>
          <w:szCs w:val="24"/>
          <w:lang w:val="uk-UA"/>
        </w:rPr>
        <w:t>[</w:t>
      </w:r>
      <w:r w:rsidRPr="001D39EB">
        <w:rPr>
          <w:rFonts w:ascii="Times New Roman" w:hAnsi="Times New Roman"/>
          <w:color w:val="000000"/>
          <w:sz w:val="24"/>
          <w:szCs w:val="24"/>
          <w:lang w:val="uk-UA"/>
        </w:rPr>
        <w:t>11</w:t>
      </w:r>
      <w:r w:rsidRPr="001D39EB">
        <w:rPr>
          <w:rFonts w:ascii="Times New Roman" w:hAnsi="Times New Roman"/>
          <w:sz w:val="24"/>
          <w:szCs w:val="24"/>
          <w:lang w:val="uk-UA"/>
        </w:rPr>
        <w:t>].</w:t>
      </w:r>
    </w:p>
    <w:p w:rsidR="00511D12" w:rsidRPr="00EA1F2A" w:rsidRDefault="00511D12" w:rsidP="004C570C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EA1F2A">
        <w:rPr>
          <w:rFonts w:ascii="Times New Roman" w:hAnsi="Times New Roman"/>
          <w:sz w:val="24"/>
          <w:szCs w:val="24"/>
          <w:lang w:val="uk-UA"/>
        </w:rPr>
        <w:t>Вимірювання МЩКТ проводили за допомогою двохенергетичної рентгенівської абсорбціометрії (</w:t>
      </w:r>
      <w:r w:rsidRPr="004C570C">
        <w:rPr>
          <w:rFonts w:ascii="Times New Roman" w:hAnsi="Times New Roman"/>
          <w:sz w:val="24"/>
          <w:szCs w:val="24"/>
          <w:lang w:val="en-IE"/>
        </w:rPr>
        <w:t>D</w:t>
      </w:r>
      <w:r w:rsidRPr="00EA1F2A">
        <w:rPr>
          <w:rFonts w:ascii="Times New Roman" w:hAnsi="Times New Roman"/>
          <w:sz w:val="24"/>
          <w:szCs w:val="24"/>
          <w:lang w:val="uk-UA"/>
        </w:rPr>
        <w:t>Е</w:t>
      </w:r>
      <w:r w:rsidRPr="004C570C">
        <w:rPr>
          <w:rFonts w:ascii="Times New Roman" w:hAnsi="Times New Roman"/>
          <w:sz w:val="24"/>
          <w:szCs w:val="24"/>
          <w:lang w:val="en-IE"/>
        </w:rPr>
        <w:t>XA</w:t>
      </w:r>
      <w:r w:rsidRPr="00EA1F2A">
        <w:rPr>
          <w:rFonts w:ascii="Times New Roman" w:hAnsi="Times New Roman"/>
          <w:sz w:val="24"/>
          <w:szCs w:val="24"/>
          <w:lang w:val="uk-UA"/>
        </w:rPr>
        <w:t xml:space="preserve">) на апараті </w:t>
      </w:r>
      <w:r w:rsidRPr="004C570C">
        <w:rPr>
          <w:rFonts w:ascii="Times New Roman" w:hAnsi="Times New Roman"/>
          <w:sz w:val="24"/>
          <w:szCs w:val="24"/>
          <w:lang w:val="en-IE"/>
        </w:rPr>
        <w:t>HOLOGIC</w:t>
      </w:r>
      <w:r w:rsidRPr="00EA1F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570C">
        <w:rPr>
          <w:rFonts w:ascii="Times New Roman" w:hAnsi="Times New Roman"/>
          <w:sz w:val="24"/>
          <w:szCs w:val="24"/>
          <w:lang w:val="en-IE"/>
        </w:rPr>
        <w:t>Explorer</w:t>
      </w:r>
      <w:r w:rsidRPr="00EA1F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570C">
        <w:rPr>
          <w:rFonts w:ascii="Times New Roman" w:hAnsi="Times New Roman"/>
          <w:sz w:val="24"/>
          <w:szCs w:val="24"/>
          <w:lang w:val="en-IE"/>
        </w:rPr>
        <w:t>QDR</w:t>
      </w:r>
      <w:r w:rsidRPr="00EA1F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570C">
        <w:rPr>
          <w:rFonts w:ascii="Times New Roman" w:hAnsi="Times New Roman"/>
          <w:sz w:val="24"/>
          <w:szCs w:val="24"/>
          <w:lang w:val="en-US"/>
        </w:rPr>
        <w:t>W</w:t>
      </w:r>
      <w:r w:rsidRPr="00EA1F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570C">
        <w:rPr>
          <w:rFonts w:ascii="Times New Roman" w:hAnsi="Times New Roman"/>
          <w:sz w:val="24"/>
          <w:szCs w:val="24"/>
          <w:lang w:val="en-IE"/>
        </w:rPr>
        <w:t>Series</w:t>
      </w:r>
      <w:r w:rsidRPr="00EA1F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570C">
        <w:rPr>
          <w:rFonts w:ascii="Times New Roman" w:hAnsi="Times New Roman"/>
          <w:sz w:val="24"/>
          <w:szCs w:val="24"/>
          <w:lang w:val="en-IE"/>
        </w:rPr>
        <w:t>Bone</w:t>
      </w:r>
      <w:r w:rsidRPr="00EA1F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570C">
        <w:rPr>
          <w:rFonts w:ascii="Times New Roman" w:hAnsi="Times New Roman"/>
          <w:sz w:val="24"/>
          <w:szCs w:val="24"/>
          <w:lang w:val="en-IE"/>
        </w:rPr>
        <w:t>Densitometer</w:t>
      </w:r>
      <w:r w:rsidRPr="00EA1F2A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4C570C">
        <w:rPr>
          <w:rFonts w:ascii="Times New Roman" w:hAnsi="Times New Roman"/>
          <w:sz w:val="24"/>
          <w:szCs w:val="24"/>
          <w:lang w:val="en-US"/>
        </w:rPr>
        <w:t>USA</w:t>
      </w:r>
      <w:r w:rsidRPr="00EA1F2A">
        <w:rPr>
          <w:rFonts w:ascii="Times New Roman" w:hAnsi="Times New Roman"/>
          <w:sz w:val="24"/>
          <w:szCs w:val="24"/>
          <w:lang w:val="uk-UA"/>
        </w:rPr>
        <w:t xml:space="preserve">). Даний метод дає можливість оцінити різний стан кісткової тканини в нормі, виявити початкові прояви змін – остеопенію або виражені порушення – остеопороз. Вимірювання МЩКТ проводили в трьох </w:t>
      </w:r>
      <w:r w:rsidR="001B4278" w:rsidRPr="00EA1F2A">
        <w:rPr>
          <w:rFonts w:ascii="Times New Roman" w:hAnsi="Times New Roman"/>
          <w:sz w:val="24"/>
          <w:szCs w:val="24"/>
          <w:lang w:val="uk-UA"/>
        </w:rPr>
        <w:t xml:space="preserve">ділянках </w:t>
      </w:r>
      <w:r w:rsidRPr="00EA1F2A">
        <w:rPr>
          <w:rFonts w:ascii="Times New Roman" w:hAnsi="Times New Roman"/>
          <w:sz w:val="24"/>
          <w:szCs w:val="24"/>
          <w:lang w:val="uk-UA"/>
        </w:rPr>
        <w:t>– поперековому відділі хребта, проксимальному відділі стегнової кістки і кістках передпліччя [1</w:t>
      </w:r>
      <w:r w:rsidR="00866F84" w:rsidRPr="00EA1F2A">
        <w:rPr>
          <w:rFonts w:ascii="Times New Roman" w:hAnsi="Times New Roman"/>
          <w:sz w:val="24"/>
          <w:szCs w:val="24"/>
          <w:lang w:val="uk-UA"/>
        </w:rPr>
        <w:t>2</w:t>
      </w:r>
      <w:r w:rsidRPr="00EA1F2A">
        <w:rPr>
          <w:rFonts w:ascii="Times New Roman" w:hAnsi="Times New Roman"/>
          <w:sz w:val="24"/>
          <w:szCs w:val="24"/>
          <w:lang w:val="uk-UA"/>
        </w:rPr>
        <w:t>].</w:t>
      </w:r>
    </w:p>
    <w:p w:rsidR="00D0616D" w:rsidRPr="004C570C" w:rsidRDefault="00D0616D" w:rsidP="004C57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570C">
        <w:rPr>
          <w:rFonts w:ascii="Times New Roman" w:hAnsi="Times New Roman"/>
          <w:sz w:val="24"/>
          <w:szCs w:val="24"/>
        </w:rPr>
        <w:t xml:space="preserve">Статистичну обробку результатів вимірювань здійснювали методами варіаційної статистики за допомогою ліцензійного програмного забезпечення Stata 12.1. Для оцінки статистичної достовірності відмінностей між середніми значеннями параметрів у порівнюваних групах проводили </w:t>
      </w:r>
      <w:r w:rsidR="005C33DF" w:rsidRPr="004C570C">
        <w:rPr>
          <w:rFonts w:ascii="Times New Roman" w:hAnsi="Times New Roman"/>
          <w:sz w:val="24"/>
          <w:szCs w:val="24"/>
        </w:rPr>
        <w:t xml:space="preserve">шляхом </w:t>
      </w:r>
      <w:r w:rsidRPr="004C570C">
        <w:rPr>
          <w:rFonts w:ascii="Times New Roman" w:hAnsi="Times New Roman"/>
          <w:sz w:val="24"/>
          <w:szCs w:val="24"/>
        </w:rPr>
        <w:t>аналіз</w:t>
      </w:r>
      <w:r w:rsidR="005C33DF" w:rsidRPr="004C570C">
        <w:rPr>
          <w:rFonts w:ascii="Times New Roman" w:hAnsi="Times New Roman"/>
          <w:sz w:val="24"/>
          <w:szCs w:val="24"/>
        </w:rPr>
        <w:t>у</w:t>
      </w:r>
      <w:r w:rsidRPr="004C570C">
        <w:rPr>
          <w:rFonts w:ascii="Times New Roman" w:hAnsi="Times New Roman"/>
          <w:sz w:val="24"/>
          <w:szCs w:val="24"/>
        </w:rPr>
        <w:t xml:space="preserve"> розподілу </w:t>
      </w:r>
      <w:proofErr w:type="gramStart"/>
      <w:r w:rsidRPr="004C570C">
        <w:rPr>
          <w:rFonts w:ascii="Times New Roman" w:hAnsi="Times New Roman"/>
          <w:sz w:val="24"/>
          <w:szCs w:val="24"/>
        </w:rPr>
        <w:t>досл</w:t>
      </w:r>
      <w:proofErr w:type="gramEnd"/>
      <w:r w:rsidRPr="004C570C">
        <w:rPr>
          <w:rFonts w:ascii="Times New Roman" w:hAnsi="Times New Roman"/>
          <w:sz w:val="24"/>
          <w:szCs w:val="24"/>
        </w:rPr>
        <w:t xml:space="preserve">іджуваних показників за допомогою W-критерію Шапіро-Уілка, а однорідність дисперсій – критерієм Левена. Оскільки отримані результати виявилися нормально розподіленими, було розраховано середнє значення та стандартне відхилення. Для оцінки ступеня взаємозв’язку між парами незалежних якісних ознак використовували коефіцієнт вибіркової кореляції </w:t>
      </w:r>
      <w:proofErr w:type="gramStart"/>
      <w:r w:rsidRPr="004C570C">
        <w:rPr>
          <w:rFonts w:ascii="Times New Roman" w:hAnsi="Times New Roman"/>
          <w:sz w:val="24"/>
          <w:szCs w:val="24"/>
        </w:rPr>
        <w:t>П</w:t>
      </w:r>
      <w:proofErr w:type="gramEnd"/>
      <w:r w:rsidRPr="004C570C">
        <w:rPr>
          <w:rFonts w:ascii="Times New Roman" w:hAnsi="Times New Roman"/>
          <w:sz w:val="24"/>
          <w:szCs w:val="24"/>
        </w:rPr>
        <w:t xml:space="preserve">ірсона. Усі методи аналізу та розраховані показники оцінювались при заданому граничному </w:t>
      </w:r>
      <w:proofErr w:type="gramStart"/>
      <w:r w:rsidRPr="004C570C">
        <w:rPr>
          <w:rFonts w:ascii="Times New Roman" w:hAnsi="Times New Roman"/>
          <w:sz w:val="24"/>
          <w:szCs w:val="24"/>
        </w:rPr>
        <w:t>р</w:t>
      </w:r>
      <w:proofErr w:type="gramEnd"/>
      <w:r w:rsidRPr="004C570C">
        <w:rPr>
          <w:rFonts w:ascii="Times New Roman" w:hAnsi="Times New Roman"/>
          <w:sz w:val="24"/>
          <w:szCs w:val="24"/>
        </w:rPr>
        <w:t>івні похибки першого роду (α) не вище 5% (р&lt;0,05</w:t>
      </w:r>
      <w:r w:rsidR="005C33DF" w:rsidRPr="004C570C">
        <w:rPr>
          <w:rFonts w:ascii="Times New Roman" w:hAnsi="Times New Roman"/>
          <w:sz w:val="24"/>
          <w:szCs w:val="24"/>
        </w:rPr>
        <w:t xml:space="preserve">). </w:t>
      </w:r>
      <w:r w:rsidRPr="004C570C">
        <w:rPr>
          <w:rFonts w:ascii="Times New Roman" w:hAnsi="Times New Roman"/>
          <w:sz w:val="24"/>
          <w:szCs w:val="24"/>
        </w:rPr>
        <w:t xml:space="preserve">Для оцінки статистичної достовірності відмінностей між середніми значеннями параметрів </w:t>
      </w:r>
      <w:proofErr w:type="gramStart"/>
      <w:r w:rsidRPr="004C570C">
        <w:rPr>
          <w:rFonts w:ascii="Times New Roman" w:hAnsi="Times New Roman"/>
          <w:sz w:val="24"/>
          <w:szCs w:val="24"/>
        </w:rPr>
        <w:t>в</w:t>
      </w:r>
      <w:proofErr w:type="gramEnd"/>
      <w:r w:rsidRPr="004C570C">
        <w:rPr>
          <w:rFonts w:ascii="Times New Roman" w:hAnsi="Times New Roman"/>
          <w:sz w:val="24"/>
          <w:szCs w:val="24"/>
        </w:rPr>
        <w:t xml:space="preserve"> умовах нормального розподілу використовували t-тест. </w:t>
      </w:r>
      <w:proofErr w:type="gramStart"/>
      <w:r w:rsidRPr="004C570C">
        <w:rPr>
          <w:rFonts w:ascii="Times New Roman" w:hAnsi="Times New Roman"/>
          <w:sz w:val="24"/>
          <w:szCs w:val="24"/>
        </w:rPr>
        <w:t>Р</w:t>
      </w:r>
      <w:proofErr w:type="gramEnd"/>
      <w:r w:rsidRPr="004C570C">
        <w:rPr>
          <w:rFonts w:ascii="Times New Roman" w:hAnsi="Times New Roman"/>
          <w:sz w:val="24"/>
          <w:szCs w:val="24"/>
        </w:rPr>
        <w:t xml:space="preserve">івень статистичної значимості приймався не </w:t>
      </w:r>
      <w:r w:rsidR="004354EC">
        <w:rPr>
          <w:rFonts w:ascii="Times New Roman" w:hAnsi="Times New Roman"/>
          <w:sz w:val="24"/>
          <w:szCs w:val="24"/>
        </w:rPr>
        <w:t xml:space="preserve">нище </w:t>
      </w:r>
      <w:r w:rsidRPr="004C570C">
        <w:rPr>
          <w:rFonts w:ascii="Times New Roman" w:hAnsi="Times New Roman"/>
          <w:sz w:val="24"/>
          <w:szCs w:val="24"/>
        </w:rPr>
        <w:t xml:space="preserve">95% (p&lt;0,05) </w:t>
      </w:r>
      <w:r w:rsidRPr="004C570C">
        <w:rPr>
          <w:rFonts w:ascii="Times New Roman" w:hAnsi="Times New Roman" w:cs="Arial"/>
          <w:color w:val="000000"/>
          <w:sz w:val="24"/>
          <w:szCs w:val="24"/>
        </w:rPr>
        <w:t>[</w:t>
      </w:r>
      <w:r w:rsidR="00511D12" w:rsidRPr="004C570C">
        <w:rPr>
          <w:rFonts w:ascii="Times New Roman" w:hAnsi="Times New Roman" w:cs="Arial"/>
          <w:color w:val="000000"/>
          <w:sz w:val="24"/>
          <w:szCs w:val="24"/>
        </w:rPr>
        <w:t>1</w:t>
      </w:r>
      <w:r w:rsidR="00866F84" w:rsidRPr="004C570C">
        <w:rPr>
          <w:rFonts w:ascii="Times New Roman" w:hAnsi="Times New Roman" w:cs="Arial"/>
          <w:color w:val="000000"/>
          <w:sz w:val="24"/>
          <w:szCs w:val="24"/>
        </w:rPr>
        <w:t>3</w:t>
      </w:r>
      <w:r w:rsidRPr="004C570C">
        <w:rPr>
          <w:rFonts w:ascii="Times New Roman" w:hAnsi="Times New Roman" w:cs="Arial"/>
          <w:color w:val="000000"/>
          <w:sz w:val="24"/>
          <w:szCs w:val="24"/>
        </w:rPr>
        <w:t>]</w:t>
      </w:r>
      <w:r w:rsidRPr="004C570C">
        <w:rPr>
          <w:rFonts w:ascii="Times New Roman" w:hAnsi="Times New Roman"/>
          <w:sz w:val="24"/>
          <w:szCs w:val="24"/>
        </w:rPr>
        <w:t xml:space="preserve">. </w:t>
      </w:r>
    </w:p>
    <w:p w:rsidR="00511D12" w:rsidRPr="004C570C" w:rsidRDefault="00511D12" w:rsidP="004354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570C">
        <w:rPr>
          <w:rFonts w:ascii="Times New Roman" w:hAnsi="Times New Roman"/>
          <w:sz w:val="24"/>
          <w:szCs w:val="24"/>
        </w:rPr>
        <w:t xml:space="preserve">Для розрахунку показника відносного ризику розвитку захворювання odds ratio (OR), тобто для визначення, наскільки відсутність або наявність певного результату </w:t>
      </w:r>
      <w:proofErr w:type="gramStart"/>
      <w:r w:rsidRPr="004C570C">
        <w:rPr>
          <w:rFonts w:ascii="Times New Roman" w:hAnsi="Times New Roman"/>
          <w:sz w:val="24"/>
          <w:szCs w:val="24"/>
        </w:rPr>
        <w:t>пов'язано</w:t>
      </w:r>
      <w:proofErr w:type="gramEnd"/>
      <w:r w:rsidRPr="004C570C">
        <w:rPr>
          <w:rFonts w:ascii="Times New Roman" w:hAnsi="Times New Roman"/>
          <w:sz w:val="24"/>
          <w:szCs w:val="24"/>
        </w:rPr>
        <w:t xml:space="preserve"> з присутністю чи відсутністю певного фактора в конкретної статистичної групі, розраховувались за математичною формулою: OR = (Pr(c|A)/Pr(nc|A)) / (Pr(c|C)/Pr(nc|C)) [1</w:t>
      </w:r>
      <w:r w:rsidR="00866F84" w:rsidRPr="004C570C">
        <w:rPr>
          <w:rFonts w:ascii="Times New Roman" w:hAnsi="Times New Roman"/>
          <w:sz w:val="24"/>
          <w:szCs w:val="24"/>
        </w:rPr>
        <w:t>4</w:t>
      </w:r>
      <w:r w:rsidRPr="004C570C">
        <w:rPr>
          <w:rFonts w:ascii="Times New Roman" w:hAnsi="Times New Roman"/>
          <w:sz w:val="24"/>
          <w:szCs w:val="24"/>
        </w:rPr>
        <w:t>].</w:t>
      </w:r>
    </w:p>
    <w:p w:rsidR="00484B44" w:rsidRPr="004C570C" w:rsidRDefault="00AC51C3" w:rsidP="004C57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570C">
        <w:rPr>
          <w:rFonts w:ascii="Times New Roman" w:hAnsi="Times New Roman"/>
          <w:b/>
          <w:sz w:val="24"/>
          <w:szCs w:val="24"/>
        </w:rPr>
        <w:t>Результати та їх обговорення</w:t>
      </w:r>
      <w:r w:rsidRPr="004C570C">
        <w:rPr>
          <w:rFonts w:ascii="Times New Roman" w:hAnsi="Times New Roman"/>
          <w:sz w:val="24"/>
          <w:szCs w:val="24"/>
        </w:rPr>
        <w:t>.</w:t>
      </w:r>
      <w:r w:rsidR="00484B44" w:rsidRPr="004C570C">
        <w:rPr>
          <w:rFonts w:ascii="Times New Roman" w:hAnsi="Times New Roman"/>
          <w:sz w:val="24"/>
          <w:szCs w:val="24"/>
        </w:rPr>
        <w:t xml:space="preserve"> За ІМТ основна група пацієнті</w:t>
      </w:r>
      <w:proofErr w:type="gramStart"/>
      <w:r w:rsidR="00484B44" w:rsidRPr="004C570C">
        <w:rPr>
          <w:rFonts w:ascii="Times New Roman" w:hAnsi="Times New Roman"/>
          <w:sz w:val="24"/>
          <w:szCs w:val="24"/>
        </w:rPr>
        <w:t>в</w:t>
      </w:r>
      <w:proofErr w:type="gramEnd"/>
      <w:r w:rsidR="00484B44" w:rsidRPr="004C57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4B44" w:rsidRPr="004C570C">
        <w:rPr>
          <w:rFonts w:ascii="Times New Roman" w:hAnsi="Times New Roman"/>
          <w:sz w:val="24"/>
          <w:szCs w:val="24"/>
        </w:rPr>
        <w:t>мала</w:t>
      </w:r>
      <w:proofErr w:type="gramEnd"/>
      <w:r w:rsidR="00484B44" w:rsidRPr="004C570C">
        <w:rPr>
          <w:rFonts w:ascii="Times New Roman" w:hAnsi="Times New Roman"/>
          <w:sz w:val="24"/>
          <w:szCs w:val="24"/>
        </w:rPr>
        <w:t xml:space="preserve"> наступний розподіл. Так, надлишкова вага була притаманна 35,4% осіб на ОА; I ст. ожиріння – 46,9%,  II ст.</w:t>
      </w:r>
      <w:r w:rsidR="00511D12" w:rsidRPr="004C570C">
        <w:rPr>
          <w:rFonts w:ascii="Times New Roman" w:hAnsi="Times New Roman"/>
          <w:sz w:val="24"/>
          <w:szCs w:val="24"/>
        </w:rPr>
        <w:t xml:space="preserve"> –</w:t>
      </w:r>
      <w:r w:rsidR="00484B44" w:rsidRPr="004C570C">
        <w:rPr>
          <w:rFonts w:ascii="Times New Roman" w:hAnsi="Times New Roman"/>
          <w:sz w:val="24"/>
          <w:szCs w:val="24"/>
        </w:rPr>
        <w:t xml:space="preserve"> 11,4% та III ст. реєстрували у 6,3% осіб.</w:t>
      </w:r>
    </w:p>
    <w:p w:rsidR="00435F6D" w:rsidRPr="004C570C" w:rsidRDefault="00435F6D" w:rsidP="004C57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570C">
        <w:rPr>
          <w:rFonts w:ascii="Times New Roman" w:hAnsi="Times New Roman"/>
          <w:sz w:val="24"/>
          <w:szCs w:val="24"/>
        </w:rPr>
        <w:t xml:space="preserve">При визначенні вмісту адипоцитокіну апеліну-13 у сироватці крові було встановлено, що </w:t>
      </w:r>
      <w:r w:rsidR="00CC0285" w:rsidRPr="004C570C">
        <w:rPr>
          <w:rFonts w:ascii="Times New Roman" w:hAnsi="Times New Roman"/>
          <w:sz w:val="24"/>
          <w:szCs w:val="24"/>
        </w:rPr>
        <w:t>у пацієнтів</w:t>
      </w:r>
      <w:r w:rsidRPr="004C570C">
        <w:rPr>
          <w:rFonts w:ascii="Times New Roman" w:hAnsi="Times New Roman"/>
          <w:sz w:val="24"/>
          <w:szCs w:val="24"/>
        </w:rPr>
        <w:t xml:space="preserve"> основної групи </w:t>
      </w:r>
      <w:proofErr w:type="gramStart"/>
      <w:r w:rsidRPr="004C570C">
        <w:rPr>
          <w:rFonts w:ascii="Times New Roman" w:hAnsi="Times New Roman"/>
          <w:sz w:val="24"/>
          <w:szCs w:val="24"/>
        </w:rPr>
        <w:t>р</w:t>
      </w:r>
      <w:proofErr w:type="gramEnd"/>
      <w:r w:rsidRPr="004C570C">
        <w:rPr>
          <w:rFonts w:ascii="Times New Roman" w:hAnsi="Times New Roman"/>
          <w:sz w:val="24"/>
          <w:szCs w:val="24"/>
        </w:rPr>
        <w:t xml:space="preserve">івень означеного показника був достовірно вище (р&lt;0,001, </w:t>
      </w:r>
      <w:r w:rsidRPr="004C570C">
        <w:rPr>
          <w:rFonts w:ascii="Times New Roman" w:hAnsi="Times New Roman"/>
          <w:bCs/>
          <w:spacing w:val="-6"/>
          <w:sz w:val="24"/>
          <w:szCs w:val="24"/>
          <w:lang w:val="en-US"/>
        </w:rPr>
        <w:t>t</w:t>
      </w:r>
      <w:r w:rsidRPr="004C570C">
        <w:rPr>
          <w:rFonts w:ascii="Times New Roman" w:hAnsi="Times New Roman"/>
          <w:sz w:val="24"/>
          <w:szCs w:val="24"/>
        </w:rPr>
        <w:t xml:space="preserve">&gt;3,7), ніж у осіб </w:t>
      </w:r>
      <w:r w:rsidR="00345CDF" w:rsidRPr="004C570C">
        <w:rPr>
          <w:rFonts w:ascii="Times New Roman" w:hAnsi="Times New Roman"/>
          <w:sz w:val="24"/>
          <w:szCs w:val="24"/>
        </w:rPr>
        <w:t>групи порівняння  та</w:t>
      </w:r>
      <w:r w:rsidRPr="004C570C">
        <w:rPr>
          <w:rFonts w:ascii="Times New Roman" w:hAnsi="Times New Roman"/>
          <w:sz w:val="24"/>
          <w:szCs w:val="24"/>
        </w:rPr>
        <w:t xml:space="preserve"> контролю</w:t>
      </w:r>
      <w:r w:rsidR="00345CDF" w:rsidRPr="004C570C">
        <w:rPr>
          <w:rFonts w:ascii="Times New Roman" w:hAnsi="Times New Roman"/>
          <w:sz w:val="24"/>
          <w:szCs w:val="24"/>
        </w:rPr>
        <w:t xml:space="preserve">: </w:t>
      </w:r>
      <w:r w:rsidR="00345CDF" w:rsidRPr="004C570C">
        <w:rPr>
          <w:rFonts w:ascii="Times New Roman" w:hAnsi="Times New Roman"/>
          <w:spacing w:val="-6"/>
          <w:sz w:val="24"/>
          <w:szCs w:val="24"/>
        </w:rPr>
        <w:t>70,23±4,84</w:t>
      </w:r>
      <w:r w:rsidR="00345CDF" w:rsidRPr="004C570C">
        <w:rPr>
          <w:rFonts w:ascii="Times New Roman" w:hAnsi="Times New Roman"/>
          <w:sz w:val="24"/>
          <w:szCs w:val="24"/>
        </w:rPr>
        <w:t xml:space="preserve"> </w:t>
      </w:r>
      <w:r w:rsidR="00345CDF" w:rsidRPr="004C570C">
        <w:rPr>
          <w:rFonts w:ascii="Times New Roman" w:hAnsi="Times New Roman"/>
          <w:bCs/>
          <w:spacing w:val="-4"/>
          <w:sz w:val="24"/>
          <w:szCs w:val="24"/>
        </w:rPr>
        <w:t xml:space="preserve">пг/мл, </w:t>
      </w:r>
      <w:r w:rsidR="00345CDF" w:rsidRPr="004C570C">
        <w:rPr>
          <w:rFonts w:ascii="Times New Roman" w:hAnsi="Times New Roman"/>
          <w:sz w:val="24"/>
          <w:szCs w:val="24"/>
        </w:rPr>
        <w:t xml:space="preserve"> 62,07</w:t>
      </w:r>
      <w:r w:rsidR="00345CDF" w:rsidRPr="004C570C">
        <w:rPr>
          <w:rFonts w:ascii="Times New Roman" w:hAnsi="Times New Roman"/>
          <w:spacing w:val="-6"/>
          <w:sz w:val="24"/>
          <w:szCs w:val="24"/>
        </w:rPr>
        <w:t>±3,22 пг/мл та 56,75±3,82 пг/мл відповідно.</w:t>
      </w:r>
    </w:p>
    <w:p w:rsidR="00435F6D" w:rsidRPr="004C570C" w:rsidRDefault="00345CDF" w:rsidP="004C57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570C">
        <w:rPr>
          <w:rFonts w:ascii="Times New Roman" w:hAnsi="Times New Roman"/>
          <w:sz w:val="24"/>
          <w:szCs w:val="24"/>
        </w:rPr>
        <w:t xml:space="preserve">При співставленні означених величин з ІМТ </w:t>
      </w:r>
      <w:r w:rsidR="00435F6D" w:rsidRPr="004C570C">
        <w:rPr>
          <w:rFonts w:ascii="Times New Roman" w:hAnsi="Times New Roman"/>
          <w:sz w:val="24"/>
          <w:szCs w:val="24"/>
        </w:rPr>
        <w:t xml:space="preserve">прямої кореляційної залежності </w:t>
      </w:r>
      <w:r w:rsidRPr="004C570C">
        <w:rPr>
          <w:rFonts w:ascii="Times New Roman" w:hAnsi="Times New Roman"/>
          <w:sz w:val="24"/>
          <w:szCs w:val="24"/>
        </w:rPr>
        <w:t xml:space="preserve">виявлено не було </w:t>
      </w:r>
      <w:r w:rsidR="00435F6D" w:rsidRPr="004C570C">
        <w:rPr>
          <w:rFonts w:ascii="Times New Roman" w:hAnsi="Times New Roman"/>
          <w:sz w:val="24"/>
          <w:szCs w:val="24"/>
        </w:rPr>
        <w:t>(│</w:t>
      </w:r>
      <w:r w:rsidR="00435F6D" w:rsidRPr="004C570C">
        <w:rPr>
          <w:rFonts w:ascii="Times New Roman" w:hAnsi="Times New Roman"/>
          <w:sz w:val="24"/>
          <w:szCs w:val="24"/>
          <w:lang w:val="en-US"/>
        </w:rPr>
        <w:t>r</w:t>
      </w:r>
      <w:r w:rsidR="00435F6D" w:rsidRPr="004C570C">
        <w:rPr>
          <w:rFonts w:ascii="Times New Roman" w:hAnsi="Times New Roman"/>
          <w:sz w:val="24"/>
          <w:szCs w:val="24"/>
          <w:vertAlign w:val="subscript"/>
          <w:lang w:val="en-US"/>
        </w:rPr>
        <w:t>XY</w:t>
      </w:r>
      <w:r w:rsidR="00435F6D" w:rsidRPr="004C570C">
        <w:rPr>
          <w:rFonts w:ascii="Times New Roman" w:hAnsi="Times New Roman"/>
          <w:sz w:val="24"/>
          <w:szCs w:val="24"/>
        </w:rPr>
        <w:t xml:space="preserve">│&lt;0,29).  </w:t>
      </w:r>
      <w:r w:rsidRPr="004C570C">
        <w:rPr>
          <w:rFonts w:ascii="Times New Roman" w:hAnsi="Times New Roman"/>
          <w:sz w:val="24"/>
          <w:szCs w:val="24"/>
        </w:rPr>
        <w:t>Однак, була встановлена пряма кореляційна зале</w:t>
      </w:r>
      <w:r w:rsidR="00EC3154" w:rsidRPr="004C570C">
        <w:rPr>
          <w:rFonts w:ascii="Times New Roman" w:hAnsi="Times New Roman"/>
          <w:sz w:val="24"/>
          <w:szCs w:val="24"/>
        </w:rPr>
        <w:t xml:space="preserve">жність між </w:t>
      </w:r>
      <w:proofErr w:type="gramStart"/>
      <w:r w:rsidR="00EC3154" w:rsidRPr="004C570C">
        <w:rPr>
          <w:rFonts w:ascii="Times New Roman" w:hAnsi="Times New Roman"/>
          <w:sz w:val="24"/>
          <w:szCs w:val="24"/>
        </w:rPr>
        <w:t>р</w:t>
      </w:r>
      <w:proofErr w:type="gramEnd"/>
      <w:r w:rsidR="00EC3154" w:rsidRPr="004C570C">
        <w:rPr>
          <w:rFonts w:ascii="Times New Roman" w:hAnsi="Times New Roman"/>
          <w:sz w:val="24"/>
          <w:szCs w:val="24"/>
        </w:rPr>
        <w:t>івнем апеліну-13 та</w:t>
      </w:r>
      <w:r w:rsidRPr="004C570C">
        <w:rPr>
          <w:rFonts w:ascii="Times New Roman" w:hAnsi="Times New Roman"/>
          <w:sz w:val="24"/>
          <w:szCs w:val="24"/>
        </w:rPr>
        <w:t xml:space="preserve"> індексом </w:t>
      </w:r>
      <w:r w:rsidRPr="004C570C">
        <w:rPr>
          <w:rFonts w:ascii="Times New Roman" w:hAnsi="Times New Roman"/>
          <w:sz w:val="24"/>
          <w:szCs w:val="24"/>
          <w:lang w:val="en-US"/>
        </w:rPr>
        <w:t>WOMAC</w:t>
      </w:r>
      <w:r w:rsidRPr="004C570C">
        <w:rPr>
          <w:rFonts w:ascii="Times New Roman" w:hAnsi="Times New Roman"/>
          <w:sz w:val="24"/>
          <w:szCs w:val="24"/>
        </w:rPr>
        <w:t>: високому рівню альго-функціональних обмежень (</w:t>
      </w:r>
      <w:r w:rsidRPr="004C570C">
        <w:rPr>
          <w:rFonts w:ascii="Times New Roman" w:hAnsi="Times New Roman"/>
          <w:sz w:val="24"/>
          <w:szCs w:val="24"/>
          <w:lang w:val="en-US"/>
        </w:rPr>
        <w:t>W</w:t>
      </w:r>
      <w:r w:rsidRPr="004C570C">
        <w:rPr>
          <w:rFonts w:ascii="Times New Roman" w:hAnsi="Times New Roman"/>
          <w:sz w:val="24"/>
          <w:szCs w:val="24"/>
        </w:rPr>
        <w:t>≥66,0%) було притаманне найбільш виразне значення вмісту адипокіну, ніж у групах з помірним (</w:t>
      </w:r>
      <w:r w:rsidRPr="004C570C">
        <w:rPr>
          <w:rFonts w:ascii="Times New Roman" w:hAnsi="Times New Roman"/>
          <w:sz w:val="24"/>
          <w:szCs w:val="24"/>
          <w:lang w:val="en-US"/>
        </w:rPr>
        <w:t>W</w:t>
      </w:r>
      <w:r w:rsidRPr="004C570C">
        <w:rPr>
          <w:rFonts w:ascii="Times New Roman" w:hAnsi="Times New Roman"/>
          <w:sz w:val="24"/>
          <w:szCs w:val="24"/>
        </w:rPr>
        <w:t>≤30,0%) та середнім (</w:t>
      </w:r>
      <w:r w:rsidRPr="004C570C">
        <w:rPr>
          <w:rFonts w:ascii="Times New Roman" w:hAnsi="Times New Roman"/>
          <w:sz w:val="24"/>
          <w:szCs w:val="24"/>
          <w:lang w:val="en-US"/>
        </w:rPr>
        <w:t>W</w:t>
      </w:r>
      <w:r w:rsidRPr="004C570C">
        <w:rPr>
          <w:rFonts w:ascii="Times New Roman" w:hAnsi="Times New Roman"/>
          <w:sz w:val="24"/>
          <w:szCs w:val="24"/>
        </w:rPr>
        <w:t>=30,0÷66,0%) рівнями.</w:t>
      </w:r>
    </w:p>
    <w:p w:rsidR="00113F51" w:rsidRDefault="00F00088" w:rsidP="004C57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570C">
        <w:rPr>
          <w:rFonts w:ascii="Times New Roman" w:hAnsi="Times New Roman"/>
          <w:sz w:val="24"/>
          <w:szCs w:val="24"/>
        </w:rPr>
        <w:t xml:space="preserve">Визначення поліморфізму гену рецепторів </w:t>
      </w:r>
      <w:proofErr w:type="gramStart"/>
      <w:r w:rsidRPr="004C570C">
        <w:rPr>
          <w:rFonts w:ascii="Times New Roman" w:hAnsi="Times New Roman"/>
          <w:sz w:val="24"/>
          <w:szCs w:val="24"/>
        </w:rPr>
        <w:t>в</w:t>
      </w:r>
      <w:proofErr w:type="gramEnd"/>
      <w:r w:rsidRPr="004C570C">
        <w:rPr>
          <w:rFonts w:ascii="Times New Roman" w:hAnsi="Times New Roman"/>
          <w:sz w:val="24"/>
          <w:szCs w:val="24"/>
        </w:rPr>
        <w:t xml:space="preserve">ітаміну D дозволило </w:t>
      </w:r>
      <w:r w:rsidR="003155D2" w:rsidRPr="004C570C">
        <w:rPr>
          <w:rFonts w:ascii="Times New Roman" w:hAnsi="Times New Roman"/>
          <w:sz w:val="24"/>
          <w:szCs w:val="24"/>
        </w:rPr>
        <w:t>отримати</w:t>
      </w:r>
      <w:r w:rsidRPr="004C570C">
        <w:rPr>
          <w:rFonts w:ascii="Times New Roman" w:hAnsi="Times New Roman"/>
          <w:sz w:val="24"/>
          <w:szCs w:val="24"/>
        </w:rPr>
        <w:t xml:space="preserve"> наступні зміни (табл.1).</w:t>
      </w:r>
      <w:r w:rsidR="003155D2" w:rsidRPr="004C570C">
        <w:rPr>
          <w:rFonts w:ascii="Times New Roman" w:hAnsi="Times New Roman"/>
          <w:sz w:val="24"/>
          <w:szCs w:val="24"/>
        </w:rPr>
        <w:t xml:space="preserve"> Так, серед пацієнтів на </w:t>
      </w:r>
      <w:r w:rsidR="00D9795B" w:rsidRPr="004C570C">
        <w:rPr>
          <w:rFonts w:ascii="Times New Roman" w:hAnsi="Times New Roman"/>
          <w:sz w:val="24"/>
          <w:szCs w:val="24"/>
        </w:rPr>
        <w:t>ОА</w:t>
      </w:r>
      <w:r w:rsidR="003155D2" w:rsidRPr="004C570C">
        <w:rPr>
          <w:rFonts w:ascii="Times New Roman" w:hAnsi="Times New Roman"/>
          <w:sz w:val="24"/>
          <w:szCs w:val="24"/>
        </w:rPr>
        <w:t xml:space="preserve"> з нормальним ІМТ </w:t>
      </w:r>
      <w:r w:rsidR="00DA3DE0" w:rsidRPr="004C570C">
        <w:rPr>
          <w:rFonts w:ascii="Times New Roman" w:hAnsi="Times New Roman"/>
          <w:sz w:val="24"/>
          <w:szCs w:val="24"/>
        </w:rPr>
        <w:t>було визначено</w:t>
      </w:r>
      <w:r w:rsidR="003155D2" w:rsidRPr="004C570C">
        <w:rPr>
          <w:rFonts w:ascii="Times New Roman" w:hAnsi="Times New Roman"/>
          <w:sz w:val="24"/>
          <w:szCs w:val="24"/>
        </w:rPr>
        <w:t xml:space="preserve"> збільшення в 2,8 разів кі</w:t>
      </w:r>
      <w:r w:rsidR="005E32DE">
        <w:rPr>
          <w:rFonts w:ascii="Times New Roman" w:hAnsi="Times New Roman"/>
          <w:sz w:val="24"/>
          <w:szCs w:val="24"/>
        </w:rPr>
        <w:t xml:space="preserve">лькості </w:t>
      </w:r>
      <w:proofErr w:type="gramStart"/>
      <w:r w:rsidR="005E32DE">
        <w:rPr>
          <w:rFonts w:ascii="Times New Roman" w:hAnsi="Times New Roman"/>
          <w:sz w:val="24"/>
          <w:szCs w:val="24"/>
        </w:rPr>
        <w:t>осіб</w:t>
      </w:r>
      <w:proofErr w:type="gramEnd"/>
      <w:r w:rsidR="005E32DE">
        <w:rPr>
          <w:rFonts w:ascii="Times New Roman" w:hAnsi="Times New Roman"/>
          <w:sz w:val="24"/>
          <w:szCs w:val="24"/>
        </w:rPr>
        <w:t xml:space="preserve"> з несприятливим </w:t>
      </w:r>
      <w:r w:rsidR="003155D2" w:rsidRPr="004C570C">
        <w:rPr>
          <w:rFonts w:ascii="Times New Roman" w:hAnsi="Times New Roman"/>
          <w:sz w:val="24"/>
          <w:szCs w:val="24"/>
        </w:rPr>
        <w:t>генотипом</w:t>
      </w:r>
      <w:r w:rsidR="005E32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32DE">
        <w:rPr>
          <w:rFonts w:ascii="Times New Roman" w:hAnsi="Times New Roman"/>
          <w:sz w:val="24"/>
          <w:szCs w:val="24"/>
        </w:rPr>
        <w:t>ВВ</w:t>
      </w:r>
      <w:r w:rsidR="00DA3DE0" w:rsidRPr="004C570C">
        <w:rPr>
          <w:rFonts w:ascii="Times New Roman" w:hAnsi="Times New Roman"/>
          <w:sz w:val="24"/>
          <w:szCs w:val="24"/>
        </w:rPr>
        <w:t>. Даний генотип в основній групі перевищував показники контролю</w:t>
      </w:r>
      <w:r w:rsidR="003155D2" w:rsidRPr="004C570C">
        <w:rPr>
          <w:rFonts w:ascii="Times New Roman" w:hAnsi="Times New Roman"/>
          <w:sz w:val="24"/>
          <w:szCs w:val="24"/>
        </w:rPr>
        <w:t xml:space="preserve"> майже в 4 рази. В той же час міноральний алель</w:t>
      </w:r>
      <w:proofErr w:type="gramStart"/>
      <w:r w:rsidR="003155D2" w:rsidRPr="004C570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3155D2" w:rsidRPr="004C570C">
        <w:rPr>
          <w:rFonts w:ascii="Times New Roman" w:hAnsi="Times New Roman"/>
          <w:sz w:val="24"/>
          <w:szCs w:val="24"/>
        </w:rPr>
        <w:t xml:space="preserve"> визнача</w:t>
      </w:r>
      <w:r w:rsidR="00DA3DE0" w:rsidRPr="004C570C">
        <w:rPr>
          <w:rFonts w:ascii="Times New Roman" w:hAnsi="Times New Roman"/>
          <w:sz w:val="24"/>
          <w:szCs w:val="24"/>
        </w:rPr>
        <w:t>в</w:t>
      </w:r>
      <w:r w:rsidR="005E32DE">
        <w:rPr>
          <w:rFonts w:ascii="Times New Roman" w:hAnsi="Times New Roman"/>
          <w:sz w:val="24"/>
          <w:szCs w:val="24"/>
        </w:rPr>
        <w:t xml:space="preserve">ся  </w:t>
      </w:r>
      <w:r w:rsidR="003155D2" w:rsidRPr="004C570C">
        <w:rPr>
          <w:rFonts w:ascii="Times New Roman" w:hAnsi="Times New Roman"/>
          <w:sz w:val="24"/>
          <w:szCs w:val="24"/>
        </w:rPr>
        <w:t xml:space="preserve">у 80,2% основної групи, 70,6% групи порівняння проти 59,4% </w:t>
      </w:r>
      <w:r w:rsidR="00D9795B" w:rsidRPr="004C570C">
        <w:rPr>
          <w:rFonts w:ascii="Times New Roman" w:hAnsi="Times New Roman"/>
          <w:sz w:val="24"/>
          <w:szCs w:val="24"/>
        </w:rPr>
        <w:t>–</w:t>
      </w:r>
      <w:r w:rsidR="003155D2" w:rsidRPr="004C570C">
        <w:rPr>
          <w:rFonts w:ascii="Times New Roman" w:hAnsi="Times New Roman"/>
          <w:sz w:val="24"/>
          <w:szCs w:val="24"/>
        </w:rPr>
        <w:t xml:space="preserve"> контролю.</w:t>
      </w:r>
    </w:p>
    <w:p w:rsidR="001D39EB" w:rsidRDefault="001D39EB" w:rsidP="004354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778E" w:rsidRDefault="00B2778E" w:rsidP="004354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778E" w:rsidRDefault="00B2778E" w:rsidP="004354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778E" w:rsidRDefault="00B2778E" w:rsidP="004354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778E" w:rsidRPr="001D39EB" w:rsidRDefault="00B2778E" w:rsidP="004354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795B" w:rsidRPr="004C570C" w:rsidRDefault="00F00088" w:rsidP="004C570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C570C">
        <w:rPr>
          <w:rFonts w:ascii="Times New Roman" w:hAnsi="Times New Roman"/>
          <w:sz w:val="24"/>
          <w:szCs w:val="24"/>
        </w:rPr>
        <w:lastRenderedPageBreak/>
        <w:t xml:space="preserve">Таблиця 1. </w:t>
      </w:r>
    </w:p>
    <w:p w:rsidR="004C570C" w:rsidRDefault="004C570C" w:rsidP="004C570C">
      <w:pPr>
        <w:tabs>
          <w:tab w:val="center" w:pos="4677"/>
          <w:tab w:val="left" w:pos="8595"/>
        </w:tabs>
        <w:spacing w:after="0" w:line="240" w:lineRule="auto"/>
        <w:rPr>
          <w:rFonts w:ascii="Times New Roman" w:hAnsi="Times New Roman"/>
          <w:b/>
          <w:sz w:val="4"/>
          <w:szCs w:val="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00088" w:rsidRPr="004C570C">
        <w:rPr>
          <w:rFonts w:ascii="Times New Roman" w:hAnsi="Times New Roman"/>
          <w:b/>
          <w:sz w:val="24"/>
          <w:szCs w:val="24"/>
        </w:rPr>
        <w:t xml:space="preserve">Варіанти поліморфізму гену </w:t>
      </w:r>
      <w:r w:rsidR="00F00088" w:rsidRPr="004C570C">
        <w:rPr>
          <w:rFonts w:ascii="Times New Roman" w:hAnsi="Times New Roman"/>
          <w:b/>
          <w:i/>
          <w:sz w:val="24"/>
          <w:szCs w:val="24"/>
          <w:lang w:val="en-US"/>
        </w:rPr>
        <w:t>VDR</w:t>
      </w:r>
      <w:r w:rsidR="00F00088" w:rsidRPr="004C570C">
        <w:rPr>
          <w:rFonts w:ascii="Times New Roman" w:hAnsi="Times New Roman"/>
          <w:b/>
          <w:sz w:val="24"/>
          <w:szCs w:val="24"/>
        </w:rPr>
        <w:t xml:space="preserve"> в групах обстежених</w:t>
      </w:r>
      <w:r>
        <w:rPr>
          <w:rFonts w:ascii="Times New Roman" w:hAnsi="Times New Roman"/>
          <w:b/>
          <w:sz w:val="24"/>
          <w:szCs w:val="24"/>
        </w:rPr>
        <w:tab/>
      </w:r>
    </w:p>
    <w:p w:rsidR="004C570C" w:rsidRDefault="004C570C" w:rsidP="004C570C">
      <w:pPr>
        <w:tabs>
          <w:tab w:val="center" w:pos="4677"/>
          <w:tab w:val="left" w:pos="8595"/>
        </w:tabs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p w:rsidR="004C570C" w:rsidRPr="004C570C" w:rsidRDefault="004C570C" w:rsidP="004C570C">
      <w:pPr>
        <w:tabs>
          <w:tab w:val="center" w:pos="4677"/>
          <w:tab w:val="left" w:pos="8595"/>
        </w:tabs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13"/>
        <w:gridCol w:w="1331"/>
        <w:gridCol w:w="1237"/>
        <w:gridCol w:w="1139"/>
        <w:gridCol w:w="1200"/>
        <w:gridCol w:w="1102"/>
        <w:gridCol w:w="1134"/>
      </w:tblGrid>
      <w:tr w:rsidR="003155D2" w:rsidRPr="004C570C" w:rsidTr="004C570C">
        <w:trPr>
          <w:trHeight w:val="519"/>
        </w:trPr>
        <w:tc>
          <w:tcPr>
            <w:tcW w:w="2213" w:type="dxa"/>
            <w:vMerge w:val="restart"/>
            <w:vAlign w:val="center"/>
          </w:tcPr>
          <w:p w:rsidR="00D9795B" w:rsidRPr="004C570C" w:rsidRDefault="00D9795B" w:rsidP="004C57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Bsml c.IVS7</w:t>
            </w:r>
          </w:p>
          <w:p w:rsidR="003155D2" w:rsidRPr="004C570C" w:rsidRDefault="00D9795B" w:rsidP="004C570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G&gt;A</w:t>
            </w:r>
          </w:p>
        </w:tc>
        <w:tc>
          <w:tcPr>
            <w:tcW w:w="2568" w:type="dxa"/>
            <w:gridSpan w:val="2"/>
          </w:tcPr>
          <w:p w:rsidR="003155D2" w:rsidRPr="004C570C" w:rsidRDefault="003155D2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Основна</w:t>
            </w:r>
          </w:p>
          <w:p w:rsidR="003155D2" w:rsidRPr="004C570C" w:rsidRDefault="003155D2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група</w:t>
            </w:r>
          </w:p>
        </w:tc>
        <w:tc>
          <w:tcPr>
            <w:tcW w:w="2339" w:type="dxa"/>
            <w:gridSpan w:val="2"/>
          </w:tcPr>
          <w:p w:rsidR="003155D2" w:rsidRPr="004C570C" w:rsidRDefault="003155D2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Група порівняння</w:t>
            </w:r>
          </w:p>
        </w:tc>
        <w:tc>
          <w:tcPr>
            <w:tcW w:w="2236" w:type="dxa"/>
            <w:gridSpan w:val="2"/>
          </w:tcPr>
          <w:p w:rsidR="003155D2" w:rsidRPr="004C570C" w:rsidRDefault="003155D2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Контрольна група</w:t>
            </w:r>
          </w:p>
        </w:tc>
      </w:tr>
      <w:tr w:rsidR="00EB46F5" w:rsidRPr="004C570C" w:rsidTr="004C570C">
        <w:trPr>
          <w:trHeight w:val="454"/>
        </w:trPr>
        <w:tc>
          <w:tcPr>
            <w:tcW w:w="2213" w:type="dxa"/>
            <w:vMerge/>
            <w:vAlign w:val="center"/>
          </w:tcPr>
          <w:p w:rsidR="00EB46F5" w:rsidRPr="004C570C" w:rsidRDefault="00EB46F5" w:rsidP="004C570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B46F5" w:rsidRPr="004C570C" w:rsidRDefault="00EB46F5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абс.</w:t>
            </w:r>
          </w:p>
        </w:tc>
        <w:tc>
          <w:tcPr>
            <w:tcW w:w="1237" w:type="dxa"/>
          </w:tcPr>
          <w:p w:rsidR="00EB46F5" w:rsidRPr="004C570C" w:rsidRDefault="00EB46F5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139" w:type="dxa"/>
          </w:tcPr>
          <w:p w:rsidR="00EB46F5" w:rsidRPr="004C570C" w:rsidRDefault="00EB46F5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абс.</w:t>
            </w:r>
          </w:p>
        </w:tc>
        <w:tc>
          <w:tcPr>
            <w:tcW w:w="1200" w:type="dxa"/>
          </w:tcPr>
          <w:p w:rsidR="00EB46F5" w:rsidRPr="004C570C" w:rsidRDefault="00EB46F5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1102" w:type="dxa"/>
          </w:tcPr>
          <w:p w:rsidR="00EB46F5" w:rsidRPr="004C570C" w:rsidRDefault="00EB46F5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абс.</w:t>
            </w:r>
          </w:p>
        </w:tc>
        <w:tc>
          <w:tcPr>
            <w:tcW w:w="1134" w:type="dxa"/>
          </w:tcPr>
          <w:p w:rsidR="00EB46F5" w:rsidRPr="004C570C" w:rsidRDefault="00EB46F5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EB46F5" w:rsidRPr="004C570C" w:rsidTr="004C570C">
        <w:tc>
          <w:tcPr>
            <w:tcW w:w="2213" w:type="dxa"/>
            <w:vAlign w:val="center"/>
          </w:tcPr>
          <w:p w:rsidR="00EB46F5" w:rsidRPr="004C570C" w:rsidRDefault="00EB46F5" w:rsidP="004C570C">
            <w:pPr>
              <w:widowControl w:val="0"/>
              <w:ind w:right="-26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1331" w:type="dxa"/>
          </w:tcPr>
          <w:p w:rsidR="00EB46F5" w:rsidRPr="004C570C" w:rsidRDefault="00EB46F5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19 </w:t>
            </w:r>
          </w:p>
        </w:tc>
        <w:tc>
          <w:tcPr>
            <w:tcW w:w="1237" w:type="dxa"/>
          </w:tcPr>
          <w:p w:rsidR="00EB46F5" w:rsidRPr="004C570C" w:rsidRDefault="00EB46F5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19,8</w:t>
            </w:r>
          </w:p>
        </w:tc>
        <w:tc>
          <w:tcPr>
            <w:tcW w:w="1139" w:type="dxa"/>
          </w:tcPr>
          <w:p w:rsidR="00EB46F5" w:rsidRPr="004C570C" w:rsidRDefault="0066330B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00" w:type="dxa"/>
          </w:tcPr>
          <w:p w:rsidR="00EB46F5" w:rsidRPr="004C570C" w:rsidRDefault="0066330B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29,4</w:t>
            </w:r>
          </w:p>
        </w:tc>
        <w:tc>
          <w:tcPr>
            <w:tcW w:w="1102" w:type="dxa"/>
          </w:tcPr>
          <w:p w:rsidR="00EB46F5" w:rsidRPr="004C570C" w:rsidRDefault="00EB46F5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39  </w:t>
            </w:r>
          </w:p>
        </w:tc>
        <w:tc>
          <w:tcPr>
            <w:tcW w:w="1134" w:type="dxa"/>
          </w:tcPr>
          <w:p w:rsidR="00EB46F5" w:rsidRPr="004C570C" w:rsidRDefault="00EB46F5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40,6</w:t>
            </w:r>
          </w:p>
        </w:tc>
      </w:tr>
      <w:tr w:rsidR="00EB46F5" w:rsidRPr="004C570C" w:rsidTr="004C570C">
        <w:tc>
          <w:tcPr>
            <w:tcW w:w="2213" w:type="dxa"/>
            <w:vAlign w:val="center"/>
          </w:tcPr>
          <w:p w:rsidR="00EB46F5" w:rsidRPr="004C570C" w:rsidRDefault="00EB46F5" w:rsidP="004C570C">
            <w:pPr>
              <w:widowControl w:val="0"/>
              <w:ind w:right="-2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1331" w:type="dxa"/>
          </w:tcPr>
          <w:p w:rsidR="00EB46F5" w:rsidRPr="004C570C" w:rsidRDefault="00EB46F5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33  </w:t>
            </w:r>
          </w:p>
        </w:tc>
        <w:tc>
          <w:tcPr>
            <w:tcW w:w="1237" w:type="dxa"/>
          </w:tcPr>
          <w:p w:rsidR="00EB46F5" w:rsidRPr="004C570C" w:rsidRDefault="00EB46F5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34,4</w:t>
            </w:r>
          </w:p>
        </w:tc>
        <w:tc>
          <w:tcPr>
            <w:tcW w:w="1139" w:type="dxa"/>
          </w:tcPr>
          <w:p w:rsidR="00EB46F5" w:rsidRPr="004C570C" w:rsidRDefault="0066330B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200" w:type="dxa"/>
          </w:tcPr>
          <w:p w:rsidR="00EB46F5" w:rsidRPr="004C570C" w:rsidRDefault="0066330B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38,2</w:t>
            </w:r>
          </w:p>
        </w:tc>
        <w:tc>
          <w:tcPr>
            <w:tcW w:w="1102" w:type="dxa"/>
          </w:tcPr>
          <w:p w:rsidR="00EB46F5" w:rsidRPr="004C570C" w:rsidRDefault="00EB46F5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46  </w:t>
            </w:r>
          </w:p>
        </w:tc>
        <w:tc>
          <w:tcPr>
            <w:tcW w:w="1134" w:type="dxa"/>
          </w:tcPr>
          <w:p w:rsidR="00EB46F5" w:rsidRPr="004C570C" w:rsidRDefault="00EB46F5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47,9</w:t>
            </w:r>
          </w:p>
        </w:tc>
      </w:tr>
      <w:tr w:rsidR="00EB46F5" w:rsidRPr="004C570C" w:rsidTr="004C570C">
        <w:tc>
          <w:tcPr>
            <w:tcW w:w="2213" w:type="dxa"/>
            <w:vAlign w:val="center"/>
          </w:tcPr>
          <w:p w:rsidR="00EB46F5" w:rsidRPr="004C570C" w:rsidRDefault="00EB46F5" w:rsidP="004C570C">
            <w:pPr>
              <w:widowControl w:val="0"/>
              <w:ind w:right="-2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1331" w:type="dxa"/>
          </w:tcPr>
          <w:p w:rsidR="00EB46F5" w:rsidRPr="004C570C" w:rsidRDefault="00EB46F5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44 </w:t>
            </w:r>
          </w:p>
        </w:tc>
        <w:tc>
          <w:tcPr>
            <w:tcW w:w="1237" w:type="dxa"/>
          </w:tcPr>
          <w:p w:rsidR="00EB46F5" w:rsidRPr="004C570C" w:rsidRDefault="00EB46F5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45,8</w:t>
            </w:r>
          </w:p>
        </w:tc>
        <w:tc>
          <w:tcPr>
            <w:tcW w:w="1139" w:type="dxa"/>
          </w:tcPr>
          <w:p w:rsidR="00EB46F5" w:rsidRPr="004C570C" w:rsidRDefault="0066330B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00" w:type="dxa"/>
          </w:tcPr>
          <w:p w:rsidR="00EB46F5" w:rsidRPr="004C570C" w:rsidRDefault="0066330B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32,4</w:t>
            </w:r>
          </w:p>
        </w:tc>
        <w:tc>
          <w:tcPr>
            <w:tcW w:w="1102" w:type="dxa"/>
          </w:tcPr>
          <w:p w:rsidR="00EB46F5" w:rsidRPr="004C570C" w:rsidRDefault="00EB46F5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11 </w:t>
            </w:r>
          </w:p>
        </w:tc>
        <w:tc>
          <w:tcPr>
            <w:tcW w:w="1134" w:type="dxa"/>
          </w:tcPr>
          <w:p w:rsidR="00EB46F5" w:rsidRPr="004C570C" w:rsidRDefault="00EB46F5" w:rsidP="004C57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7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11,5</w:t>
            </w:r>
          </w:p>
        </w:tc>
      </w:tr>
    </w:tbl>
    <w:p w:rsidR="004C570C" w:rsidRDefault="004C570C" w:rsidP="004C570C">
      <w:pPr>
        <w:spacing w:after="0" w:line="240" w:lineRule="auto"/>
        <w:ind w:firstLine="567"/>
        <w:jc w:val="both"/>
        <w:rPr>
          <w:rFonts w:ascii="Times New Roman" w:hAnsi="Times New Roman"/>
          <w:sz w:val="4"/>
          <w:szCs w:val="4"/>
        </w:rPr>
      </w:pPr>
    </w:p>
    <w:p w:rsidR="004C570C" w:rsidRDefault="004C570C" w:rsidP="004C570C">
      <w:pPr>
        <w:spacing w:after="0" w:line="240" w:lineRule="auto"/>
        <w:ind w:firstLine="567"/>
        <w:jc w:val="both"/>
        <w:rPr>
          <w:rFonts w:ascii="Times New Roman" w:hAnsi="Times New Roman"/>
          <w:sz w:val="4"/>
          <w:szCs w:val="4"/>
        </w:rPr>
      </w:pPr>
    </w:p>
    <w:p w:rsidR="00227B94" w:rsidRPr="004C570C" w:rsidRDefault="00525D48" w:rsidP="00B277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570C">
        <w:rPr>
          <w:rFonts w:ascii="Times New Roman" w:hAnsi="Times New Roman"/>
          <w:sz w:val="24"/>
          <w:szCs w:val="24"/>
        </w:rPr>
        <w:t xml:space="preserve">Виконано клініко-статистичне моделювання (поліномінальний аналіз) нелінійних закономірностей вмісту апеліну-13 у хворих на ОА при </w:t>
      </w:r>
      <w:proofErr w:type="gramStart"/>
      <w:r w:rsidRPr="004C570C">
        <w:rPr>
          <w:rFonts w:ascii="Times New Roman" w:hAnsi="Times New Roman"/>
          <w:sz w:val="24"/>
          <w:szCs w:val="24"/>
        </w:rPr>
        <w:t>р</w:t>
      </w:r>
      <w:proofErr w:type="gramEnd"/>
      <w:r w:rsidRPr="004C570C">
        <w:rPr>
          <w:rFonts w:ascii="Times New Roman" w:hAnsi="Times New Roman"/>
          <w:sz w:val="24"/>
          <w:szCs w:val="24"/>
        </w:rPr>
        <w:t xml:space="preserve">ізних варіантах поліморфізму гена </w:t>
      </w:r>
      <w:r w:rsidRPr="004C570C">
        <w:rPr>
          <w:rFonts w:ascii="Times New Roman" w:hAnsi="Times New Roman"/>
          <w:i/>
          <w:sz w:val="24"/>
          <w:szCs w:val="24"/>
          <w:lang w:val="en-IE"/>
        </w:rPr>
        <w:t>VDR</w:t>
      </w:r>
      <w:r w:rsidRPr="004C570C">
        <w:rPr>
          <w:rFonts w:ascii="Times New Roman" w:hAnsi="Times New Roman"/>
          <w:sz w:val="24"/>
          <w:szCs w:val="24"/>
        </w:rPr>
        <w:t xml:space="preserve"> i отримані залежності з високим ступенем достовірності (</w:t>
      </w:r>
      <w:r w:rsidRPr="004C570C">
        <w:rPr>
          <w:rFonts w:ascii="Times New Roman" w:hAnsi="Times New Roman"/>
          <w:sz w:val="24"/>
          <w:szCs w:val="24"/>
          <w:lang w:val="en-US"/>
        </w:rPr>
        <w:t>R</w:t>
      </w:r>
      <w:r w:rsidRPr="004C570C">
        <w:rPr>
          <w:rFonts w:ascii="Times New Roman" w:hAnsi="Times New Roman"/>
          <w:sz w:val="24"/>
          <w:szCs w:val="24"/>
        </w:rPr>
        <w:t>=1,0, р&lt;0,05) для гомозигот по 1-й (</w:t>
      </w:r>
      <w:r w:rsidRPr="004C570C">
        <w:rPr>
          <w:rFonts w:ascii="Times New Roman" w:hAnsi="Times New Roman"/>
          <w:sz w:val="24"/>
          <w:szCs w:val="24"/>
          <w:lang w:val="en-US"/>
        </w:rPr>
        <w:t>bb</w:t>
      </w:r>
      <w:r w:rsidRPr="004C570C">
        <w:rPr>
          <w:rFonts w:ascii="Times New Roman" w:hAnsi="Times New Roman"/>
          <w:sz w:val="24"/>
          <w:szCs w:val="24"/>
        </w:rPr>
        <w:t>) та другій (</w:t>
      </w:r>
      <w:r w:rsidRPr="004C570C">
        <w:rPr>
          <w:rFonts w:ascii="Times New Roman" w:hAnsi="Times New Roman"/>
          <w:sz w:val="24"/>
          <w:szCs w:val="24"/>
          <w:lang w:val="en-US"/>
        </w:rPr>
        <w:t>BB</w:t>
      </w:r>
      <w:r w:rsidRPr="004C570C">
        <w:rPr>
          <w:rFonts w:ascii="Times New Roman" w:hAnsi="Times New Roman"/>
          <w:sz w:val="24"/>
          <w:szCs w:val="24"/>
        </w:rPr>
        <w:t xml:space="preserve">) алелям. Таким чином, визначені статистичні моделі дають змогу прогнозувати індивідуальний </w:t>
      </w:r>
      <w:proofErr w:type="gramStart"/>
      <w:r w:rsidRPr="004C570C">
        <w:rPr>
          <w:rFonts w:ascii="Times New Roman" w:hAnsi="Times New Roman"/>
          <w:sz w:val="24"/>
          <w:szCs w:val="24"/>
        </w:rPr>
        <w:t>р</w:t>
      </w:r>
      <w:proofErr w:type="gramEnd"/>
      <w:r w:rsidRPr="004C570C">
        <w:rPr>
          <w:rFonts w:ascii="Times New Roman" w:hAnsi="Times New Roman"/>
          <w:sz w:val="24"/>
          <w:szCs w:val="24"/>
        </w:rPr>
        <w:t xml:space="preserve">івень вмісту апеліну-13 залежно від зміни ІМТ, тобто прогнозувати перебіг ОА у осіб з ожирінням (рис. </w:t>
      </w:r>
      <w:r w:rsidR="00CA52A7" w:rsidRPr="004C570C">
        <w:rPr>
          <w:rFonts w:ascii="Times New Roman" w:hAnsi="Times New Roman"/>
          <w:sz w:val="24"/>
          <w:szCs w:val="24"/>
        </w:rPr>
        <w:t>1</w:t>
      </w:r>
      <w:r w:rsidRPr="004C570C">
        <w:rPr>
          <w:rFonts w:ascii="Times New Roman" w:hAnsi="Times New Roman"/>
          <w:sz w:val="24"/>
          <w:szCs w:val="24"/>
        </w:rPr>
        <w:t>).</w:t>
      </w:r>
    </w:p>
    <w:p w:rsidR="00CA52A7" w:rsidRPr="004C570C" w:rsidRDefault="003420E9" w:rsidP="004C5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378460</wp:posOffset>
                </wp:positionV>
                <wp:extent cx="800100" cy="457200"/>
                <wp:effectExtent l="0" t="0" r="0" b="0"/>
                <wp:wrapNone/>
                <wp:docPr id="233" name="Поле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04" w:rsidRPr="00C36FE8" w:rsidRDefault="00581504" w:rsidP="00525D48">
                            <w:pPr>
                              <w:rPr>
                                <w:color w:val="000080"/>
                                <w:spacing w:val="-6"/>
                              </w:rPr>
                            </w:pPr>
                            <w:r w:rsidRPr="00C36FE8">
                              <w:rPr>
                                <w:rFonts w:ascii="Times New Roman" w:hAnsi="Times New Roman"/>
                                <w:color w:val="000080"/>
                                <w:spacing w:val="-6"/>
                                <w:sz w:val="28"/>
                                <w:szCs w:val="28"/>
                              </w:rPr>
                              <w:t>пг/</w:t>
                            </w:r>
                            <w:r>
                              <w:rPr>
                                <w:rFonts w:ascii="Times New Roman" w:hAnsi="Times New Roman"/>
                                <w:color w:val="000080"/>
                                <w:spacing w:val="-6"/>
                                <w:sz w:val="28"/>
                                <w:szCs w:val="28"/>
                              </w:rPr>
                              <w:t>мл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3" o:spid="_x0000_s1026" type="#_x0000_t202" style="position:absolute;left:0;text-align:left;margin-left:78.7pt;margin-top:29.8pt;width:6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" stroked="f">
                <v:fill opacity="0"/>
                <v:textbox>
                  <w:txbxContent>
                    <w:p w:rsidR="00581504" w:rsidRPr="00C36FE8" w:rsidRDefault="00581504" w:rsidP="00525D48">
                      <w:pPr>
                        <w:rPr>
                          <w:color w:val="000080"/>
                          <w:spacing w:val="-6"/>
                        </w:rPr>
                      </w:pPr>
                      <w:r w:rsidRPr="00C36FE8">
                        <w:rPr>
                          <w:rFonts w:ascii="Times New Roman" w:hAnsi="Times New Roman"/>
                          <w:color w:val="000080"/>
                          <w:spacing w:val="-6"/>
                          <w:sz w:val="28"/>
                          <w:szCs w:val="28"/>
                        </w:rPr>
                        <w:t>пг/</w:t>
                      </w:r>
                      <w:r>
                        <w:rPr>
                          <w:rFonts w:ascii="Times New Roman" w:hAnsi="Times New Roman"/>
                          <w:color w:val="000080"/>
                          <w:spacing w:val="-6"/>
                          <w:sz w:val="28"/>
                          <w:szCs w:val="28"/>
                        </w:rPr>
                        <w:t>мл</w:t>
                      </w:r>
                    </w:p>
                  </w:txbxContent>
                </v:textbox>
              </v:shape>
            </w:pict>
          </mc:Fallback>
        </mc:AlternateContent>
      </w:r>
      <w:r w:rsidR="00D9795B" w:rsidRPr="004C570C">
        <w:rPr>
          <w:noProof/>
          <w:sz w:val="24"/>
          <w:szCs w:val="24"/>
        </w:rPr>
        <w:drawing>
          <wp:inline distT="0" distB="0" distL="0" distR="0" wp14:anchorId="6F73F5F6" wp14:editId="4EAFDF3E">
            <wp:extent cx="5884903" cy="369570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69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0C" w:rsidRDefault="004C570C" w:rsidP="004C57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52A7" w:rsidRPr="004C570C" w:rsidRDefault="00CA52A7" w:rsidP="004C5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70C">
        <w:rPr>
          <w:rFonts w:ascii="Times New Roman" w:hAnsi="Times New Roman"/>
          <w:sz w:val="24"/>
          <w:szCs w:val="24"/>
        </w:rPr>
        <w:t xml:space="preserve">Рис. 1. </w:t>
      </w:r>
      <w:r w:rsidRPr="004C570C">
        <w:rPr>
          <w:rFonts w:ascii="Times New Roman" w:hAnsi="Times New Roman"/>
          <w:b/>
          <w:sz w:val="24"/>
          <w:szCs w:val="24"/>
        </w:rPr>
        <w:t>Залежність вмісту апеліну-13 (</w:t>
      </w:r>
      <w:r w:rsidRPr="004C570C">
        <w:rPr>
          <w:rFonts w:ascii="Times New Roman" w:hAnsi="Times New Roman"/>
          <w:b/>
          <w:sz w:val="24"/>
          <w:szCs w:val="24"/>
          <w:lang w:val="en-US"/>
        </w:rPr>
        <w:t>Y</w:t>
      </w:r>
      <w:r w:rsidRPr="004C570C">
        <w:rPr>
          <w:rFonts w:ascii="Times New Roman" w:hAnsi="Times New Roman"/>
          <w:b/>
          <w:sz w:val="24"/>
          <w:szCs w:val="24"/>
        </w:rPr>
        <w:t>, пг/мл) від ступеня ожиріння у хворих</w:t>
      </w:r>
      <w:r w:rsidR="00DA3DE0" w:rsidRPr="004C570C">
        <w:rPr>
          <w:rFonts w:ascii="Times New Roman" w:hAnsi="Times New Roman"/>
          <w:b/>
          <w:sz w:val="24"/>
          <w:szCs w:val="24"/>
        </w:rPr>
        <w:t xml:space="preserve"> </w:t>
      </w:r>
      <w:r w:rsidRPr="004C570C">
        <w:rPr>
          <w:rFonts w:ascii="Times New Roman" w:hAnsi="Times New Roman"/>
          <w:b/>
          <w:sz w:val="24"/>
          <w:szCs w:val="24"/>
        </w:rPr>
        <w:t xml:space="preserve"> на</w:t>
      </w:r>
      <w:r w:rsidR="00DA3DE0" w:rsidRPr="004C570C">
        <w:rPr>
          <w:rFonts w:ascii="Times New Roman" w:hAnsi="Times New Roman"/>
          <w:b/>
          <w:sz w:val="24"/>
          <w:szCs w:val="24"/>
        </w:rPr>
        <w:t xml:space="preserve"> </w:t>
      </w:r>
      <w:r w:rsidRPr="004C570C">
        <w:rPr>
          <w:rFonts w:ascii="Times New Roman" w:hAnsi="Times New Roman"/>
          <w:b/>
          <w:sz w:val="24"/>
          <w:szCs w:val="24"/>
        </w:rPr>
        <w:t xml:space="preserve"> остеоартроз з </w:t>
      </w:r>
      <w:proofErr w:type="gramStart"/>
      <w:r w:rsidRPr="004C57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C570C">
        <w:rPr>
          <w:rFonts w:ascii="Times New Roman" w:hAnsi="Times New Roman"/>
          <w:b/>
          <w:sz w:val="24"/>
          <w:szCs w:val="24"/>
        </w:rPr>
        <w:t>ізними</w:t>
      </w:r>
      <w:r w:rsidR="00DA3DE0" w:rsidRPr="004C570C">
        <w:rPr>
          <w:rFonts w:ascii="Times New Roman" w:hAnsi="Times New Roman"/>
          <w:b/>
          <w:sz w:val="24"/>
          <w:szCs w:val="24"/>
        </w:rPr>
        <w:t xml:space="preserve"> </w:t>
      </w:r>
      <w:r w:rsidRPr="004C570C">
        <w:rPr>
          <w:rFonts w:ascii="Times New Roman" w:hAnsi="Times New Roman"/>
          <w:b/>
          <w:sz w:val="24"/>
          <w:szCs w:val="24"/>
        </w:rPr>
        <w:t xml:space="preserve">варіантами поліморфізму гену </w:t>
      </w:r>
      <w:r w:rsidRPr="004C570C">
        <w:rPr>
          <w:rFonts w:ascii="Times New Roman" w:hAnsi="Times New Roman"/>
          <w:b/>
          <w:i/>
          <w:sz w:val="24"/>
          <w:szCs w:val="24"/>
          <w:lang w:val="en-US"/>
        </w:rPr>
        <w:t>VDR</w:t>
      </w:r>
    </w:p>
    <w:p w:rsidR="00FD495D" w:rsidRPr="004C570C" w:rsidRDefault="00CA52A7" w:rsidP="004C5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70C">
        <w:rPr>
          <w:rFonts w:ascii="Times New Roman" w:hAnsi="Times New Roman"/>
          <w:b/>
          <w:sz w:val="24"/>
          <w:szCs w:val="24"/>
        </w:rPr>
        <w:t>(</w:t>
      </w:r>
      <w:r w:rsidRPr="004C570C">
        <w:rPr>
          <w:rFonts w:ascii="Times New Roman" w:hAnsi="Times New Roman"/>
          <w:b/>
          <w:sz w:val="24"/>
          <w:szCs w:val="24"/>
          <w:lang w:val="en-US"/>
        </w:rPr>
        <w:t>bb</w:t>
      </w:r>
      <w:r w:rsidRPr="004C570C">
        <w:rPr>
          <w:rFonts w:ascii="Times New Roman" w:hAnsi="Times New Roman"/>
          <w:b/>
          <w:sz w:val="24"/>
          <w:szCs w:val="24"/>
        </w:rPr>
        <w:t xml:space="preserve">, </w:t>
      </w:r>
      <w:r w:rsidRPr="004C570C">
        <w:rPr>
          <w:rFonts w:ascii="Times New Roman" w:hAnsi="Times New Roman"/>
          <w:b/>
          <w:sz w:val="24"/>
          <w:szCs w:val="24"/>
          <w:lang w:val="en-US"/>
        </w:rPr>
        <w:t>Bb</w:t>
      </w:r>
      <w:r w:rsidRPr="004C570C">
        <w:rPr>
          <w:rFonts w:ascii="Times New Roman" w:hAnsi="Times New Roman"/>
          <w:b/>
          <w:sz w:val="24"/>
          <w:szCs w:val="24"/>
        </w:rPr>
        <w:t xml:space="preserve">, </w:t>
      </w:r>
      <w:r w:rsidRPr="004C570C">
        <w:rPr>
          <w:rFonts w:ascii="Times New Roman" w:hAnsi="Times New Roman"/>
          <w:b/>
          <w:sz w:val="24"/>
          <w:szCs w:val="24"/>
          <w:lang w:val="en-US"/>
        </w:rPr>
        <w:t>BB</w:t>
      </w:r>
      <w:r w:rsidRPr="004C570C">
        <w:rPr>
          <w:rFonts w:ascii="Times New Roman" w:hAnsi="Times New Roman"/>
          <w:b/>
          <w:sz w:val="24"/>
          <w:szCs w:val="24"/>
        </w:rPr>
        <w:t xml:space="preserve"> – варіанти генотипу, х – індекс маси </w:t>
      </w:r>
      <w:proofErr w:type="gramStart"/>
      <w:r w:rsidRPr="004C570C">
        <w:rPr>
          <w:rFonts w:ascii="Times New Roman" w:hAnsi="Times New Roman"/>
          <w:b/>
          <w:sz w:val="24"/>
          <w:szCs w:val="24"/>
        </w:rPr>
        <w:t>тіла</w:t>
      </w:r>
      <w:proofErr w:type="gramEnd"/>
      <w:r w:rsidRPr="004C570C">
        <w:rPr>
          <w:rFonts w:ascii="Times New Roman" w:hAnsi="Times New Roman"/>
          <w:b/>
          <w:sz w:val="24"/>
          <w:szCs w:val="24"/>
        </w:rPr>
        <w:t>)</w:t>
      </w:r>
    </w:p>
    <w:p w:rsidR="00866F84" w:rsidRPr="004C570C" w:rsidRDefault="00866F84" w:rsidP="004C57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4EC" w:rsidRPr="00B2778E" w:rsidRDefault="00FD495D" w:rsidP="00B2778E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C570C">
        <w:rPr>
          <w:rFonts w:ascii="Times New Roman" w:hAnsi="Times New Roman"/>
          <w:sz w:val="24"/>
          <w:szCs w:val="24"/>
        </w:rPr>
        <w:t>В-алел</w:t>
      </w:r>
      <w:r w:rsidR="00DA3DE0" w:rsidRPr="004C570C">
        <w:rPr>
          <w:rFonts w:ascii="Times New Roman" w:hAnsi="Times New Roman"/>
          <w:sz w:val="24"/>
          <w:szCs w:val="24"/>
        </w:rPr>
        <w:t>ь</w:t>
      </w:r>
      <w:r w:rsidRPr="004C570C">
        <w:rPr>
          <w:rFonts w:ascii="Times New Roman" w:hAnsi="Times New Roman"/>
          <w:sz w:val="24"/>
          <w:szCs w:val="24"/>
        </w:rPr>
        <w:t xml:space="preserve"> в генотипі гену </w:t>
      </w:r>
      <w:r w:rsidRPr="004C570C">
        <w:rPr>
          <w:rFonts w:ascii="Times New Roman" w:hAnsi="Times New Roman"/>
          <w:bCs/>
          <w:i/>
          <w:sz w:val="24"/>
          <w:szCs w:val="24"/>
          <w:lang w:val="en-US"/>
        </w:rPr>
        <w:t>VDR</w:t>
      </w:r>
      <w:r w:rsidRPr="004C570C">
        <w:rPr>
          <w:rFonts w:ascii="Times New Roman" w:hAnsi="Times New Roman"/>
          <w:bCs/>
          <w:sz w:val="24"/>
          <w:szCs w:val="24"/>
        </w:rPr>
        <w:t xml:space="preserve"> корелювала з рентгенологічною стадією захворювання</w:t>
      </w:r>
      <w:r w:rsidR="0021793B" w:rsidRPr="004C570C">
        <w:rPr>
          <w:rFonts w:ascii="Times New Roman" w:hAnsi="Times New Roman"/>
          <w:bCs/>
          <w:sz w:val="24"/>
          <w:szCs w:val="24"/>
        </w:rPr>
        <w:t>:</w:t>
      </w:r>
      <w:r w:rsidRPr="004C570C">
        <w:rPr>
          <w:rFonts w:ascii="Times New Roman" w:hAnsi="Times New Roman"/>
          <w:bCs/>
          <w:sz w:val="24"/>
          <w:szCs w:val="24"/>
        </w:rPr>
        <w:t xml:space="preserve"> найбільша кількість пацієнтів мала 2</w:t>
      </w:r>
      <w:r w:rsidR="00DA3DE0" w:rsidRPr="004C570C">
        <w:rPr>
          <w:rFonts w:ascii="Times New Roman" w:hAnsi="Times New Roman"/>
          <w:bCs/>
          <w:sz w:val="24"/>
          <w:szCs w:val="24"/>
        </w:rPr>
        <w:t>-гу</w:t>
      </w:r>
      <w:r w:rsidRPr="004C570C">
        <w:rPr>
          <w:rFonts w:ascii="Times New Roman" w:hAnsi="Times New Roman"/>
          <w:bCs/>
          <w:sz w:val="24"/>
          <w:szCs w:val="24"/>
        </w:rPr>
        <w:t xml:space="preserve"> (32 особи – 33,3%) та 3</w:t>
      </w:r>
      <w:r w:rsidR="00DA3DE0" w:rsidRPr="004C570C">
        <w:rPr>
          <w:rFonts w:ascii="Times New Roman" w:hAnsi="Times New Roman"/>
          <w:bCs/>
          <w:sz w:val="24"/>
          <w:szCs w:val="24"/>
        </w:rPr>
        <w:t>-ю</w:t>
      </w:r>
      <w:r w:rsidRPr="004C570C">
        <w:rPr>
          <w:rFonts w:ascii="Times New Roman" w:hAnsi="Times New Roman"/>
          <w:bCs/>
          <w:sz w:val="24"/>
          <w:szCs w:val="24"/>
        </w:rPr>
        <w:t xml:space="preserve"> (19</w:t>
      </w:r>
      <w:r w:rsidR="00CE2154" w:rsidRPr="004C570C">
        <w:rPr>
          <w:rFonts w:ascii="Times New Roman" w:hAnsi="Times New Roman"/>
          <w:bCs/>
          <w:sz w:val="24"/>
          <w:szCs w:val="24"/>
        </w:rPr>
        <w:t xml:space="preserve"> – 19,8%</w:t>
      </w:r>
      <w:r w:rsidRPr="004C570C">
        <w:rPr>
          <w:rFonts w:ascii="Times New Roman" w:hAnsi="Times New Roman"/>
          <w:bCs/>
          <w:sz w:val="24"/>
          <w:szCs w:val="24"/>
        </w:rPr>
        <w:t>) рентгенологічні стадії</w:t>
      </w:r>
      <w:r w:rsidR="00DA3DE0" w:rsidRPr="004C570C">
        <w:rPr>
          <w:rFonts w:ascii="Times New Roman" w:hAnsi="Times New Roman"/>
          <w:bCs/>
          <w:sz w:val="24"/>
          <w:szCs w:val="24"/>
        </w:rPr>
        <w:t xml:space="preserve"> (табл</w:t>
      </w:r>
      <w:r w:rsidRPr="004C570C">
        <w:rPr>
          <w:rFonts w:ascii="Times New Roman" w:hAnsi="Times New Roman"/>
          <w:bCs/>
          <w:sz w:val="24"/>
          <w:szCs w:val="24"/>
        </w:rPr>
        <w:t>.</w:t>
      </w:r>
      <w:r w:rsidR="005E32DE">
        <w:rPr>
          <w:rFonts w:ascii="Times New Roman" w:hAnsi="Times New Roman"/>
          <w:bCs/>
          <w:sz w:val="24"/>
          <w:szCs w:val="24"/>
        </w:rPr>
        <w:t xml:space="preserve"> </w:t>
      </w:r>
      <w:r w:rsidR="00DA3DE0" w:rsidRPr="004C570C">
        <w:rPr>
          <w:rFonts w:ascii="Times New Roman" w:hAnsi="Times New Roman"/>
          <w:bCs/>
          <w:sz w:val="24"/>
          <w:szCs w:val="24"/>
        </w:rPr>
        <w:t>2).</w:t>
      </w:r>
      <w:r w:rsidRPr="004C570C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</w:p>
    <w:p w:rsidR="001D39EB" w:rsidRPr="004C570C" w:rsidRDefault="001D39EB" w:rsidP="001D39EB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354EC">
        <w:rPr>
          <w:rFonts w:ascii="Times New Roman" w:hAnsi="Times New Roman"/>
          <w:sz w:val="24"/>
          <w:szCs w:val="24"/>
          <w:lang w:val="uk-UA"/>
        </w:rPr>
        <w:t>Також була доведена залежність між рівнем апеліну-13 та рентгенологічною стадією захворювання</w:t>
      </w:r>
      <w:r w:rsidR="00B2778E">
        <w:rPr>
          <w:rFonts w:ascii="Times New Roman" w:hAnsi="Times New Roman"/>
          <w:sz w:val="24"/>
          <w:szCs w:val="24"/>
          <w:lang w:val="uk-UA"/>
        </w:rPr>
        <w:t xml:space="preserve"> (табл. 2)</w:t>
      </w:r>
      <w:r w:rsidRPr="004354EC">
        <w:rPr>
          <w:rFonts w:ascii="Times New Roman" w:hAnsi="Times New Roman"/>
          <w:sz w:val="24"/>
          <w:szCs w:val="24"/>
          <w:lang w:val="uk-UA"/>
        </w:rPr>
        <w:t>: достовірне збільшення даного показника визначали у пацієнтів з ОА першої (70,29±6,04</w:t>
      </w:r>
      <w:r w:rsidRPr="004354EC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 пг/мл</w:t>
      </w:r>
      <w:r w:rsidRPr="004354EC">
        <w:rPr>
          <w:rFonts w:ascii="Times New Roman" w:hAnsi="Times New Roman"/>
          <w:sz w:val="24"/>
          <w:szCs w:val="24"/>
          <w:lang w:val="uk-UA"/>
        </w:rPr>
        <w:t>), третьої (77,47</w:t>
      </w:r>
      <w:r w:rsidRPr="004354EC">
        <w:rPr>
          <w:rFonts w:ascii="Times New Roman" w:hAnsi="Times New Roman"/>
          <w:sz w:val="24"/>
          <w:szCs w:val="24"/>
          <w:vertAlign w:val="superscript"/>
          <w:lang w:val="uk-UA"/>
        </w:rPr>
        <w:t>а</w:t>
      </w:r>
      <w:r w:rsidRPr="004354EC">
        <w:rPr>
          <w:rFonts w:ascii="Times New Roman" w:hAnsi="Times New Roman"/>
          <w:sz w:val="24"/>
          <w:szCs w:val="24"/>
          <w:lang w:val="uk-UA"/>
        </w:rPr>
        <w:t>±4,61</w:t>
      </w:r>
      <w:r w:rsidRPr="004354EC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 пг/мл</w:t>
      </w:r>
      <w:r w:rsidRPr="004354EC">
        <w:rPr>
          <w:rFonts w:ascii="Times New Roman" w:hAnsi="Times New Roman"/>
          <w:sz w:val="24"/>
          <w:szCs w:val="24"/>
          <w:lang w:val="uk-UA"/>
        </w:rPr>
        <w:t>) та четвертої стадіями (77,61</w:t>
      </w:r>
      <w:r w:rsidRPr="004354EC">
        <w:rPr>
          <w:rFonts w:ascii="Times New Roman" w:hAnsi="Times New Roman"/>
          <w:sz w:val="24"/>
          <w:szCs w:val="24"/>
          <w:vertAlign w:val="superscript"/>
          <w:lang w:val="uk-UA"/>
        </w:rPr>
        <w:t>в</w:t>
      </w:r>
      <w:r w:rsidRPr="004354EC">
        <w:rPr>
          <w:rFonts w:ascii="Times New Roman" w:hAnsi="Times New Roman"/>
          <w:sz w:val="24"/>
          <w:szCs w:val="24"/>
          <w:lang w:val="uk-UA"/>
        </w:rPr>
        <w:t>±6,19</w:t>
      </w:r>
      <w:r w:rsidRPr="004354EC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 пг/мл</w:t>
      </w:r>
      <w:r w:rsidRPr="004354EC">
        <w:rPr>
          <w:rFonts w:ascii="Times New Roman" w:hAnsi="Times New Roman"/>
          <w:sz w:val="24"/>
          <w:szCs w:val="24"/>
          <w:lang w:val="uk-UA"/>
        </w:rPr>
        <w:t xml:space="preserve">) у порівнянні з хворими ІІ-ї стадії (62,92±4,25 пг/мл). </w:t>
      </w:r>
      <w:r w:rsidRPr="00EA1F2A">
        <w:rPr>
          <w:rFonts w:ascii="Times New Roman" w:hAnsi="Times New Roman"/>
          <w:sz w:val="24"/>
          <w:szCs w:val="24"/>
          <w:lang w:val="uk-UA"/>
        </w:rPr>
        <w:t xml:space="preserve">На нашу думку, означені зміни можна пояснити наступним чином. Так, на початку формування хвороби та при розвиненій клінічній картині відбувається активація синтезу  даного адипокіну, а на стадії  </w:t>
      </w:r>
      <w:r w:rsidRPr="00EA1F2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мінімальних </w:t>
      </w:r>
      <w:r w:rsidRPr="00EA1F2A">
        <w:rPr>
          <w:rFonts w:ascii="Times New Roman" w:hAnsi="Times New Roman"/>
          <w:sz w:val="24"/>
          <w:szCs w:val="24"/>
          <w:lang w:val="uk-UA"/>
        </w:rPr>
        <w:t xml:space="preserve">рентгенологічних змін, ймовірно, активація захисних механізмів з метою  </w:t>
      </w:r>
      <w:r w:rsidRPr="004C570C">
        <w:rPr>
          <w:rFonts w:ascii="Times New Roman" w:hAnsi="Times New Roman"/>
          <w:sz w:val="24"/>
          <w:szCs w:val="24"/>
        </w:rPr>
        <w:t>«придушити»  подальший розвиток дистрофічних змін у суглобі.</w:t>
      </w:r>
    </w:p>
    <w:p w:rsidR="00D9795B" w:rsidRPr="004C570C" w:rsidRDefault="00DA3DE0" w:rsidP="004C570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4C570C">
        <w:rPr>
          <w:rFonts w:ascii="Times New Roman" w:hAnsi="Times New Roman"/>
          <w:sz w:val="24"/>
          <w:szCs w:val="24"/>
        </w:rPr>
        <w:lastRenderedPageBreak/>
        <w:t>Табл</w:t>
      </w:r>
      <w:r w:rsidR="00D9795B" w:rsidRPr="004C570C">
        <w:rPr>
          <w:rFonts w:ascii="Times New Roman" w:hAnsi="Times New Roman"/>
          <w:sz w:val="24"/>
          <w:szCs w:val="24"/>
        </w:rPr>
        <w:t xml:space="preserve">иця </w:t>
      </w:r>
      <w:r w:rsidRPr="004C570C">
        <w:rPr>
          <w:rFonts w:ascii="Times New Roman" w:hAnsi="Times New Roman"/>
          <w:sz w:val="24"/>
          <w:szCs w:val="24"/>
        </w:rPr>
        <w:t>2.</w:t>
      </w:r>
    </w:p>
    <w:p w:rsidR="00FD495D" w:rsidRPr="004C570C" w:rsidRDefault="00FD495D" w:rsidP="004C570C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proofErr w:type="gramStart"/>
      <w:r w:rsidRPr="004C57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C570C">
        <w:rPr>
          <w:rFonts w:ascii="Times New Roman" w:hAnsi="Times New Roman"/>
          <w:b/>
          <w:sz w:val="24"/>
          <w:szCs w:val="24"/>
        </w:rPr>
        <w:t xml:space="preserve">івень апеліну-13 у хворих з поліморфізмом </w:t>
      </w:r>
      <w:r w:rsidRPr="004C570C">
        <w:rPr>
          <w:rFonts w:ascii="Times New Roman" w:hAnsi="Times New Roman"/>
          <w:b/>
          <w:spacing w:val="-2"/>
          <w:sz w:val="24"/>
          <w:szCs w:val="24"/>
        </w:rPr>
        <w:t xml:space="preserve">гену рецептора вітаміну </w:t>
      </w:r>
      <w:r w:rsidRPr="004C570C">
        <w:rPr>
          <w:rFonts w:ascii="Times New Roman" w:hAnsi="Times New Roman"/>
          <w:b/>
          <w:spacing w:val="-2"/>
          <w:sz w:val="24"/>
          <w:szCs w:val="24"/>
          <w:lang w:val="en-US"/>
        </w:rPr>
        <w:t>D</w:t>
      </w:r>
      <w:r w:rsidRPr="004C570C">
        <w:rPr>
          <w:rFonts w:ascii="Times New Roman" w:hAnsi="Times New Roman"/>
          <w:b/>
          <w:spacing w:val="-2"/>
          <w:sz w:val="24"/>
          <w:szCs w:val="24"/>
        </w:rPr>
        <w:t xml:space="preserve"> в залежності від рентгенологічної стадії остеоартрозу</w:t>
      </w:r>
    </w:p>
    <w:p w:rsidR="00FD495D" w:rsidRPr="004C570C" w:rsidRDefault="00FD495D" w:rsidP="004C570C">
      <w:pPr>
        <w:spacing w:after="0" w:line="240" w:lineRule="auto"/>
        <w:ind w:firstLine="567"/>
        <w:jc w:val="center"/>
        <w:rPr>
          <w:rFonts w:ascii="Times New Roman" w:hAnsi="Times New Roman"/>
          <w:spacing w:val="-2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5"/>
        <w:gridCol w:w="709"/>
        <w:gridCol w:w="1134"/>
        <w:gridCol w:w="709"/>
        <w:gridCol w:w="1134"/>
        <w:gridCol w:w="708"/>
        <w:gridCol w:w="1276"/>
        <w:gridCol w:w="709"/>
        <w:gridCol w:w="1134"/>
      </w:tblGrid>
      <w:tr w:rsidR="00FD495D" w:rsidRPr="004C570C" w:rsidTr="005E32DE">
        <w:trPr>
          <w:trHeight w:val="302"/>
        </w:trPr>
        <w:tc>
          <w:tcPr>
            <w:tcW w:w="1843" w:type="dxa"/>
            <w:gridSpan w:val="2"/>
            <w:vMerge w:val="restart"/>
            <w:vAlign w:val="center"/>
          </w:tcPr>
          <w:p w:rsidR="00FD495D" w:rsidRPr="004C570C" w:rsidRDefault="00FD495D" w:rsidP="004C570C">
            <w:pPr>
              <w:widowControl w:val="0"/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 xml:space="preserve">Варіанти </w:t>
            </w:r>
          </w:p>
          <w:p w:rsidR="00FD495D" w:rsidRPr="004C570C" w:rsidRDefault="00FD495D" w:rsidP="004C570C">
            <w:pPr>
              <w:widowControl w:val="0"/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поліморфізму</w:t>
            </w:r>
          </w:p>
          <w:p w:rsidR="00FD495D" w:rsidRPr="004C570C" w:rsidRDefault="00FD495D" w:rsidP="004C570C">
            <w:pPr>
              <w:widowControl w:val="0"/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570C">
              <w:rPr>
                <w:rFonts w:ascii="Times New Roman" w:hAnsi="Times New Roman"/>
                <w:bCs/>
                <w:sz w:val="24"/>
                <w:szCs w:val="24"/>
              </w:rPr>
              <w:t xml:space="preserve">гену </w:t>
            </w:r>
            <w:r w:rsidRPr="004C570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VDR</w:t>
            </w:r>
          </w:p>
        </w:tc>
        <w:tc>
          <w:tcPr>
            <w:tcW w:w="7513" w:type="dxa"/>
            <w:gridSpan w:val="8"/>
            <w:vAlign w:val="center"/>
          </w:tcPr>
          <w:p w:rsidR="00FD495D" w:rsidRPr="004C570C" w:rsidRDefault="00FD495D" w:rsidP="004C570C">
            <w:pPr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 xml:space="preserve">Рентгенологічні стадії остеоартрозу </w:t>
            </w:r>
          </w:p>
        </w:tc>
      </w:tr>
      <w:tr w:rsidR="00FD495D" w:rsidRPr="004C570C" w:rsidTr="00B2778E">
        <w:trPr>
          <w:trHeight w:val="449"/>
        </w:trPr>
        <w:tc>
          <w:tcPr>
            <w:tcW w:w="1843" w:type="dxa"/>
            <w:gridSpan w:val="2"/>
            <w:vMerge/>
            <w:vAlign w:val="center"/>
          </w:tcPr>
          <w:p w:rsidR="00FD495D" w:rsidRPr="004C570C" w:rsidRDefault="00FD495D" w:rsidP="004C570C">
            <w:pPr>
              <w:widowControl w:val="0"/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D495D" w:rsidRPr="004C570C" w:rsidRDefault="00FD495D" w:rsidP="004C570C">
            <w:pPr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843" w:type="dxa"/>
            <w:gridSpan w:val="2"/>
            <w:vAlign w:val="center"/>
          </w:tcPr>
          <w:p w:rsidR="00FD495D" w:rsidRPr="004C570C" w:rsidRDefault="00FD495D" w:rsidP="004C570C">
            <w:pPr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984" w:type="dxa"/>
            <w:gridSpan w:val="2"/>
            <w:vAlign w:val="center"/>
          </w:tcPr>
          <w:p w:rsidR="00FD495D" w:rsidRPr="004C570C" w:rsidRDefault="00FD495D" w:rsidP="004C570C">
            <w:pPr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843" w:type="dxa"/>
            <w:gridSpan w:val="2"/>
            <w:vAlign w:val="center"/>
          </w:tcPr>
          <w:p w:rsidR="00FD495D" w:rsidRPr="004C570C" w:rsidRDefault="00FD495D" w:rsidP="004C570C">
            <w:pPr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І</w:t>
            </w: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FD495D" w:rsidRPr="004C570C" w:rsidTr="00581504">
        <w:trPr>
          <w:trHeight w:val="258"/>
        </w:trPr>
        <w:tc>
          <w:tcPr>
            <w:tcW w:w="1843" w:type="dxa"/>
            <w:gridSpan w:val="2"/>
            <w:vMerge/>
            <w:vAlign w:val="center"/>
          </w:tcPr>
          <w:p w:rsidR="00FD495D" w:rsidRPr="004C570C" w:rsidRDefault="00FD495D" w:rsidP="004C570C">
            <w:pPr>
              <w:widowControl w:val="0"/>
              <w:spacing w:after="0" w:line="240" w:lineRule="auto"/>
              <w:ind w:left="-108" w:right="-96" w:hanging="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495D" w:rsidRPr="004C570C" w:rsidRDefault="00FD495D" w:rsidP="004C570C">
            <w:pPr>
              <w:widowControl w:val="0"/>
              <w:spacing w:after="0" w:line="240" w:lineRule="auto"/>
              <w:ind w:left="-108" w:right="-96" w:hanging="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70C">
              <w:rPr>
                <w:rFonts w:ascii="Times New Roman" w:hAnsi="Times New Roman"/>
                <w:bCs/>
                <w:sz w:val="24"/>
                <w:szCs w:val="24"/>
              </w:rPr>
              <w:t>абс.</w:t>
            </w:r>
          </w:p>
        </w:tc>
        <w:tc>
          <w:tcPr>
            <w:tcW w:w="1134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left="-24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М±</w:t>
            </w: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C57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495D" w:rsidRPr="004C570C" w:rsidRDefault="00FD495D" w:rsidP="004C570C">
            <w:pPr>
              <w:spacing w:after="0" w:line="240" w:lineRule="auto"/>
              <w:ind w:left="-24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пг/мл</w:t>
            </w:r>
          </w:p>
        </w:tc>
        <w:tc>
          <w:tcPr>
            <w:tcW w:w="709" w:type="dxa"/>
            <w:vAlign w:val="center"/>
          </w:tcPr>
          <w:p w:rsidR="00FD495D" w:rsidRPr="004C570C" w:rsidRDefault="00FD495D" w:rsidP="004C570C">
            <w:pPr>
              <w:widowControl w:val="0"/>
              <w:spacing w:after="0" w:line="240" w:lineRule="auto"/>
              <w:ind w:left="-108" w:right="-96" w:hanging="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70C">
              <w:rPr>
                <w:rFonts w:ascii="Times New Roman" w:hAnsi="Times New Roman"/>
                <w:bCs/>
                <w:sz w:val="24"/>
                <w:szCs w:val="24"/>
              </w:rPr>
              <w:t>абс.</w:t>
            </w:r>
          </w:p>
        </w:tc>
        <w:tc>
          <w:tcPr>
            <w:tcW w:w="1134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left="-24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М±</w:t>
            </w: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C57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495D" w:rsidRPr="004C570C" w:rsidRDefault="00FD495D" w:rsidP="004C570C">
            <w:pPr>
              <w:spacing w:after="0" w:line="240" w:lineRule="auto"/>
              <w:ind w:left="-24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пг/мл</w:t>
            </w:r>
          </w:p>
        </w:tc>
        <w:tc>
          <w:tcPr>
            <w:tcW w:w="708" w:type="dxa"/>
            <w:vAlign w:val="center"/>
          </w:tcPr>
          <w:p w:rsidR="00FD495D" w:rsidRPr="004C570C" w:rsidRDefault="00FD495D" w:rsidP="004C570C">
            <w:pPr>
              <w:widowControl w:val="0"/>
              <w:spacing w:after="0" w:line="240" w:lineRule="auto"/>
              <w:ind w:left="-108" w:right="-96" w:hanging="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70C">
              <w:rPr>
                <w:rFonts w:ascii="Times New Roman" w:hAnsi="Times New Roman"/>
                <w:bCs/>
                <w:sz w:val="24"/>
                <w:szCs w:val="24"/>
              </w:rPr>
              <w:t>абс.</w:t>
            </w:r>
          </w:p>
        </w:tc>
        <w:tc>
          <w:tcPr>
            <w:tcW w:w="1276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left="-24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М±</w:t>
            </w: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C57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495D" w:rsidRPr="004C570C" w:rsidRDefault="00FD495D" w:rsidP="004C570C">
            <w:pPr>
              <w:spacing w:after="0" w:line="240" w:lineRule="auto"/>
              <w:ind w:left="-24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пг/мл</w:t>
            </w:r>
          </w:p>
        </w:tc>
        <w:tc>
          <w:tcPr>
            <w:tcW w:w="709" w:type="dxa"/>
            <w:vAlign w:val="center"/>
          </w:tcPr>
          <w:p w:rsidR="00FD495D" w:rsidRPr="004C570C" w:rsidRDefault="00FD495D" w:rsidP="004C570C">
            <w:pPr>
              <w:widowControl w:val="0"/>
              <w:spacing w:after="0" w:line="240" w:lineRule="auto"/>
              <w:ind w:left="-108" w:right="-96" w:hanging="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70C">
              <w:rPr>
                <w:rFonts w:ascii="Times New Roman" w:hAnsi="Times New Roman"/>
                <w:bCs/>
                <w:sz w:val="24"/>
                <w:szCs w:val="24"/>
              </w:rPr>
              <w:t>абс.</w:t>
            </w:r>
          </w:p>
        </w:tc>
        <w:tc>
          <w:tcPr>
            <w:tcW w:w="1134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left="-24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М±</w:t>
            </w: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C57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495D" w:rsidRPr="004C570C" w:rsidRDefault="00FD495D" w:rsidP="004C570C">
            <w:pPr>
              <w:spacing w:after="0" w:line="240" w:lineRule="auto"/>
              <w:ind w:left="-24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пг/мл</w:t>
            </w:r>
          </w:p>
        </w:tc>
      </w:tr>
      <w:tr w:rsidR="00FD495D" w:rsidRPr="004C570C" w:rsidTr="00581504">
        <w:trPr>
          <w:trHeight w:val="605"/>
        </w:trPr>
        <w:tc>
          <w:tcPr>
            <w:tcW w:w="1418" w:type="dxa"/>
            <w:tcBorders>
              <w:right w:val="nil"/>
            </w:tcBorders>
            <w:vAlign w:val="center"/>
          </w:tcPr>
          <w:p w:rsidR="00FD495D" w:rsidRPr="004C570C" w:rsidRDefault="00FD495D" w:rsidP="004C570C">
            <w:pPr>
              <w:widowControl w:val="0"/>
              <w:spacing w:after="0" w:line="240" w:lineRule="auto"/>
              <w:ind w:right="-392" w:hanging="8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  <w:p w:rsidR="00FD495D" w:rsidRPr="004C570C" w:rsidRDefault="00FD495D" w:rsidP="004C570C">
            <w:pPr>
              <w:widowControl w:val="0"/>
              <w:spacing w:after="0" w:line="240" w:lineRule="auto"/>
              <w:ind w:right="-392" w:hanging="85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(</w:t>
            </w: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n=19)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D495D" w:rsidRPr="004C570C" w:rsidRDefault="00FD495D" w:rsidP="004C570C">
            <w:pPr>
              <w:widowControl w:val="0"/>
              <w:spacing w:after="0" w:line="240" w:lineRule="auto"/>
              <w:ind w:left="-23" w:right="-274" w:hanging="8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59,24</w:t>
            </w:r>
          </w:p>
          <w:p w:rsidR="00FD495D" w:rsidRPr="004C570C" w:rsidRDefault="00FD495D" w:rsidP="004C570C">
            <w:pPr>
              <w:spacing w:after="0" w:line="240" w:lineRule="auto"/>
              <w:ind w:hanging="85"/>
              <w:jc w:val="center"/>
              <w:rPr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±5,09</w:t>
            </w:r>
            <w:r w:rsidRPr="004C570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а</w:t>
            </w:r>
          </w:p>
        </w:tc>
        <w:tc>
          <w:tcPr>
            <w:tcW w:w="709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55,54</w:t>
            </w:r>
          </w:p>
          <w:p w:rsidR="00FD495D" w:rsidRPr="004C570C" w:rsidRDefault="00FD495D" w:rsidP="004C570C">
            <w:pPr>
              <w:spacing w:after="0" w:line="240" w:lineRule="auto"/>
              <w:ind w:hanging="85"/>
              <w:jc w:val="center"/>
              <w:rPr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±4,58</w:t>
            </w:r>
            <w:r w:rsidRPr="004C570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а</w:t>
            </w:r>
          </w:p>
        </w:tc>
        <w:tc>
          <w:tcPr>
            <w:tcW w:w="708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66,09</w:t>
            </w:r>
          </w:p>
          <w:p w:rsidR="00FD495D" w:rsidRPr="004C570C" w:rsidRDefault="00FD495D" w:rsidP="004C570C">
            <w:pPr>
              <w:spacing w:after="0" w:line="240" w:lineRule="auto"/>
              <w:ind w:hanging="85"/>
              <w:jc w:val="center"/>
              <w:rPr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±4,86</w:t>
            </w:r>
            <w:r w:rsidRPr="004C570C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proofErr w:type="gramStart"/>
            <w:r w:rsidRPr="004C570C">
              <w:rPr>
                <w:rFonts w:ascii="Times New Roman" w:hAnsi="Times New Roman"/>
                <w:sz w:val="24"/>
                <w:szCs w:val="24"/>
                <w:vertAlign w:val="superscript"/>
              </w:rPr>
              <w:t>,в</w:t>
            </w:r>
            <w:proofErr w:type="gramEnd"/>
            <w:r w:rsidRPr="004C570C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4C570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709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left="-108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67,59</w:t>
            </w:r>
          </w:p>
          <w:p w:rsidR="00FD495D" w:rsidRPr="004C570C" w:rsidRDefault="00FD495D" w:rsidP="004C570C">
            <w:pPr>
              <w:spacing w:after="0" w:line="240" w:lineRule="auto"/>
              <w:ind w:hanging="85"/>
              <w:jc w:val="center"/>
              <w:rPr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±5,18</w:t>
            </w:r>
            <w:r w:rsidRPr="004C570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в,</w:t>
            </w:r>
            <w:r w:rsidRPr="004C570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d</w:t>
            </w:r>
          </w:p>
        </w:tc>
      </w:tr>
      <w:tr w:rsidR="00FD495D" w:rsidRPr="004C570C" w:rsidTr="00581504">
        <w:trPr>
          <w:trHeight w:val="258"/>
        </w:trPr>
        <w:tc>
          <w:tcPr>
            <w:tcW w:w="1418" w:type="dxa"/>
            <w:tcBorders>
              <w:right w:val="nil"/>
            </w:tcBorders>
            <w:vAlign w:val="center"/>
          </w:tcPr>
          <w:p w:rsidR="00FD495D" w:rsidRPr="004C570C" w:rsidRDefault="00FD495D" w:rsidP="004C570C">
            <w:pPr>
              <w:widowControl w:val="0"/>
              <w:spacing w:after="0" w:line="240" w:lineRule="auto"/>
              <w:ind w:right="-392" w:hanging="8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  <w:p w:rsidR="00FD495D" w:rsidRPr="004C570C" w:rsidRDefault="00FD495D" w:rsidP="004C570C">
            <w:pPr>
              <w:widowControl w:val="0"/>
              <w:spacing w:after="0" w:line="240" w:lineRule="auto"/>
              <w:ind w:right="-392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(n=33)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D495D" w:rsidRPr="004C570C" w:rsidRDefault="00FD495D" w:rsidP="004C570C">
            <w:pPr>
              <w:widowControl w:val="0"/>
              <w:spacing w:after="0" w:line="240" w:lineRule="auto"/>
              <w:ind w:left="-23" w:right="-274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69,10</w:t>
            </w:r>
          </w:p>
          <w:p w:rsidR="00FD495D" w:rsidRPr="004C570C" w:rsidRDefault="00FD495D" w:rsidP="004C570C">
            <w:pPr>
              <w:spacing w:after="0" w:line="240" w:lineRule="auto"/>
              <w:ind w:hanging="85"/>
              <w:jc w:val="center"/>
              <w:rPr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±5,43</w:t>
            </w:r>
          </w:p>
        </w:tc>
        <w:tc>
          <w:tcPr>
            <w:tcW w:w="709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59,38</w:t>
            </w:r>
          </w:p>
          <w:p w:rsidR="00FD495D" w:rsidRPr="004C570C" w:rsidRDefault="00FD495D" w:rsidP="004C570C">
            <w:pPr>
              <w:spacing w:after="0" w:line="240" w:lineRule="auto"/>
              <w:ind w:hanging="85"/>
              <w:jc w:val="center"/>
              <w:rPr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±5,74</w:t>
            </w:r>
          </w:p>
        </w:tc>
        <w:tc>
          <w:tcPr>
            <w:tcW w:w="708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81,06</w:t>
            </w:r>
          </w:p>
          <w:p w:rsidR="00FD495D" w:rsidRPr="004C570C" w:rsidRDefault="00FD495D" w:rsidP="004C570C">
            <w:pPr>
              <w:spacing w:after="0" w:line="240" w:lineRule="auto"/>
              <w:ind w:hanging="85"/>
              <w:jc w:val="center"/>
              <w:rPr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±4,37</w:t>
            </w:r>
            <w:r w:rsidRPr="004C570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d</w:t>
            </w:r>
          </w:p>
        </w:tc>
        <w:tc>
          <w:tcPr>
            <w:tcW w:w="709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91,72</w:t>
            </w:r>
          </w:p>
          <w:p w:rsidR="00FD495D" w:rsidRPr="004C570C" w:rsidRDefault="00FD495D" w:rsidP="004C570C">
            <w:pPr>
              <w:spacing w:after="0" w:line="240" w:lineRule="auto"/>
              <w:ind w:hanging="85"/>
              <w:jc w:val="center"/>
              <w:rPr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±4,21</w:t>
            </w:r>
            <w:r w:rsidRPr="004C570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d</w:t>
            </w:r>
          </w:p>
        </w:tc>
      </w:tr>
      <w:tr w:rsidR="00FD495D" w:rsidRPr="004C570C" w:rsidTr="00581504">
        <w:trPr>
          <w:trHeight w:val="258"/>
        </w:trPr>
        <w:tc>
          <w:tcPr>
            <w:tcW w:w="1418" w:type="dxa"/>
            <w:tcBorders>
              <w:right w:val="nil"/>
            </w:tcBorders>
            <w:vAlign w:val="center"/>
          </w:tcPr>
          <w:p w:rsidR="00FD495D" w:rsidRPr="004C570C" w:rsidRDefault="00FD495D" w:rsidP="004C570C">
            <w:pPr>
              <w:widowControl w:val="0"/>
              <w:spacing w:after="0" w:line="240" w:lineRule="auto"/>
              <w:ind w:right="-392" w:hanging="8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  <w:p w:rsidR="00FD495D" w:rsidRPr="004C570C" w:rsidRDefault="00FD495D" w:rsidP="004C570C">
            <w:pPr>
              <w:widowControl w:val="0"/>
              <w:spacing w:after="0" w:line="240" w:lineRule="auto"/>
              <w:ind w:right="-392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(n=44)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FD495D" w:rsidRPr="004C570C" w:rsidRDefault="00FD495D" w:rsidP="004C570C">
            <w:pPr>
              <w:widowControl w:val="0"/>
              <w:spacing w:after="0" w:line="240" w:lineRule="auto"/>
              <w:ind w:left="-23" w:right="-274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76,71</w:t>
            </w:r>
          </w:p>
          <w:p w:rsidR="00FD495D" w:rsidRPr="004C570C" w:rsidRDefault="00FD495D" w:rsidP="004C570C">
            <w:pPr>
              <w:spacing w:after="0" w:line="240" w:lineRule="auto"/>
              <w:ind w:hanging="85"/>
              <w:jc w:val="center"/>
              <w:rPr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±4,37</w:t>
            </w:r>
          </w:p>
        </w:tc>
        <w:tc>
          <w:tcPr>
            <w:tcW w:w="709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66,69</w:t>
            </w:r>
          </w:p>
          <w:p w:rsidR="00FD495D" w:rsidRPr="004C570C" w:rsidRDefault="00FD495D" w:rsidP="004C570C">
            <w:pPr>
              <w:spacing w:after="0" w:line="240" w:lineRule="auto"/>
              <w:ind w:hanging="85"/>
              <w:jc w:val="center"/>
              <w:rPr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±4,29</w:t>
            </w:r>
            <w:r w:rsidRPr="004C570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d</w:t>
            </w:r>
          </w:p>
        </w:tc>
        <w:tc>
          <w:tcPr>
            <w:tcW w:w="708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78,53</w:t>
            </w:r>
          </w:p>
          <w:p w:rsidR="00FD495D" w:rsidRPr="004C570C" w:rsidRDefault="00FD495D" w:rsidP="004C570C">
            <w:pPr>
              <w:spacing w:after="0" w:line="240" w:lineRule="auto"/>
              <w:ind w:hanging="85"/>
              <w:jc w:val="center"/>
              <w:rPr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±5,41</w:t>
            </w:r>
            <w:r w:rsidRPr="004C570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 d</w:t>
            </w:r>
          </w:p>
        </w:tc>
        <w:tc>
          <w:tcPr>
            <w:tcW w:w="709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FD495D" w:rsidRPr="004C570C" w:rsidRDefault="00FD495D" w:rsidP="004C570C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70,68</w:t>
            </w:r>
          </w:p>
          <w:p w:rsidR="00FD495D" w:rsidRPr="004C570C" w:rsidRDefault="00FD495D" w:rsidP="004C570C">
            <w:pPr>
              <w:spacing w:after="0" w:line="240" w:lineRule="auto"/>
              <w:ind w:hanging="85"/>
              <w:jc w:val="center"/>
              <w:rPr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±3,85</w:t>
            </w:r>
            <w:r w:rsidRPr="004C570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с</w:t>
            </w:r>
          </w:p>
        </w:tc>
      </w:tr>
      <w:tr w:rsidR="004354EC" w:rsidRPr="004C570C" w:rsidTr="00581504">
        <w:trPr>
          <w:trHeight w:val="258"/>
        </w:trPr>
        <w:tc>
          <w:tcPr>
            <w:tcW w:w="1418" w:type="dxa"/>
            <w:tcBorders>
              <w:right w:val="nil"/>
            </w:tcBorders>
            <w:vAlign w:val="center"/>
          </w:tcPr>
          <w:p w:rsidR="004354EC" w:rsidRDefault="004354EC" w:rsidP="004C570C">
            <w:pPr>
              <w:widowControl w:val="0"/>
              <w:spacing w:after="0" w:line="240" w:lineRule="auto"/>
              <w:ind w:right="-392" w:hanging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Середній </w:t>
            </w:r>
          </w:p>
          <w:p w:rsidR="004354EC" w:rsidRDefault="004354EC" w:rsidP="004354EC">
            <w:pPr>
              <w:widowControl w:val="0"/>
              <w:spacing w:after="0" w:line="240" w:lineRule="auto"/>
              <w:ind w:right="-392" w:hanging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рівень </w:t>
            </w:r>
          </w:p>
          <w:p w:rsidR="005E32DE" w:rsidRPr="004354EC" w:rsidRDefault="005E32DE" w:rsidP="004354EC">
            <w:pPr>
              <w:widowControl w:val="0"/>
              <w:spacing w:after="0" w:line="240" w:lineRule="auto"/>
              <w:ind w:right="-392" w:hanging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стадії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4354EC" w:rsidRPr="004354EC" w:rsidRDefault="004354EC" w:rsidP="004354EC">
            <w:pPr>
              <w:widowControl w:val="0"/>
              <w:spacing w:after="0" w:line="240" w:lineRule="auto"/>
              <w:ind w:left="-23" w:right="-274" w:hanging="8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4354EC" w:rsidRPr="004354EC" w:rsidRDefault="004354EC" w:rsidP="004C570C">
            <w:pPr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vAlign w:val="center"/>
          </w:tcPr>
          <w:p w:rsidR="004354EC" w:rsidRDefault="004354EC" w:rsidP="004C570C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4EC">
              <w:rPr>
                <w:rFonts w:ascii="Times New Roman" w:hAnsi="Times New Roman"/>
                <w:sz w:val="24"/>
                <w:szCs w:val="24"/>
                <w:lang w:val="uk-UA"/>
              </w:rPr>
              <w:t>70,29</w:t>
            </w:r>
          </w:p>
          <w:p w:rsidR="004354EC" w:rsidRPr="004354EC" w:rsidRDefault="004354EC" w:rsidP="004354EC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4EC">
              <w:rPr>
                <w:rFonts w:ascii="Times New Roman" w:hAnsi="Times New Roman"/>
                <w:sz w:val="24"/>
                <w:szCs w:val="24"/>
                <w:lang w:val="uk-UA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6,04</w:t>
            </w:r>
          </w:p>
        </w:tc>
        <w:tc>
          <w:tcPr>
            <w:tcW w:w="709" w:type="dxa"/>
            <w:vAlign w:val="center"/>
          </w:tcPr>
          <w:p w:rsidR="004354EC" w:rsidRPr="004354EC" w:rsidRDefault="004354EC" w:rsidP="004C570C">
            <w:pPr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  <w:vAlign w:val="center"/>
          </w:tcPr>
          <w:p w:rsidR="004354EC" w:rsidRDefault="004354EC" w:rsidP="004C570C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4EC">
              <w:rPr>
                <w:rFonts w:ascii="Times New Roman" w:hAnsi="Times New Roman"/>
                <w:sz w:val="24"/>
                <w:szCs w:val="24"/>
                <w:lang w:val="uk-UA"/>
              </w:rPr>
              <w:t>62,92</w:t>
            </w:r>
          </w:p>
          <w:p w:rsidR="004354EC" w:rsidRPr="004C570C" w:rsidRDefault="004354EC" w:rsidP="004C570C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4EC">
              <w:rPr>
                <w:rFonts w:ascii="Times New Roman" w:hAnsi="Times New Roman"/>
                <w:sz w:val="24"/>
                <w:szCs w:val="24"/>
                <w:lang w:val="uk-UA"/>
              </w:rPr>
              <w:t>±4,25</w:t>
            </w:r>
          </w:p>
        </w:tc>
        <w:tc>
          <w:tcPr>
            <w:tcW w:w="708" w:type="dxa"/>
            <w:vAlign w:val="center"/>
          </w:tcPr>
          <w:p w:rsidR="004354EC" w:rsidRPr="004354EC" w:rsidRDefault="004354EC" w:rsidP="004C570C">
            <w:pPr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76" w:type="dxa"/>
            <w:vAlign w:val="center"/>
          </w:tcPr>
          <w:p w:rsidR="004354EC" w:rsidRDefault="004354EC" w:rsidP="004C570C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4354EC">
              <w:rPr>
                <w:rFonts w:ascii="Times New Roman" w:hAnsi="Times New Roman"/>
                <w:sz w:val="24"/>
                <w:szCs w:val="24"/>
                <w:lang w:val="uk-UA"/>
              </w:rPr>
              <w:t>77,47</w:t>
            </w:r>
            <w:r w:rsidRPr="004354EC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а</w:t>
            </w:r>
          </w:p>
          <w:p w:rsidR="004354EC" w:rsidRPr="004C570C" w:rsidRDefault="004354EC" w:rsidP="004C570C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4EC">
              <w:rPr>
                <w:rFonts w:ascii="Times New Roman" w:hAnsi="Times New Roman"/>
                <w:sz w:val="24"/>
                <w:szCs w:val="24"/>
                <w:lang w:val="uk-UA"/>
              </w:rPr>
              <w:t>±4,61</w:t>
            </w:r>
          </w:p>
        </w:tc>
        <w:tc>
          <w:tcPr>
            <w:tcW w:w="709" w:type="dxa"/>
            <w:vAlign w:val="center"/>
          </w:tcPr>
          <w:p w:rsidR="004354EC" w:rsidRPr="004354EC" w:rsidRDefault="004354EC" w:rsidP="004C570C">
            <w:pPr>
              <w:spacing w:after="0" w:line="240" w:lineRule="auto"/>
              <w:ind w:left="-23" w:right="-96" w:hanging="8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vAlign w:val="center"/>
          </w:tcPr>
          <w:p w:rsidR="004354EC" w:rsidRDefault="004354EC" w:rsidP="004C570C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4354EC">
              <w:rPr>
                <w:rFonts w:ascii="Times New Roman" w:hAnsi="Times New Roman"/>
                <w:sz w:val="24"/>
                <w:szCs w:val="24"/>
                <w:lang w:val="uk-UA"/>
              </w:rPr>
              <w:t>77,61</w:t>
            </w:r>
            <w:r w:rsidRPr="004354EC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в</w:t>
            </w:r>
          </w:p>
          <w:p w:rsidR="004354EC" w:rsidRPr="004C570C" w:rsidRDefault="004354EC" w:rsidP="004C570C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4EC">
              <w:rPr>
                <w:rFonts w:ascii="Times New Roman" w:hAnsi="Times New Roman"/>
                <w:sz w:val="24"/>
                <w:szCs w:val="24"/>
                <w:lang w:val="uk-UA"/>
              </w:rPr>
              <w:t>±6,19</w:t>
            </w:r>
          </w:p>
        </w:tc>
      </w:tr>
      <w:tr w:rsidR="00FD495D" w:rsidRPr="005E32DE" w:rsidTr="00581504">
        <w:trPr>
          <w:trHeight w:val="258"/>
        </w:trPr>
        <w:tc>
          <w:tcPr>
            <w:tcW w:w="9356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D495D" w:rsidRPr="004C570C" w:rsidRDefault="00FD495D" w:rsidP="004C570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95D" w:rsidRPr="004C570C" w:rsidRDefault="00FD495D" w:rsidP="004C570C">
            <w:pPr>
              <w:spacing w:after="0" w:line="240" w:lineRule="auto"/>
              <w:ind w:left="-108" w:right="-108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Примітка: </w:t>
            </w:r>
            <w:r w:rsidRPr="005E32DE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а</w:t>
            </w:r>
            <w:r w:rsidRPr="005E32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достовірна відмінність відповідних п</w:t>
            </w:r>
            <w:r w:rsidR="00B2778E" w:rsidRPr="005E32DE">
              <w:rPr>
                <w:rFonts w:ascii="Times New Roman" w:hAnsi="Times New Roman"/>
                <w:sz w:val="24"/>
                <w:szCs w:val="24"/>
                <w:lang w:val="uk-UA"/>
              </w:rPr>
              <w:t>оказників між гомозиготами по 1-</w:t>
            </w:r>
            <w:r w:rsidRPr="005E32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 алелі та 2-й алелі; </w:t>
            </w:r>
            <w:r w:rsidRPr="005E32DE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в</w:t>
            </w:r>
            <w:r w:rsidRPr="005E32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між гомозиготами по 1-й алелі та гетерозиготами; </w:t>
            </w:r>
            <w:r w:rsidRPr="005E32DE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с</w:t>
            </w:r>
            <w:r w:rsidRPr="005E32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між гомозиготами по 2-й алелі та гетерозиготами; </w:t>
            </w:r>
            <w:r w:rsidRPr="004C570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d</w:t>
            </w:r>
            <w:r w:rsidRPr="005E32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між поточною та попередньою стадією, на рівні не менше р&lt;0,05.</w:t>
            </w:r>
          </w:p>
        </w:tc>
      </w:tr>
    </w:tbl>
    <w:p w:rsidR="00FD495D" w:rsidRPr="005E32DE" w:rsidRDefault="00FD495D" w:rsidP="005E32D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5D48" w:rsidRPr="004C570C" w:rsidRDefault="00113F51" w:rsidP="004C570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570C">
        <w:rPr>
          <w:rFonts w:ascii="Times New Roman" w:hAnsi="Times New Roman"/>
          <w:sz w:val="24"/>
          <w:szCs w:val="24"/>
        </w:rPr>
        <w:t>При визначенні мінеральної щільності кісткової тканини (МЩКТ) за даними DEXA у пацієнтів основної групи були в</w:t>
      </w:r>
      <w:r w:rsidR="00CC0285" w:rsidRPr="004C570C">
        <w:rPr>
          <w:rFonts w:ascii="Times New Roman" w:hAnsi="Times New Roman"/>
          <w:sz w:val="24"/>
          <w:szCs w:val="24"/>
        </w:rPr>
        <w:t>становлені</w:t>
      </w:r>
      <w:r w:rsidRPr="004C570C">
        <w:rPr>
          <w:rFonts w:ascii="Times New Roman" w:hAnsi="Times New Roman"/>
          <w:sz w:val="24"/>
          <w:szCs w:val="24"/>
        </w:rPr>
        <w:t xml:space="preserve"> наступні результати: прояви остеопенії реєстрували у 43 осіб  (44,8%) та остеопорозу </w:t>
      </w:r>
      <w:proofErr w:type="gramStart"/>
      <w:r w:rsidRPr="004C570C">
        <w:rPr>
          <w:rFonts w:ascii="Times New Roman" w:hAnsi="Times New Roman"/>
          <w:sz w:val="24"/>
          <w:szCs w:val="24"/>
        </w:rPr>
        <w:t>в</w:t>
      </w:r>
      <w:proofErr w:type="gramEnd"/>
      <w:r w:rsidRPr="004C570C">
        <w:rPr>
          <w:rFonts w:ascii="Times New Roman" w:hAnsi="Times New Roman"/>
          <w:sz w:val="24"/>
          <w:szCs w:val="24"/>
        </w:rPr>
        <w:t xml:space="preserve"> </w:t>
      </w:r>
    </w:p>
    <w:p w:rsidR="00FD495D" w:rsidRPr="004C570C" w:rsidRDefault="00113F51" w:rsidP="004C570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C570C">
        <w:rPr>
          <w:rFonts w:ascii="Times New Roman" w:hAnsi="Times New Roman"/>
          <w:sz w:val="24"/>
          <w:szCs w:val="24"/>
        </w:rPr>
        <w:t>14 випадках (14,6%)</w:t>
      </w:r>
      <w:r w:rsidR="00FD495D" w:rsidRPr="004C570C">
        <w:rPr>
          <w:rFonts w:ascii="Times New Roman" w:hAnsi="Times New Roman"/>
          <w:sz w:val="24"/>
          <w:szCs w:val="24"/>
        </w:rPr>
        <w:t>;  у 40,6% пацієнтів змін МЩКТ не визначали.</w:t>
      </w:r>
    </w:p>
    <w:p w:rsidR="004C570C" w:rsidRPr="004C570C" w:rsidRDefault="00FD495D" w:rsidP="004C570C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C570C">
        <w:rPr>
          <w:rFonts w:ascii="Times New Roman" w:hAnsi="Times New Roman"/>
          <w:sz w:val="24"/>
          <w:szCs w:val="24"/>
        </w:rPr>
        <w:t xml:space="preserve">При розподілі  </w:t>
      </w:r>
      <w:r w:rsidR="00CC0285" w:rsidRPr="004C570C">
        <w:rPr>
          <w:rFonts w:ascii="Times New Roman" w:hAnsi="Times New Roman"/>
          <w:sz w:val="24"/>
          <w:szCs w:val="24"/>
        </w:rPr>
        <w:t>показників</w:t>
      </w:r>
      <w:r w:rsidRPr="004C570C">
        <w:rPr>
          <w:rFonts w:ascii="Times New Roman" w:hAnsi="Times New Roman"/>
          <w:sz w:val="24"/>
          <w:szCs w:val="24"/>
        </w:rPr>
        <w:t xml:space="preserve"> МЩКТ з урахуванням поліморфізму гену рецепторів </w:t>
      </w:r>
      <w:proofErr w:type="gramStart"/>
      <w:r w:rsidRPr="004C570C">
        <w:rPr>
          <w:rFonts w:ascii="Times New Roman" w:hAnsi="Times New Roman"/>
          <w:sz w:val="24"/>
          <w:szCs w:val="24"/>
        </w:rPr>
        <w:t>в</w:t>
      </w:r>
      <w:proofErr w:type="gramEnd"/>
      <w:r w:rsidRPr="004C570C">
        <w:rPr>
          <w:rFonts w:ascii="Times New Roman" w:hAnsi="Times New Roman"/>
          <w:sz w:val="24"/>
          <w:szCs w:val="24"/>
        </w:rPr>
        <w:t xml:space="preserve">ітаміну </w:t>
      </w:r>
      <w:r w:rsidRPr="004C570C">
        <w:rPr>
          <w:rFonts w:ascii="Times New Roman" w:hAnsi="Times New Roman"/>
          <w:sz w:val="24"/>
          <w:szCs w:val="24"/>
          <w:lang w:val="en-US"/>
        </w:rPr>
        <w:t>D</w:t>
      </w:r>
      <w:r w:rsidRPr="004C570C">
        <w:rPr>
          <w:rFonts w:ascii="Times New Roman" w:hAnsi="Times New Roman"/>
          <w:sz w:val="24"/>
          <w:szCs w:val="24"/>
        </w:rPr>
        <w:t xml:space="preserve"> та вмісту апеліну-13 були отримані наступні </w:t>
      </w:r>
      <w:r w:rsidR="004965FD" w:rsidRPr="004C570C">
        <w:rPr>
          <w:rFonts w:ascii="Times New Roman" w:hAnsi="Times New Roman"/>
          <w:sz w:val="24"/>
          <w:szCs w:val="24"/>
        </w:rPr>
        <w:t>результати</w:t>
      </w:r>
      <w:r w:rsidRPr="004C570C">
        <w:rPr>
          <w:rFonts w:ascii="Times New Roman" w:hAnsi="Times New Roman"/>
          <w:sz w:val="24"/>
          <w:szCs w:val="24"/>
        </w:rPr>
        <w:t xml:space="preserve"> (табл.</w:t>
      </w:r>
      <w:r w:rsidR="00D9795B" w:rsidRPr="004C570C">
        <w:rPr>
          <w:rFonts w:ascii="Times New Roman" w:hAnsi="Times New Roman"/>
          <w:sz w:val="24"/>
          <w:szCs w:val="24"/>
        </w:rPr>
        <w:t xml:space="preserve"> </w:t>
      </w:r>
      <w:r w:rsidR="00DA3DE0" w:rsidRPr="004C570C">
        <w:rPr>
          <w:rFonts w:ascii="Times New Roman" w:hAnsi="Times New Roman"/>
          <w:sz w:val="24"/>
          <w:szCs w:val="24"/>
        </w:rPr>
        <w:t>3</w:t>
      </w:r>
      <w:r w:rsidRPr="004C570C">
        <w:rPr>
          <w:rFonts w:ascii="Times New Roman" w:hAnsi="Times New Roman"/>
          <w:sz w:val="24"/>
          <w:szCs w:val="24"/>
        </w:rPr>
        <w:t>).</w:t>
      </w:r>
    </w:p>
    <w:p w:rsidR="00D9795B" w:rsidRPr="004C570C" w:rsidRDefault="00FD495D" w:rsidP="004C570C">
      <w:pPr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4C570C">
        <w:rPr>
          <w:rFonts w:ascii="Times New Roman" w:hAnsi="Times New Roman"/>
          <w:sz w:val="24"/>
          <w:szCs w:val="24"/>
        </w:rPr>
        <w:t xml:space="preserve">Таблиця </w:t>
      </w:r>
      <w:r w:rsidR="00DA3DE0" w:rsidRPr="004C570C">
        <w:rPr>
          <w:rFonts w:ascii="Times New Roman" w:hAnsi="Times New Roman"/>
          <w:sz w:val="24"/>
          <w:szCs w:val="24"/>
        </w:rPr>
        <w:t>3</w:t>
      </w:r>
      <w:r w:rsidRPr="004C570C">
        <w:rPr>
          <w:rFonts w:ascii="Times New Roman" w:hAnsi="Times New Roman"/>
          <w:sz w:val="24"/>
          <w:szCs w:val="24"/>
        </w:rPr>
        <w:t xml:space="preserve">. </w:t>
      </w:r>
    </w:p>
    <w:p w:rsidR="00525D48" w:rsidRDefault="00525D48" w:rsidP="004C570C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C57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C570C">
        <w:rPr>
          <w:rFonts w:ascii="Times New Roman" w:hAnsi="Times New Roman"/>
          <w:b/>
          <w:sz w:val="24"/>
          <w:szCs w:val="24"/>
        </w:rPr>
        <w:t xml:space="preserve">івень  апеліну-13 (пг/мл) у хворих на остеоартроз та ожиріння  при поліморфізмі гену рецептора вітаміну </w:t>
      </w:r>
      <w:r w:rsidRPr="004C570C">
        <w:rPr>
          <w:rFonts w:ascii="Times New Roman" w:hAnsi="Times New Roman"/>
          <w:b/>
          <w:sz w:val="24"/>
          <w:szCs w:val="24"/>
          <w:lang w:val="en-US"/>
        </w:rPr>
        <w:t>D</w:t>
      </w:r>
      <w:r w:rsidRPr="004C570C">
        <w:rPr>
          <w:rFonts w:ascii="Times New Roman" w:hAnsi="Times New Roman"/>
          <w:b/>
          <w:sz w:val="24"/>
          <w:szCs w:val="24"/>
        </w:rPr>
        <w:t xml:space="preserve"> та  різних варіантах структурно-функціонально стану кісткової тканини</w:t>
      </w:r>
      <w:r w:rsidR="00CC0285" w:rsidRPr="004C570C">
        <w:rPr>
          <w:rFonts w:ascii="Times New Roman" w:hAnsi="Times New Roman"/>
          <w:b/>
          <w:sz w:val="24"/>
          <w:szCs w:val="24"/>
        </w:rPr>
        <w:t xml:space="preserve"> (СФСКТ)</w:t>
      </w:r>
    </w:p>
    <w:p w:rsidR="004C570C" w:rsidRPr="004C570C" w:rsidRDefault="004C570C" w:rsidP="004C570C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266"/>
        <w:gridCol w:w="1796"/>
        <w:gridCol w:w="830"/>
        <w:gridCol w:w="1244"/>
        <w:gridCol w:w="829"/>
        <w:gridCol w:w="1106"/>
        <w:gridCol w:w="786"/>
        <w:gridCol w:w="1138"/>
      </w:tblGrid>
      <w:tr w:rsidR="00525D48" w:rsidRPr="004C570C" w:rsidTr="005E32DE">
        <w:trPr>
          <w:trHeight w:val="623"/>
          <w:jc w:val="center"/>
        </w:trPr>
        <w:tc>
          <w:tcPr>
            <w:tcW w:w="1637" w:type="dxa"/>
            <w:gridSpan w:val="2"/>
            <w:vMerge w:val="restart"/>
            <w:vAlign w:val="center"/>
          </w:tcPr>
          <w:p w:rsidR="00525D48" w:rsidRPr="004C570C" w:rsidRDefault="00525D48" w:rsidP="004C570C">
            <w:pPr>
              <w:widowControl w:val="0"/>
              <w:spacing w:after="0" w:line="240" w:lineRule="auto"/>
              <w:ind w:left="-118" w:right="-179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bCs/>
                <w:sz w:val="24"/>
                <w:szCs w:val="24"/>
              </w:rPr>
              <w:t xml:space="preserve">Ген </w:t>
            </w:r>
            <w:r w:rsidRPr="004C570C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VDR</w:t>
            </w:r>
          </w:p>
          <w:p w:rsidR="00525D48" w:rsidRPr="004C570C" w:rsidRDefault="00525D48" w:rsidP="004C570C">
            <w:pPr>
              <w:widowControl w:val="0"/>
              <w:spacing w:line="240" w:lineRule="auto"/>
              <w:ind w:left="-118" w:right="-179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(варіанти генотипів)</w:t>
            </w:r>
          </w:p>
        </w:tc>
        <w:tc>
          <w:tcPr>
            <w:tcW w:w="1796" w:type="dxa"/>
            <w:vMerge w:val="restart"/>
            <w:vAlign w:val="center"/>
          </w:tcPr>
          <w:p w:rsidR="00525D48" w:rsidRPr="004C570C" w:rsidRDefault="00525D48" w:rsidP="004C570C">
            <w:pPr>
              <w:spacing w:after="0" w:line="240" w:lineRule="auto"/>
              <w:ind w:left="-164" w:right="-96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 xml:space="preserve">Загальний </w:t>
            </w:r>
          </w:p>
          <w:p w:rsidR="00525D48" w:rsidRPr="004C570C" w:rsidRDefault="00525D48" w:rsidP="004C570C">
            <w:pPr>
              <w:spacing w:after="0" w:line="240" w:lineRule="auto"/>
              <w:ind w:left="-164" w:right="-96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вмі</w:t>
            </w:r>
            <w:proofErr w:type="gramStart"/>
            <w:r w:rsidRPr="004C570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</w:p>
          <w:p w:rsidR="00525D48" w:rsidRPr="004C570C" w:rsidRDefault="00525D48" w:rsidP="004C570C">
            <w:pPr>
              <w:spacing w:after="0" w:line="240" w:lineRule="auto"/>
              <w:ind w:left="-164" w:right="-96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 xml:space="preserve"> апеліну</w:t>
            </w:r>
          </w:p>
        </w:tc>
        <w:tc>
          <w:tcPr>
            <w:tcW w:w="5933" w:type="dxa"/>
            <w:gridSpan w:val="6"/>
            <w:vAlign w:val="center"/>
          </w:tcPr>
          <w:p w:rsidR="00525D48" w:rsidRPr="004C570C" w:rsidRDefault="00525D48" w:rsidP="004C570C">
            <w:pPr>
              <w:spacing w:after="0" w:line="240" w:lineRule="auto"/>
              <w:ind w:right="-96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 xml:space="preserve">Структурно-функціональний стан кісткової тканини за даними </w:t>
            </w: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DEXA</w:t>
            </w:r>
          </w:p>
        </w:tc>
      </w:tr>
      <w:tr w:rsidR="00525D48" w:rsidRPr="004C570C" w:rsidTr="005E32DE">
        <w:trPr>
          <w:trHeight w:val="419"/>
          <w:jc w:val="center"/>
        </w:trPr>
        <w:tc>
          <w:tcPr>
            <w:tcW w:w="1637" w:type="dxa"/>
            <w:gridSpan w:val="2"/>
            <w:vMerge/>
            <w:vAlign w:val="center"/>
          </w:tcPr>
          <w:p w:rsidR="00525D48" w:rsidRPr="004C570C" w:rsidRDefault="00525D48" w:rsidP="004C570C">
            <w:pPr>
              <w:widowControl w:val="0"/>
              <w:spacing w:line="240" w:lineRule="auto"/>
              <w:ind w:left="-271" w:right="-179" w:firstLine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</w:tcPr>
          <w:p w:rsidR="00525D48" w:rsidRPr="004C570C" w:rsidRDefault="00525D48" w:rsidP="004C570C">
            <w:pPr>
              <w:spacing w:after="0" w:line="240" w:lineRule="auto"/>
              <w:ind w:left="-164" w:right="-96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525D48" w:rsidRPr="004C570C" w:rsidRDefault="00525D48" w:rsidP="004C570C">
            <w:pPr>
              <w:widowControl w:val="0"/>
              <w:spacing w:after="0" w:line="240" w:lineRule="auto"/>
              <w:ind w:right="-96" w:firstLine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70C">
              <w:rPr>
                <w:rFonts w:ascii="Times New Roman" w:hAnsi="Times New Roman"/>
                <w:bCs/>
                <w:sz w:val="24"/>
                <w:szCs w:val="24"/>
              </w:rPr>
              <w:t>остеопенія</w:t>
            </w:r>
          </w:p>
        </w:tc>
        <w:tc>
          <w:tcPr>
            <w:tcW w:w="1935" w:type="dxa"/>
            <w:gridSpan w:val="2"/>
            <w:vAlign w:val="center"/>
          </w:tcPr>
          <w:p w:rsidR="00525D48" w:rsidRPr="004C570C" w:rsidRDefault="00525D48" w:rsidP="004C570C">
            <w:pPr>
              <w:spacing w:after="0" w:line="240" w:lineRule="auto"/>
              <w:ind w:left="-164" w:right="-96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остеопороз</w:t>
            </w:r>
          </w:p>
        </w:tc>
        <w:tc>
          <w:tcPr>
            <w:tcW w:w="1924" w:type="dxa"/>
            <w:gridSpan w:val="2"/>
            <w:vAlign w:val="center"/>
          </w:tcPr>
          <w:p w:rsidR="00525D48" w:rsidRPr="004C570C" w:rsidRDefault="00525D48" w:rsidP="004C570C">
            <w:pPr>
              <w:spacing w:after="0" w:line="240" w:lineRule="auto"/>
              <w:ind w:left="-164" w:right="-96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не порушений</w:t>
            </w:r>
          </w:p>
        </w:tc>
      </w:tr>
      <w:tr w:rsidR="00525D48" w:rsidRPr="004C570C" w:rsidTr="00345CDF">
        <w:trPr>
          <w:trHeight w:val="343"/>
          <w:jc w:val="center"/>
        </w:trPr>
        <w:tc>
          <w:tcPr>
            <w:tcW w:w="1637" w:type="dxa"/>
            <w:gridSpan w:val="2"/>
            <w:vMerge/>
            <w:vAlign w:val="center"/>
          </w:tcPr>
          <w:p w:rsidR="00525D48" w:rsidRPr="004C570C" w:rsidRDefault="00525D48" w:rsidP="004C570C">
            <w:pPr>
              <w:widowControl w:val="0"/>
              <w:spacing w:after="0" w:line="240" w:lineRule="auto"/>
              <w:ind w:left="-271" w:right="-179" w:firstLine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525D48" w:rsidRPr="004C570C" w:rsidRDefault="00525D48" w:rsidP="004C570C">
            <w:pPr>
              <w:spacing w:after="0" w:line="240" w:lineRule="auto"/>
              <w:ind w:left="-24" w:right="-96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М±</w:t>
            </w: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830" w:type="dxa"/>
            <w:vAlign w:val="center"/>
          </w:tcPr>
          <w:p w:rsidR="00525D48" w:rsidRPr="004C570C" w:rsidRDefault="00525D48" w:rsidP="004C570C">
            <w:pPr>
              <w:widowControl w:val="0"/>
              <w:spacing w:after="0" w:line="240" w:lineRule="auto"/>
              <w:ind w:left="-108" w:right="-96" w:firstLine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70C">
              <w:rPr>
                <w:rFonts w:ascii="Times New Roman" w:hAnsi="Times New Roman"/>
                <w:bCs/>
                <w:sz w:val="24"/>
                <w:szCs w:val="24"/>
              </w:rPr>
              <w:t>абс.</w:t>
            </w:r>
          </w:p>
        </w:tc>
        <w:tc>
          <w:tcPr>
            <w:tcW w:w="1244" w:type="dxa"/>
            <w:vAlign w:val="center"/>
          </w:tcPr>
          <w:p w:rsidR="00525D48" w:rsidRPr="004C570C" w:rsidRDefault="00525D48" w:rsidP="004C570C">
            <w:pPr>
              <w:spacing w:after="0" w:line="240" w:lineRule="auto"/>
              <w:ind w:left="-24" w:right="-96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М±</w:t>
            </w: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829" w:type="dxa"/>
            <w:vAlign w:val="center"/>
          </w:tcPr>
          <w:p w:rsidR="00525D48" w:rsidRPr="004C570C" w:rsidRDefault="00525D48" w:rsidP="004C570C">
            <w:pPr>
              <w:widowControl w:val="0"/>
              <w:spacing w:after="0" w:line="240" w:lineRule="auto"/>
              <w:ind w:left="-108" w:right="-96" w:firstLine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70C">
              <w:rPr>
                <w:rFonts w:ascii="Times New Roman" w:hAnsi="Times New Roman"/>
                <w:bCs/>
                <w:sz w:val="24"/>
                <w:szCs w:val="24"/>
              </w:rPr>
              <w:t>абс.</w:t>
            </w:r>
          </w:p>
        </w:tc>
        <w:tc>
          <w:tcPr>
            <w:tcW w:w="1106" w:type="dxa"/>
            <w:vAlign w:val="center"/>
          </w:tcPr>
          <w:p w:rsidR="00525D48" w:rsidRPr="004C570C" w:rsidRDefault="00525D48" w:rsidP="004C570C">
            <w:pPr>
              <w:spacing w:after="0" w:line="240" w:lineRule="auto"/>
              <w:ind w:left="-24" w:right="-96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М±</w:t>
            </w: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C570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786" w:type="dxa"/>
            <w:vAlign w:val="center"/>
          </w:tcPr>
          <w:p w:rsidR="00525D48" w:rsidRPr="004C570C" w:rsidRDefault="00525D48" w:rsidP="004C570C">
            <w:pPr>
              <w:widowControl w:val="0"/>
              <w:spacing w:after="0" w:line="240" w:lineRule="auto"/>
              <w:ind w:left="-108" w:right="-96" w:firstLine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70C">
              <w:rPr>
                <w:rFonts w:ascii="Times New Roman" w:hAnsi="Times New Roman"/>
                <w:bCs/>
                <w:sz w:val="24"/>
                <w:szCs w:val="24"/>
              </w:rPr>
              <w:t>абс.</w:t>
            </w:r>
          </w:p>
        </w:tc>
        <w:tc>
          <w:tcPr>
            <w:tcW w:w="1138" w:type="dxa"/>
            <w:vAlign w:val="center"/>
          </w:tcPr>
          <w:p w:rsidR="00525D48" w:rsidRPr="004C570C" w:rsidRDefault="00525D48" w:rsidP="004C570C">
            <w:pPr>
              <w:spacing w:after="0" w:line="240" w:lineRule="auto"/>
              <w:ind w:left="-24" w:right="-96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М±</w:t>
            </w: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C570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525D48" w:rsidRPr="004C570C" w:rsidTr="00345CDF">
        <w:trPr>
          <w:trHeight w:val="600"/>
          <w:jc w:val="center"/>
        </w:trPr>
        <w:tc>
          <w:tcPr>
            <w:tcW w:w="1371" w:type="dxa"/>
            <w:tcBorders>
              <w:right w:val="nil"/>
            </w:tcBorders>
            <w:vAlign w:val="center"/>
          </w:tcPr>
          <w:p w:rsidR="00525D48" w:rsidRPr="004C570C" w:rsidRDefault="00525D48" w:rsidP="004C570C">
            <w:pPr>
              <w:widowControl w:val="0"/>
              <w:spacing w:after="0" w:line="240" w:lineRule="auto"/>
              <w:ind w:left="-118" w:right="-392" w:firstLine="1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  <w:p w:rsidR="00525D48" w:rsidRPr="004C570C" w:rsidRDefault="00525D48" w:rsidP="004C570C">
            <w:pPr>
              <w:widowControl w:val="0"/>
              <w:spacing w:after="0" w:line="240" w:lineRule="auto"/>
              <w:ind w:left="-118" w:right="-392" w:firstLine="16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(</w:t>
            </w: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n=19)</w:t>
            </w:r>
          </w:p>
        </w:tc>
        <w:tc>
          <w:tcPr>
            <w:tcW w:w="266" w:type="dxa"/>
            <w:tcBorders>
              <w:left w:val="nil"/>
            </w:tcBorders>
            <w:vAlign w:val="center"/>
          </w:tcPr>
          <w:p w:rsidR="00525D48" w:rsidRPr="004C570C" w:rsidRDefault="00525D48" w:rsidP="004C570C">
            <w:pPr>
              <w:widowControl w:val="0"/>
              <w:spacing w:after="0" w:line="240" w:lineRule="auto"/>
              <w:ind w:left="-118" w:right="-392" w:firstLine="1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525D48" w:rsidRPr="004C570C" w:rsidRDefault="00525D48" w:rsidP="004C570C">
            <w:pPr>
              <w:spacing w:after="0" w:line="240" w:lineRule="auto"/>
              <w:ind w:left="-24" w:right="-96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61,72</w:t>
            </w:r>
          </w:p>
          <w:p w:rsidR="00525D48" w:rsidRPr="004C570C" w:rsidRDefault="00525D48" w:rsidP="004C570C">
            <w:pPr>
              <w:spacing w:after="0" w:line="240" w:lineRule="auto"/>
              <w:ind w:left="-24" w:right="-96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±3,18</w:t>
            </w:r>
            <w:r w:rsidRPr="004C570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а, в</w:t>
            </w:r>
          </w:p>
        </w:tc>
        <w:tc>
          <w:tcPr>
            <w:tcW w:w="830" w:type="dxa"/>
            <w:vAlign w:val="center"/>
          </w:tcPr>
          <w:p w:rsidR="00525D48" w:rsidRPr="004C570C" w:rsidRDefault="00525D48" w:rsidP="004C570C">
            <w:pPr>
              <w:widowControl w:val="0"/>
              <w:spacing w:after="0" w:line="240" w:lineRule="auto"/>
              <w:ind w:left="-24" w:right="-96" w:firstLine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70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4" w:type="dxa"/>
            <w:vAlign w:val="center"/>
          </w:tcPr>
          <w:p w:rsidR="00525D48" w:rsidRPr="004C570C" w:rsidRDefault="00525D48" w:rsidP="004C57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73,40</w:t>
            </w:r>
          </w:p>
          <w:p w:rsidR="00525D48" w:rsidRPr="004C570C" w:rsidRDefault="00525D48" w:rsidP="004C57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±4,82</w:t>
            </w:r>
          </w:p>
        </w:tc>
        <w:tc>
          <w:tcPr>
            <w:tcW w:w="829" w:type="dxa"/>
            <w:vAlign w:val="center"/>
          </w:tcPr>
          <w:p w:rsidR="00525D48" w:rsidRPr="004C570C" w:rsidRDefault="00525D48" w:rsidP="004C570C">
            <w:pPr>
              <w:spacing w:after="0" w:line="240" w:lineRule="auto"/>
              <w:ind w:left="-24" w:right="-96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vAlign w:val="center"/>
          </w:tcPr>
          <w:p w:rsidR="00525D48" w:rsidRPr="004C570C" w:rsidRDefault="00525D48" w:rsidP="004C57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vAlign w:val="center"/>
          </w:tcPr>
          <w:p w:rsidR="00525D48" w:rsidRPr="004C570C" w:rsidRDefault="00525D48" w:rsidP="004C570C">
            <w:pPr>
              <w:spacing w:after="0" w:line="240" w:lineRule="auto"/>
              <w:ind w:left="-24" w:right="-96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8" w:type="dxa"/>
            <w:vAlign w:val="center"/>
          </w:tcPr>
          <w:p w:rsidR="00525D48" w:rsidRPr="004C570C" w:rsidRDefault="00525D48" w:rsidP="004C57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57,54</w:t>
            </w:r>
          </w:p>
          <w:p w:rsidR="00525D48" w:rsidRPr="004C570C" w:rsidRDefault="00525D48" w:rsidP="004C570C">
            <w:pPr>
              <w:spacing w:after="0" w:line="240" w:lineRule="auto"/>
              <w:ind w:left="-99" w:right="-70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±2,35</w:t>
            </w:r>
            <w:r w:rsidRPr="004C570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а, в</w:t>
            </w:r>
          </w:p>
        </w:tc>
      </w:tr>
      <w:tr w:rsidR="00525D48" w:rsidRPr="004C570C" w:rsidTr="00345CDF">
        <w:trPr>
          <w:trHeight w:val="277"/>
          <w:jc w:val="center"/>
        </w:trPr>
        <w:tc>
          <w:tcPr>
            <w:tcW w:w="1371" w:type="dxa"/>
            <w:tcBorders>
              <w:right w:val="nil"/>
            </w:tcBorders>
            <w:vAlign w:val="center"/>
          </w:tcPr>
          <w:p w:rsidR="00525D48" w:rsidRPr="004C570C" w:rsidRDefault="00525D48" w:rsidP="004C570C">
            <w:pPr>
              <w:widowControl w:val="0"/>
              <w:spacing w:after="0" w:line="240" w:lineRule="auto"/>
              <w:ind w:left="-118" w:right="-392" w:firstLine="1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  <w:p w:rsidR="00525D48" w:rsidRPr="004C570C" w:rsidRDefault="00525D48" w:rsidP="004C570C">
            <w:pPr>
              <w:widowControl w:val="0"/>
              <w:spacing w:after="0" w:line="240" w:lineRule="auto"/>
              <w:ind w:left="-118" w:right="-392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(n=33)</w:t>
            </w:r>
          </w:p>
        </w:tc>
        <w:tc>
          <w:tcPr>
            <w:tcW w:w="266" w:type="dxa"/>
            <w:tcBorders>
              <w:left w:val="nil"/>
            </w:tcBorders>
            <w:vAlign w:val="center"/>
          </w:tcPr>
          <w:p w:rsidR="00525D48" w:rsidRPr="004C570C" w:rsidRDefault="00525D48" w:rsidP="004C570C">
            <w:pPr>
              <w:widowControl w:val="0"/>
              <w:spacing w:after="0" w:line="240" w:lineRule="auto"/>
              <w:ind w:left="-118" w:right="-392" w:firstLine="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525D48" w:rsidRPr="004C570C" w:rsidRDefault="00525D48" w:rsidP="004C570C">
            <w:pPr>
              <w:spacing w:after="0" w:line="240" w:lineRule="auto"/>
              <w:ind w:left="-24" w:right="-96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73,60</w:t>
            </w:r>
          </w:p>
          <w:p w:rsidR="00525D48" w:rsidRPr="004C570C" w:rsidRDefault="00525D48" w:rsidP="004C570C">
            <w:pPr>
              <w:spacing w:after="0" w:line="240" w:lineRule="auto"/>
              <w:ind w:left="-24" w:right="-96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±4,71</w:t>
            </w:r>
          </w:p>
        </w:tc>
        <w:tc>
          <w:tcPr>
            <w:tcW w:w="830" w:type="dxa"/>
            <w:vAlign w:val="center"/>
          </w:tcPr>
          <w:p w:rsidR="00525D48" w:rsidRPr="004C570C" w:rsidRDefault="00525D48" w:rsidP="004C570C">
            <w:pPr>
              <w:widowControl w:val="0"/>
              <w:spacing w:after="0" w:line="240" w:lineRule="auto"/>
              <w:ind w:left="-24" w:right="-96" w:firstLine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70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44" w:type="dxa"/>
            <w:vAlign w:val="center"/>
          </w:tcPr>
          <w:p w:rsidR="00525D48" w:rsidRPr="004C570C" w:rsidRDefault="00525D48" w:rsidP="004C57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71,67</w:t>
            </w:r>
          </w:p>
          <w:p w:rsidR="00525D48" w:rsidRPr="004C570C" w:rsidRDefault="00525D48" w:rsidP="004C57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±2,84</w:t>
            </w:r>
          </w:p>
        </w:tc>
        <w:tc>
          <w:tcPr>
            <w:tcW w:w="829" w:type="dxa"/>
            <w:vAlign w:val="center"/>
          </w:tcPr>
          <w:p w:rsidR="00525D48" w:rsidRPr="004C570C" w:rsidRDefault="00525D48" w:rsidP="004C570C">
            <w:pPr>
              <w:spacing w:after="0" w:line="240" w:lineRule="auto"/>
              <w:ind w:left="-24" w:right="-96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525D48" w:rsidRPr="004C570C" w:rsidRDefault="00525D48" w:rsidP="004C57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63,96</w:t>
            </w:r>
          </w:p>
          <w:p w:rsidR="00525D48" w:rsidRPr="004C570C" w:rsidRDefault="00525D48" w:rsidP="004C57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±4,31</w:t>
            </w:r>
          </w:p>
        </w:tc>
        <w:tc>
          <w:tcPr>
            <w:tcW w:w="786" w:type="dxa"/>
            <w:vAlign w:val="center"/>
          </w:tcPr>
          <w:p w:rsidR="00525D48" w:rsidRPr="004C570C" w:rsidRDefault="00525D48" w:rsidP="004C570C">
            <w:pPr>
              <w:spacing w:after="0" w:line="240" w:lineRule="auto"/>
              <w:ind w:left="-24" w:right="-96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8" w:type="dxa"/>
            <w:vAlign w:val="center"/>
          </w:tcPr>
          <w:p w:rsidR="00525D48" w:rsidRPr="004C570C" w:rsidRDefault="00525D48" w:rsidP="004C57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78,60</w:t>
            </w:r>
          </w:p>
          <w:p w:rsidR="00525D48" w:rsidRPr="004C570C" w:rsidRDefault="00525D48" w:rsidP="004C57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±2,49</w:t>
            </w:r>
          </w:p>
        </w:tc>
      </w:tr>
      <w:tr w:rsidR="00525D48" w:rsidRPr="004C570C" w:rsidTr="00345CDF">
        <w:trPr>
          <w:trHeight w:val="277"/>
          <w:jc w:val="center"/>
        </w:trPr>
        <w:tc>
          <w:tcPr>
            <w:tcW w:w="1371" w:type="dxa"/>
            <w:tcBorders>
              <w:right w:val="nil"/>
            </w:tcBorders>
            <w:vAlign w:val="center"/>
          </w:tcPr>
          <w:p w:rsidR="00525D48" w:rsidRPr="004C570C" w:rsidRDefault="00525D48" w:rsidP="004C570C">
            <w:pPr>
              <w:widowControl w:val="0"/>
              <w:spacing w:after="0" w:line="240" w:lineRule="auto"/>
              <w:ind w:left="-118" w:right="-392" w:firstLine="1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  <w:p w:rsidR="00525D48" w:rsidRPr="004C570C" w:rsidRDefault="00525D48" w:rsidP="004C570C">
            <w:pPr>
              <w:widowControl w:val="0"/>
              <w:spacing w:after="0" w:line="240" w:lineRule="auto"/>
              <w:ind w:left="-118" w:right="-392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  <w:lang w:val="en-US"/>
              </w:rPr>
              <w:t>(n=44)</w:t>
            </w:r>
          </w:p>
        </w:tc>
        <w:tc>
          <w:tcPr>
            <w:tcW w:w="266" w:type="dxa"/>
            <w:tcBorders>
              <w:left w:val="nil"/>
            </w:tcBorders>
            <w:vAlign w:val="center"/>
          </w:tcPr>
          <w:p w:rsidR="00525D48" w:rsidRPr="004C570C" w:rsidRDefault="00525D48" w:rsidP="004C570C">
            <w:pPr>
              <w:widowControl w:val="0"/>
              <w:spacing w:after="0" w:line="240" w:lineRule="auto"/>
              <w:ind w:left="-118" w:right="-392" w:firstLine="1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25D48" w:rsidRPr="004C570C" w:rsidRDefault="00525D48" w:rsidP="004C570C">
            <w:pPr>
              <w:widowControl w:val="0"/>
              <w:spacing w:after="0" w:line="240" w:lineRule="auto"/>
              <w:ind w:left="-118" w:right="-392" w:firstLine="1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Align w:val="center"/>
          </w:tcPr>
          <w:p w:rsidR="00525D48" w:rsidRPr="004C570C" w:rsidRDefault="00525D48" w:rsidP="004C570C">
            <w:pPr>
              <w:spacing w:after="0" w:line="240" w:lineRule="auto"/>
              <w:ind w:left="-24" w:right="-96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71,39</w:t>
            </w:r>
          </w:p>
          <w:p w:rsidR="00525D48" w:rsidRPr="004C570C" w:rsidRDefault="00525D48" w:rsidP="004C570C">
            <w:pPr>
              <w:spacing w:after="0" w:line="240" w:lineRule="auto"/>
              <w:ind w:left="-24" w:right="-96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±5,03</w:t>
            </w:r>
          </w:p>
        </w:tc>
        <w:tc>
          <w:tcPr>
            <w:tcW w:w="830" w:type="dxa"/>
            <w:vAlign w:val="center"/>
          </w:tcPr>
          <w:p w:rsidR="00525D48" w:rsidRPr="004C570C" w:rsidRDefault="00525D48" w:rsidP="004C570C">
            <w:pPr>
              <w:widowControl w:val="0"/>
              <w:spacing w:after="0" w:line="240" w:lineRule="auto"/>
              <w:ind w:left="-24" w:right="-96" w:firstLine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70C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44" w:type="dxa"/>
            <w:vAlign w:val="center"/>
          </w:tcPr>
          <w:p w:rsidR="00525D48" w:rsidRPr="004C570C" w:rsidRDefault="00525D48" w:rsidP="004C57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67,87</w:t>
            </w:r>
          </w:p>
          <w:p w:rsidR="00525D48" w:rsidRPr="004C570C" w:rsidRDefault="00525D48" w:rsidP="004C57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±2,26</w:t>
            </w:r>
          </w:p>
        </w:tc>
        <w:tc>
          <w:tcPr>
            <w:tcW w:w="829" w:type="dxa"/>
            <w:vAlign w:val="center"/>
          </w:tcPr>
          <w:p w:rsidR="00525D48" w:rsidRPr="004C570C" w:rsidRDefault="00525D48" w:rsidP="004C570C">
            <w:pPr>
              <w:spacing w:after="0" w:line="240" w:lineRule="auto"/>
              <w:ind w:left="-24" w:right="-96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  <w:vAlign w:val="center"/>
          </w:tcPr>
          <w:p w:rsidR="00525D48" w:rsidRPr="004C570C" w:rsidRDefault="00525D48" w:rsidP="004C57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65,21</w:t>
            </w:r>
          </w:p>
          <w:p w:rsidR="00525D48" w:rsidRPr="004C570C" w:rsidRDefault="00525D48" w:rsidP="004C57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±3,42</w:t>
            </w:r>
          </w:p>
        </w:tc>
        <w:tc>
          <w:tcPr>
            <w:tcW w:w="786" w:type="dxa"/>
            <w:vAlign w:val="center"/>
          </w:tcPr>
          <w:p w:rsidR="00525D48" w:rsidRPr="004C570C" w:rsidRDefault="00525D48" w:rsidP="004C570C">
            <w:pPr>
              <w:spacing w:after="0" w:line="240" w:lineRule="auto"/>
              <w:ind w:left="-24" w:right="-96"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  <w:vAlign w:val="center"/>
          </w:tcPr>
          <w:p w:rsidR="00525D48" w:rsidRPr="004C570C" w:rsidRDefault="00525D48" w:rsidP="004C57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84,13</w:t>
            </w:r>
          </w:p>
          <w:p w:rsidR="00525D48" w:rsidRPr="004C570C" w:rsidRDefault="00525D48" w:rsidP="004C57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>±5,11</w:t>
            </w:r>
          </w:p>
        </w:tc>
      </w:tr>
      <w:tr w:rsidR="00525D48" w:rsidRPr="004C570C" w:rsidTr="00345CDF">
        <w:trPr>
          <w:trHeight w:val="277"/>
          <w:jc w:val="center"/>
        </w:trPr>
        <w:tc>
          <w:tcPr>
            <w:tcW w:w="936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25D48" w:rsidRPr="004C570C" w:rsidRDefault="00525D48" w:rsidP="004C5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5D48" w:rsidRPr="004C570C" w:rsidRDefault="00525D48" w:rsidP="004C570C">
            <w:pPr>
              <w:spacing w:after="0" w:line="240" w:lineRule="auto"/>
              <w:ind w:left="-10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0C">
              <w:rPr>
                <w:rFonts w:ascii="Times New Roman" w:hAnsi="Times New Roman"/>
                <w:sz w:val="24"/>
                <w:szCs w:val="24"/>
              </w:rPr>
              <w:t xml:space="preserve">Примітка: </w:t>
            </w:r>
            <w:r w:rsidRPr="004C570C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r w:rsidRPr="004C570C">
              <w:rPr>
                <w:rFonts w:ascii="Times New Roman" w:hAnsi="Times New Roman"/>
                <w:sz w:val="24"/>
                <w:szCs w:val="24"/>
              </w:rPr>
              <w:t xml:space="preserve"> – достовірна відмінність відповідних показників між гомозиготами по 1-й алелі та гомозиготами по 2-й алелі; </w:t>
            </w:r>
            <w:r w:rsidRPr="004C570C">
              <w:rPr>
                <w:rFonts w:ascii="Times New Roman" w:hAnsi="Times New Roman"/>
                <w:sz w:val="24"/>
                <w:szCs w:val="24"/>
                <w:vertAlign w:val="superscript"/>
              </w:rPr>
              <w:t>в</w:t>
            </w:r>
            <w:r w:rsidRPr="004C570C">
              <w:rPr>
                <w:rFonts w:ascii="Times New Roman" w:hAnsi="Times New Roman"/>
                <w:sz w:val="24"/>
                <w:szCs w:val="24"/>
              </w:rPr>
              <w:t xml:space="preserve"> – між гомозиготами </w:t>
            </w:r>
            <w:proofErr w:type="gramStart"/>
            <w:r w:rsidRPr="004C570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4C570C">
              <w:rPr>
                <w:rFonts w:ascii="Times New Roman" w:hAnsi="Times New Roman"/>
                <w:sz w:val="24"/>
                <w:szCs w:val="24"/>
              </w:rPr>
              <w:t xml:space="preserve"> 1-й алелі та гетерозиготами; </w:t>
            </w:r>
            <w:r w:rsidRPr="004C570C">
              <w:rPr>
                <w:rFonts w:ascii="Times New Roman" w:hAnsi="Times New Roman"/>
                <w:sz w:val="24"/>
                <w:szCs w:val="24"/>
                <w:vertAlign w:val="superscript"/>
              </w:rPr>
              <w:t>с</w:t>
            </w:r>
            <w:r w:rsidRPr="004C570C">
              <w:rPr>
                <w:rFonts w:ascii="Times New Roman" w:hAnsi="Times New Roman"/>
                <w:sz w:val="24"/>
                <w:szCs w:val="24"/>
              </w:rPr>
              <w:t xml:space="preserve"> – між гомозиготами по 2-й алелі та гетерозиготами; </w:t>
            </w:r>
            <w:r w:rsidRPr="004C570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d</w:t>
            </w:r>
            <w:r w:rsidRPr="004C570C">
              <w:rPr>
                <w:rFonts w:ascii="Times New Roman" w:hAnsi="Times New Roman"/>
                <w:sz w:val="24"/>
                <w:szCs w:val="24"/>
              </w:rPr>
              <w:t xml:space="preserve"> – між пацієнтами з остеопенією та остеопорозом, на рівні не менше р&lt;0,05.</w:t>
            </w:r>
          </w:p>
          <w:p w:rsidR="00525D48" w:rsidRPr="004C570C" w:rsidRDefault="00525D48" w:rsidP="004C570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181" w:rsidRPr="004C570C" w:rsidRDefault="00525D48" w:rsidP="004C57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570C">
        <w:rPr>
          <w:rFonts w:ascii="Times New Roman" w:hAnsi="Times New Roman"/>
          <w:sz w:val="24"/>
          <w:szCs w:val="24"/>
        </w:rPr>
        <w:lastRenderedPageBreak/>
        <w:t xml:space="preserve">Отже, у пацієнтів з </w:t>
      </w:r>
      <w:r w:rsidR="005E32DE" w:rsidRPr="004C570C">
        <w:rPr>
          <w:rFonts w:ascii="Times New Roman" w:hAnsi="Times New Roman"/>
          <w:sz w:val="24"/>
          <w:szCs w:val="24"/>
        </w:rPr>
        <w:t xml:space="preserve">генотипом </w:t>
      </w:r>
      <w:r w:rsidRPr="004C570C">
        <w:rPr>
          <w:rFonts w:ascii="Times New Roman" w:hAnsi="Times New Roman"/>
          <w:sz w:val="24"/>
          <w:szCs w:val="24"/>
          <w:lang w:val="en-US"/>
        </w:rPr>
        <w:t>bb</w:t>
      </w:r>
      <w:r w:rsidRPr="004C570C">
        <w:rPr>
          <w:rFonts w:ascii="Times New Roman" w:hAnsi="Times New Roman"/>
          <w:sz w:val="24"/>
          <w:szCs w:val="24"/>
        </w:rPr>
        <w:t xml:space="preserve"> лише у 26,0% осіб виявлені порушення СФСКТ (остеопенія) на тлі відносно знижених </w:t>
      </w:r>
      <w:proofErr w:type="gramStart"/>
      <w:r w:rsidRPr="004C570C">
        <w:rPr>
          <w:rFonts w:ascii="Times New Roman" w:hAnsi="Times New Roman"/>
          <w:sz w:val="24"/>
          <w:szCs w:val="24"/>
        </w:rPr>
        <w:t>р</w:t>
      </w:r>
      <w:proofErr w:type="gramEnd"/>
      <w:r w:rsidRPr="004C570C">
        <w:rPr>
          <w:rFonts w:ascii="Times New Roman" w:hAnsi="Times New Roman"/>
          <w:sz w:val="24"/>
          <w:szCs w:val="24"/>
        </w:rPr>
        <w:t xml:space="preserve">івнів апеліну-13, що дає підставу визначити, що цей варіант поліморфізму </w:t>
      </w:r>
      <w:r w:rsidR="00CC0285" w:rsidRPr="004C570C">
        <w:rPr>
          <w:rFonts w:ascii="Times New Roman" w:hAnsi="Times New Roman"/>
          <w:sz w:val="24"/>
          <w:szCs w:val="24"/>
        </w:rPr>
        <w:t xml:space="preserve">гену </w:t>
      </w:r>
      <w:r w:rsidRPr="004C570C">
        <w:rPr>
          <w:rFonts w:ascii="Times New Roman" w:hAnsi="Times New Roman"/>
          <w:i/>
          <w:sz w:val="24"/>
          <w:szCs w:val="24"/>
          <w:lang w:val="en-IE"/>
        </w:rPr>
        <w:t>VDR</w:t>
      </w:r>
      <w:r w:rsidRPr="004C570C">
        <w:rPr>
          <w:rFonts w:ascii="Times New Roman" w:hAnsi="Times New Roman"/>
          <w:sz w:val="24"/>
          <w:szCs w:val="24"/>
        </w:rPr>
        <w:t xml:space="preserve"> у хворих на ОА та ожиріння є найбільш сприятливим для перебігу захворювання. Можливою метаболічною індивідуальністю таких пацієнтів є </w:t>
      </w:r>
      <w:proofErr w:type="gramStart"/>
      <w:r w:rsidRPr="004C570C">
        <w:rPr>
          <w:rFonts w:ascii="Times New Roman" w:hAnsi="Times New Roman"/>
          <w:sz w:val="24"/>
          <w:szCs w:val="24"/>
        </w:rPr>
        <w:t>в</w:t>
      </w:r>
      <w:proofErr w:type="gramEnd"/>
      <w:r w:rsidRPr="004C570C">
        <w:rPr>
          <w:rFonts w:ascii="Times New Roman" w:hAnsi="Times New Roman"/>
          <w:sz w:val="24"/>
          <w:szCs w:val="24"/>
        </w:rPr>
        <w:t xml:space="preserve">ідносне зростання вмісту </w:t>
      </w:r>
      <w:r w:rsidR="005E32DE">
        <w:rPr>
          <w:rFonts w:ascii="Times New Roman" w:hAnsi="Times New Roman"/>
          <w:sz w:val="24"/>
          <w:szCs w:val="24"/>
          <w:lang w:val="uk-UA"/>
        </w:rPr>
        <w:t>сироваткового</w:t>
      </w:r>
      <w:r w:rsidRPr="004C570C">
        <w:rPr>
          <w:rFonts w:ascii="Times New Roman" w:hAnsi="Times New Roman"/>
          <w:sz w:val="24"/>
          <w:szCs w:val="24"/>
        </w:rPr>
        <w:t xml:space="preserve"> апеліну на тлі формування остеопенічних порушень, тоді як проявів остеопорозу не виявлено</w:t>
      </w:r>
      <w:r w:rsidR="00E74181" w:rsidRPr="004C570C">
        <w:rPr>
          <w:rFonts w:ascii="Times New Roman" w:hAnsi="Times New Roman"/>
          <w:sz w:val="24"/>
          <w:szCs w:val="24"/>
        </w:rPr>
        <w:t xml:space="preserve">. </w:t>
      </w:r>
      <w:r w:rsidRPr="004C570C">
        <w:rPr>
          <w:rFonts w:ascii="Times New Roman" w:hAnsi="Times New Roman"/>
          <w:sz w:val="24"/>
          <w:szCs w:val="24"/>
        </w:rPr>
        <w:t xml:space="preserve">Тобто, при </w:t>
      </w:r>
      <w:r w:rsidRPr="004C570C">
        <w:rPr>
          <w:rFonts w:ascii="Times New Roman" w:hAnsi="Times New Roman"/>
          <w:sz w:val="24"/>
          <w:szCs w:val="24"/>
          <w:lang w:val="en-US"/>
        </w:rPr>
        <w:t>bb</w:t>
      </w:r>
      <w:r w:rsidRPr="004C570C">
        <w:rPr>
          <w:rFonts w:ascii="Times New Roman" w:hAnsi="Times New Roman"/>
          <w:sz w:val="24"/>
          <w:szCs w:val="24"/>
        </w:rPr>
        <w:t>-варіанті поліморфізму</w:t>
      </w:r>
      <w:r w:rsidRPr="004C570C">
        <w:rPr>
          <w:rFonts w:ascii="Times New Roman" w:hAnsi="Times New Roman"/>
          <w:spacing w:val="-2"/>
          <w:sz w:val="24"/>
          <w:szCs w:val="24"/>
        </w:rPr>
        <w:t xml:space="preserve"> гену рецептор</w:t>
      </w:r>
      <w:r w:rsidR="005E32DE">
        <w:rPr>
          <w:rFonts w:ascii="Times New Roman" w:hAnsi="Times New Roman"/>
          <w:spacing w:val="-2"/>
          <w:sz w:val="24"/>
          <w:szCs w:val="24"/>
          <w:lang w:val="uk-UA"/>
        </w:rPr>
        <w:t>а</w:t>
      </w:r>
      <w:r w:rsidRPr="004C570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4C570C">
        <w:rPr>
          <w:rFonts w:ascii="Times New Roman" w:hAnsi="Times New Roman"/>
          <w:spacing w:val="-2"/>
          <w:sz w:val="24"/>
          <w:szCs w:val="24"/>
        </w:rPr>
        <w:t>в</w:t>
      </w:r>
      <w:proofErr w:type="gramEnd"/>
      <w:r w:rsidRPr="004C570C">
        <w:rPr>
          <w:rFonts w:ascii="Times New Roman" w:hAnsi="Times New Roman"/>
          <w:spacing w:val="-2"/>
          <w:sz w:val="24"/>
          <w:szCs w:val="24"/>
        </w:rPr>
        <w:t xml:space="preserve">ітаміну </w:t>
      </w:r>
      <w:r w:rsidRPr="004C570C">
        <w:rPr>
          <w:rFonts w:ascii="Times New Roman" w:hAnsi="Times New Roman"/>
          <w:spacing w:val="-2"/>
          <w:sz w:val="24"/>
          <w:szCs w:val="24"/>
          <w:lang w:val="en-US"/>
        </w:rPr>
        <w:t>D</w:t>
      </w:r>
      <w:r w:rsidRPr="004C570C">
        <w:rPr>
          <w:rFonts w:ascii="Times New Roman" w:hAnsi="Times New Roman"/>
          <w:sz w:val="24"/>
          <w:szCs w:val="24"/>
        </w:rPr>
        <w:t xml:space="preserve"> відсутні діагностично та прогностично значимі зміни вмісту апеліну</w:t>
      </w:r>
      <w:r w:rsidR="00227B94" w:rsidRPr="004C570C">
        <w:rPr>
          <w:rFonts w:ascii="Times New Roman" w:hAnsi="Times New Roman"/>
          <w:sz w:val="24"/>
          <w:szCs w:val="24"/>
        </w:rPr>
        <w:t>-13</w:t>
      </w:r>
      <w:r w:rsidRPr="004C570C">
        <w:rPr>
          <w:rFonts w:ascii="Times New Roman" w:hAnsi="Times New Roman"/>
          <w:sz w:val="24"/>
          <w:szCs w:val="24"/>
        </w:rPr>
        <w:t xml:space="preserve"> залежно від ступеня деградації суглобового хряща. </w:t>
      </w:r>
    </w:p>
    <w:p w:rsidR="00525D48" w:rsidRPr="004C570C" w:rsidRDefault="00525D48" w:rsidP="004C57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570C">
        <w:rPr>
          <w:rFonts w:ascii="Times New Roman" w:hAnsi="Times New Roman"/>
          <w:sz w:val="24"/>
          <w:szCs w:val="24"/>
        </w:rPr>
        <w:t xml:space="preserve">Водночас нами опрацьована поліномінальна модель залежності концентрації апеліну від ступеня деградації суглобового хряща при </w:t>
      </w:r>
      <w:r w:rsidR="005E32DE" w:rsidRPr="004C570C">
        <w:rPr>
          <w:rFonts w:ascii="Times New Roman" w:hAnsi="Times New Roman"/>
          <w:sz w:val="24"/>
          <w:szCs w:val="24"/>
        </w:rPr>
        <w:t>генотипі</w:t>
      </w:r>
      <w:r w:rsidR="005E32DE" w:rsidRPr="005E32DE">
        <w:rPr>
          <w:rFonts w:ascii="Times New Roman" w:hAnsi="Times New Roman"/>
          <w:sz w:val="24"/>
          <w:szCs w:val="24"/>
        </w:rPr>
        <w:t xml:space="preserve"> </w:t>
      </w:r>
      <w:r w:rsidRPr="004C570C">
        <w:rPr>
          <w:rFonts w:ascii="Times New Roman" w:hAnsi="Times New Roman"/>
          <w:sz w:val="24"/>
          <w:szCs w:val="24"/>
          <w:lang w:val="en-US"/>
        </w:rPr>
        <w:t>bb</w:t>
      </w:r>
      <w:r w:rsidRPr="004C570C">
        <w:rPr>
          <w:rFonts w:ascii="Times New Roman" w:hAnsi="Times New Roman"/>
          <w:sz w:val="24"/>
          <w:szCs w:val="24"/>
        </w:rPr>
        <w:t xml:space="preserve"> осіб з ОА, яка </w:t>
      </w:r>
      <w:proofErr w:type="gramStart"/>
      <w:r w:rsidRPr="004C570C">
        <w:rPr>
          <w:rFonts w:ascii="Times New Roman" w:hAnsi="Times New Roman"/>
          <w:sz w:val="24"/>
          <w:szCs w:val="24"/>
        </w:rPr>
        <w:t>дозволяє в</w:t>
      </w:r>
      <w:proofErr w:type="gramEnd"/>
      <w:r w:rsidRPr="004C570C">
        <w:rPr>
          <w:rFonts w:ascii="Times New Roman" w:hAnsi="Times New Roman"/>
          <w:sz w:val="24"/>
          <w:szCs w:val="24"/>
        </w:rPr>
        <w:t>ідобразити закономірність коливання цього показника: характерна помірна тенденція до зростання при збільшенні ступеня деградації суглобового хряща</w:t>
      </w:r>
      <w:r w:rsidR="00D9795B" w:rsidRPr="004C570C">
        <w:rPr>
          <w:rFonts w:ascii="Times New Roman" w:hAnsi="Times New Roman"/>
          <w:sz w:val="24"/>
          <w:szCs w:val="24"/>
        </w:rPr>
        <w:t xml:space="preserve"> </w:t>
      </w:r>
      <w:r w:rsidRPr="004C570C">
        <w:rPr>
          <w:rFonts w:ascii="Times New Roman" w:hAnsi="Times New Roman"/>
          <w:sz w:val="24"/>
          <w:szCs w:val="24"/>
        </w:rPr>
        <w:t xml:space="preserve">(рис. </w:t>
      </w:r>
      <w:r w:rsidR="00E74181" w:rsidRPr="004C570C">
        <w:rPr>
          <w:rFonts w:ascii="Times New Roman" w:hAnsi="Times New Roman"/>
          <w:sz w:val="24"/>
          <w:szCs w:val="24"/>
        </w:rPr>
        <w:t>2</w:t>
      </w:r>
      <w:r w:rsidRPr="004C570C">
        <w:rPr>
          <w:rFonts w:ascii="Times New Roman" w:hAnsi="Times New Roman"/>
          <w:sz w:val="24"/>
          <w:szCs w:val="24"/>
        </w:rPr>
        <w:t>).</w:t>
      </w:r>
    </w:p>
    <w:p w:rsidR="00D9795B" w:rsidRPr="004C570C" w:rsidRDefault="00D9795B" w:rsidP="004C57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570C" w:rsidRDefault="003420E9" w:rsidP="004C570C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-3175</wp:posOffset>
                </wp:positionV>
                <wp:extent cx="800100" cy="342900"/>
                <wp:effectExtent l="0" t="0" r="0" b="0"/>
                <wp:wrapNone/>
                <wp:docPr id="223" name="Поле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04" w:rsidRPr="00C90598" w:rsidRDefault="00581504" w:rsidP="00525D48">
                            <w:pPr>
                              <w:rPr>
                                <w:color w:val="000080"/>
                              </w:rPr>
                            </w:pPr>
                            <w:r w:rsidRPr="00C90598">
                              <w:rPr>
                                <w:rFonts w:ascii="Times New Roman" w:hAnsi="Times New Roman"/>
                                <w:color w:val="000080"/>
                                <w:sz w:val="28"/>
                                <w:szCs w:val="28"/>
                              </w:rPr>
                              <w:t>пг/</w:t>
                            </w:r>
                            <w:r>
                              <w:rPr>
                                <w:rFonts w:ascii="Times New Roman" w:hAnsi="Times New Roman"/>
                                <w:color w:val="000080"/>
                                <w:sz w:val="28"/>
                                <w:szCs w:val="28"/>
                              </w:rPr>
                              <w:t>мл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3" o:spid="_x0000_s1027" type="#_x0000_t202" style="position:absolute;left:0;text-align:left;margin-left:391.7pt;margin-top:-.25pt;width:6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" stroked="f">
                <v:fill opacity="0"/>
                <v:textbox>
                  <w:txbxContent>
                    <w:p w:rsidR="00581504" w:rsidRPr="00C90598" w:rsidRDefault="00581504" w:rsidP="00525D48">
                      <w:pPr>
                        <w:rPr>
                          <w:color w:val="000080"/>
                        </w:rPr>
                      </w:pPr>
                      <w:r w:rsidRPr="00C90598">
                        <w:rPr>
                          <w:rFonts w:ascii="Times New Roman" w:hAnsi="Times New Roman"/>
                          <w:color w:val="000080"/>
                          <w:sz w:val="28"/>
                          <w:szCs w:val="28"/>
                        </w:rPr>
                        <w:t>пг/</w:t>
                      </w:r>
                      <w:r>
                        <w:rPr>
                          <w:rFonts w:ascii="Times New Roman" w:hAnsi="Times New Roman"/>
                          <w:color w:val="000080"/>
                          <w:sz w:val="28"/>
                          <w:szCs w:val="28"/>
                        </w:rPr>
                        <w:t>мл</w:t>
                      </w:r>
                    </w:p>
                  </w:txbxContent>
                </v:textbox>
              </v:shape>
            </w:pict>
          </mc:Fallback>
        </mc:AlternateContent>
      </w:r>
      <w:r w:rsidR="00D9795B" w:rsidRPr="004C570C">
        <w:rPr>
          <w:noProof/>
          <w:sz w:val="24"/>
          <w:szCs w:val="24"/>
        </w:rPr>
        <w:drawing>
          <wp:inline distT="0" distB="0" distL="0" distR="0" wp14:anchorId="4C14378C" wp14:editId="3EA3D086">
            <wp:extent cx="5857875" cy="3724275"/>
            <wp:effectExtent l="0" t="0" r="0" b="0"/>
            <wp:docPr id="21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0C" w:rsidRDefault="004C570C" w:rsidP="004C570C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4C570C" w:rsidRPr="004C570C" w:rsidRDefault="004C570C" w:rsidP="004C570C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B6294E" w:rsidRPr="004C570C" w:rsidRDefault="00B6294E" w:rsidP="004C5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70C">
        <w:rPr>
          <w:rFonts w:ascii="Times New Roman" w:hAnsi="Times New Roman"/>
          <w:b/>
          <w:sz w:val="24"/>
          <w:szCs w:val="24"/>
        </w:rPr>
        <w:t>Рис. 2</w:t>
      </w:r>
      <w:r w:rsidRPr="004C570C"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4C570C">
        <w:rPr>
          <w:rFonts w:ascii="Times New Roman" w:hAnsi="Times New Roman"/>
          <w:b/>
          <w:sz w:val="24"/>
          <w:szCs w:val="24"/>
        </w:rPr>
        <w:t xml:space="preserve"> Клініко-статистичні та аналітичні моделі залежності  </w:t>
      </w:r>
      <w:proofErr w:type="gramStart"/>
      <w:r w:rsidRPr="004C57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4C570C">
        <w:rPr>
          <w:rFonts w:ascii="Times New Roman" w:hAnsi="Times New Roman"/>
          <w:b/>
          <w:sz w:val="24"/>
          <w:szCs w:val="24"/>
        </w:rPr>
        <w:t xml:space="preserve">івня апеліну-13 при різних рентгенологічних стадіях остеоартрозу залежно від поліморфізму гену рецептора вітаміну </w:t>
      </w:r>
      <w:r w:rsidRPr="004C570C">
        <w:rPr>
          <w:rFonts w:ascii="Times New Roman" w:hAnsi="Times New Roman"/>
          <w:b/>
          <w:sz w:val="24"/>
          <w:szCs w:val="24"/>
          <w:lang w:val="en-US"/>
        </w:rPr>
        <w:t>D</w:t>
      </w:r>
    </w:p>
    <w:p w:rsidR="002B636B" w:rsidRPr="004C570C" w:rsidRDefault="002B636B" w:rsidP="004C570C">
      <w:pPr>
        <w:spacing w:after="0" w:line="240" w:lineRule="auto"/>
        <w:jc w:val="both"/>
        <w:rPr>
          <w:sz w:val="24"/>
          <w:szCs w:val="24"/>
        </w:rPr>
      </w:pPr>
    </w:p>
    <w:p w:rsidR="002B0103" w:rsidRPr="004C570C" w:rsidRDefault="002B0103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70C">
        <w:rPr>
          <w:rFonts w:ascii="Times New Roman" w:hAnsi="Times New Roman" w:cs="Times New Roman"/>
          <w:sz w:val="24"/>
          <w:szCs w:val="24"/>
        </w:rPr>
        <w:t>Тобто, вмі</w:t>
      </w:r>
      <w:proofErr w:type="gramStart"/>
      <w:r w:rsidRPr="004C570C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C570C">
        <w:rPr>
          <w:rFonts w:ascii="Times New Roman" w:hAnsi="Times New Roman" w:cs="Times New Roman"/>
          <w:sz w:val="24"/>
          <w:szCs w:val="24"/>
        </w:rPr>
        <w:t xml:space="preserve"> апеліну поступово збільшується при 1-2 рентгенологічних стадіях  ОА та вірогідно зростає при прогресуванні тяжкості захворювання. </w:t>
      </w:r>
    </w:p>
    <w:p w:rsidR="00227B94" w:rsidRPr="004C570C" w:rsidRDefault="00227B94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A48" w:rsidRPr="004C570C" w:rsidRDefault="004965FD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70C">
        <w:rPr>
          <w:rFonts w:ascii="Times New Roman" w:hAnsi="Times New Roman" w:cs="Times New Roman"/>
          <w:b/>
          <w:sz w:val="24"/>
          <w:szCs w:val="24"/>
        </w:rPr>
        <w:t>Висновки.</w:t>
      </w:r>
      <w:r w:rsidRPr="004C570C">
        <w:rPr>
          <w:rFonts w:ascii="Times New Roman" w:hAnsi="Times New Roman" w:cs="Times New Roman"/>
          <w:sz w:val="24"/>
          <w:szCs w:val="24"/>
        </w:rPr>
        <w:t xml:space="preserve"> Серед пацієнтів на остеоартроз та ожиріння доволі часто (45,8%) проти контролю (11,5%) зустрічається несприятливий </w:t>
      </w:r>
      <w:r w:rsidR="005E32DE" w:rsidRPr="004C570C">
        <w:rPr>
          <w:rFonts w:ascii="Times New Roman" w:hAnsi="Times New Roman" w:cs="Times New Roman"/>
          <w:sz w:val="24"/>
          <w:szCs w:val="24"/>
        </w:rPr>
        <w:t xml:space="preserve">варіант </w:t>
      </w:r>
      <w:r w:rsidR="005E32DE">
        <w:rPr>
          <w:rFonts w:ascii="Times New Roman" w:hAnsi="Times New Roman" w:cs="Times New Roman"/>
          <w:sz w:val="24"/>
          <w:szCs w:val="24"/>
          <w:lang w:val="uk-UA"/>
        </w:rPr>
        <w:t xml:space="preserve">генотипу </w:t>
      </w:r>
      <w:proofErr w:type="gramStart"/>
      <w:r w:rsidRPr="004C570C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E168B7" w:rsidRPr="004C570C">
        <w:rPr>
          <w:rFonts w:ascii="Times New Roman" w:hAnsi="Times New Roman" w:cs="Times New Roman"/>
          <w:sz w:val="24"/>
          <w:szCs w:val="24"/>
        </w:rPr>
        <w:t xml:space="preserve"> ге</w:t>
      </w:r>
      <w:r w:rsidRPr="004C570C">
        <w:rPr>
          <w:rFonts w:ascii="Times New Roman" w:hAnsi="Times New Roman" w:cs="Times New Roman"/>
          <w:sz w:val="24"/>
          <w:szCs w:val="24"/>
        </w:rPr>
        <w:t>ну рецептор</w:t>
      </w:r>
      <w:r w:rsidR="005E32D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C570C">
        <w:rPr>
          <w:rFonts w:ascii="Times New Roman" w:hAnsi="Times New Roman" w:cs="Times New Roman"/>
          <w:sz w:val="24"/>
          <w:szCs w:val="24"/>
        </w:rPr>
        <w:t xml:space="preserve"> вітаміну D, що підтверджується рентгенологічним прогресуванням ураження суглобів</w:t>
      </w:r>
      <w:r w:rsidR="00107A48" w:rsidRPr="004C570C">
        <w:rPr>
          <w:rFonts w:ascii="Times New Roman" w:hAnsi="Times New Roman" w:cs="Times New Roman"/>
          <w:sz w:val="24"/>
          <w:szCs w:val="24"/>
        </w:rPr>
        <w:t>.</w:t>
      </w:r>
    </w:p>
    <w:p w:rsidR="004965FD" w:rsidRPr="004C570C" w:rsidRDefault="009830EA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70C">
        <w:rPr>
          <w:rFonts w:ascii="Times New Roman" w:hAnsi="Times New Roman" w:cs="Times New Roman"/>
          <w:sz w:val="24"/>
          <w:szCs w:val="24"/>
        </w:rPr>
        <w:t>Наявність</w:t>
      </w:r>
      <w:r w:rsidR="00D9795B" w:rsidRPr="004C570C">
        <w:rPr>
          <w:rFonts w:ascii="Times New Roman" w:hAnsi="Times New Roman" w:cs="Times New Roman"/>
          <w:sz w:val="24"/>
          <w:szCs w:val="24"/>
        </w:rPr>
        <w:t xml:space="preserve"> поліморфного варіанту </w:t>
      </w:r>
      <w:proofErr w:type="gramStart"/>
      <w:r w:rsidR="00D9795B" w:rsidRPr="004C570C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D9795B" w:rsidRPr="004C570C">
        <w:rPr>
          <w:rFonts w:ascii="Times New Roman" w:hAnsi="Times New Roman" w:cs="Times New Roman"/>
          <w:sz w:val="24"/>
          <w:szCs w:val="24"/>
        </w:rPr>
        <w:t xml:space="preserve"> гену </w:t>
      </w:r>
      <w:r w:rsidR="00107A48" w:rsidRPr="004C570C">
        <w:rPr>
          <w:rFonts w:ascii="Times New Roman" w:hAnsi="Times New Roman"/>
          <w:i/>
          <w:sz w:val="24"/>
          <w:szCs w:val="24"/>
          <w:lang w:val="en-IE"/>
        </w:rPr>
        <w:t>VDR</w:t>
      </w:r>
      <w:r w:rsidR="004965FD" w:rsidRPr="004C570C">
        <w:rPr>
          <w:rFonts w:ascii="Times New Roman" w:hAnsi="Times New Roman" w:cs="Times New Roman"/>
          <w:sz w:val="24"/>
          <w:szCs w:val="24"/>
        </w:rPr>
        <w:t xml:space="preserve"> </w:t>
      </w:r>
      <w:r w:rsidRPr="004C570C">
        <w:rPr>
          <w:rFonts w:ascii="Times New Roman" w:hAnsi="Times New Roman" w:cs="Times New Roman"/>
          <w:sz w:val="24"/>
          <w:szCs w:val="24"/>
        </w:rPr>
        <w:t>можна розглядати в якості</w:t>
      </w:r>
      <w:r w:rsidR="00107A48" w:rsidRPr="004C570C">
        <w:rPr>
          <w:rFonts w:ascii="Times New Roman" w:hAnsi="Times New Roman" w:cs="Times New Roman"/>
          <w:sz w:val="24"/>
          <w:szCs w:val="24"/>
        </w:rPr>
        <w:t xml:space="preserve"> підґрунтя до</w:t>
      </w:r>
      <w:r w:rsidR="004965FD" w:rsidRPr="004C570C">
        <w:rPr>
          <w:rFonts w:ascii="Times New Roman" w:hAnsi="Times New Roman" w:cs="Times New Roman"/>
          <w:sz w:val="24"/>
          <w:szCs w:val="24"/>
        </w:rPr>
        <w:t xml:space="preserve"> формування остеопенічних станів (75,9%)</w:t>
      </w:r>
      <w:r w:rsidR="00107A48" w:rsidRPr="004C570C">
        <w:rPr>
          <w:rFonts w:ascii="Times New Roman" w:hAnsi="Times New Roman" w:cs="Times New Roman"/>
          <w:sz w:val="24"/>
          <w:szCs w:val="24"/>
        </w:rPr>
        <w:t xml:space="preserve"> у пацієнтів молодого віку на ОА та ожиріння</w:t>
      </w:r>
      <w:r w:rsidR="002B0103" w:rsidRPr="004C570C">
        <w:rPr>
          <w:rFonts w:ascii="Times New Roman" w:hAnsi="Times New Roman" w:cs="Times New Roman"/>
          <w:sz w:val="24"/>
          <w:szCs w:val="24"/>
        </w:rPr>
        <w:t>.</w:t>
      </w:r>
    </w:p>
    <w:p w:rsidR="00526F5B" w:rsidRPr="004C570C" w:rsidRDefault="002B0103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70C">
        <w:rPr>
          <w:rFonts w:ascii="Times New Roman" w:hAnsi="Times New Roman" w:cs="Times New Roman"/>
          <w:sz w:val="24"/>
          <w:szCs w:val="24"/>
        </w:rPr>
        <w:t xml:space="preserve">Перебіг остеоартрозу </w:t>
      </w:r>
      <w:r w:rsidR="00491673" w:rsidRPr="004C570C">
        <w:rPr>
          <w:rFonts w:ascii="Times New Roman" w:hAnsi="Times New Roman" w:cs="Times New Roman"/>
          <w:sz w:val="24"/>
          <w:szCs w:val="24"/>
        </w:rPr>
        <w:t>в</w:t>
      </w:r>
      <w:r w:rsidRPr="004C570C">
        <w:rPr>
          <w:rFonts w:ascii="Times New Roman" w:hAnsi="Times New Roman" w:cs="Times New Roman"/>
          <w:sz w:val="24"/>
          <w:szCs w:val="24"/>
        </w:rPr>
        <w:t xml:space="preserve"> осіб молодого віку з надлишковою вагою та ожирінням відбувається на тлі  підвищення</w:t>
      </w:r>
      <w:r w:rsidR="00526F5B" w:rsidRPr="004C570C">
        <w:rPr>
          <w:rFonts w:ascii="Times New Roman" w:hAnsi="Times New Roman" w:cs="Times New Roman"/>
          <w:sz w:val="24"/>
          <w:szCs w:val="24"/>
        </w:rPr>
        <w:t xml:space="preserve"> рівню</w:t>
      </w:r>
      <w:r w:rsidRPr="004C570C">
        <w:rPr>
          <w:rFonts w:ascii="Times New Roman" w:hAnsi="Times New Roman" w:cs="Times New Roman"/>
          <w:sz w:val="24"/>
          <w:szCs w:val="24"/>
        </w:rPr>
        <w:t xml:space="preserve"> гормону жирової тканини апеліну, вміст якого різниться  при поліморфних варіа</w:t>
      </w:r>
      <w:r w:rsidR="00E168B7" w:rsidRPr="004C570C">
        <w:rPr>
          <w:rFonts w:ascii="Times New Roman" w:hAnsi="Times New Roman" w:cs="Times New Roman"/>
          <w:sz w:val="24"/>
          <w:szCs w:val="24"/>
        </w:rPr>
        <w:t>нтах</w:t>
      </w:r>
      <w:r w:rsidRPr="004C570C">
        <w:rPr>
          <w:rFonts w:ascii="Times New Roman" w:hAnsi="Times New Roman" w:cs="Times New Roman"/>
          <w:sz w:val="24"/>
          <w:szCs w:val="24"/>
        </w:rPr>
        <w:t xml:space="preserve"> гену рецепторів </w:t>
      </w:r>
      <w:proofErr w:type="gramStart"/>
      <w:r w:rsidRPr="004C57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570C">
        <w:rPr>
          <w:rFonts w:ascii="Times New Roman" w:hAnsi="Times New Roman" w:cs="Times New Roman"/>
          <w:sz w:val="24"/>
          <w:szCs w:val="24"/>
        </w:rPr>
        <w:t xml:space="preserve">ітаміну </w:t>
      </w:r>
      <w:r w:rsidRPr="004C570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570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B0103" w:rsidRPr="004C570C" w:rsidRDefault="00526F5B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0C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="002B0103" w:rsidRPr="004C570C">
        <w:rPr>
          <w:rFonts w:ascii="Times New Roman" w:hAnsi="Times New Roman" w:cs="Times New Roman"/>
          <w:sz w:val="24"/>
          <w:szCs w:val="24"/>
        </w:rPr>
        <w:t>івень апеліну</w:t>
      </w:r>
      <w:r w:rsidRPr="004C570C">
        <w:rPr>
          <w:rFonts w:ascii="Times New Roman" w:hAnsi="Times New Roman" w:cs="Times New Roman"/>
          <w:sz w:val="24"/>
          <w:szCs w:val="24"/>
        </w:rPr>
        <w:t xml:space="preserve"> в сироватці крові пацієнтів з ОА на тлі ожиріння</w:t>
      </w:r>
      <w:r w:rsidR="002B0103" w:rsidRPr="004C570C">
        <w:rPr>
          <w:rFonts w:ascii="Times New Roman" w:hAnsi="Times New Roman" w:cs="Times New Roman"/>
          <w:sz w:val="24"/>
          <w:szCs w:val="24"/>
        </w:rPr>
        <w:t xml:space="preserve"> не залежить від ступеню ожиріння, але має залежність від рентгенологічної стадії захворювання</w:t>
      </w:r>
      <w:r w:rsidRPr="004C570C">
        <w:rPr>
          <w:rFonts w:ascii="Times New Roman" w:hAnsi="Times New Roman" w:cs="Times New Roman"/>
          <w:sz w:val="24"/>
          <w:szCs w:val="24"/>
        </w:rPr>
        <w:t xml:space="preserve"> та альго-функціонального індексу </w:t>
      </w:r>
      <w:r w:rsidRPr="004C570C">
        <w:rPr>
          <w:rFonts w:ascii="Times New Roman" w:hAnsi="Times New Roman"/>
          <w:sz w:val="24"/>
          <w:szCs w:val="24"/>
          <w:lang w:val="en-US"/>
        </w:rPr>
        <w:t>WOMAC</w:t>
      </w:r>
      <w:r w:rsidR="002B0103" w:rsidRPr="004C57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817" w:rsidRPr="004C570C" w:rsidRDefault="00BB7817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817" w:rsidRPr="004C570C" w:rsidRDefault="00BB7817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70C">
        <w:rPr>
          <w:rFonts w:ascii="Times New Roman" w:hAnsi="Times New Roman" w:cs="Times New Roman"/>
          <w:i/>
          <w:sz w:val="24"/>
          <w:szCs w:val="24"/>
        </w:rPr>
        <w:t xml:space="preserve">Конфлікт інтересів </w:t>
      </w:r>
      <w:proofErr w:type="gramStart"/>
      <w:r w:rsidRPr="004C570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C570C">
        <w:rPr>
          <w:rFonts w:ascii="Times New Roman" w:hAnsi="Times New Roman" w:cs="Times New Roman"/>
          <w:i/>
          <w:sz w:val="24"/>
          <w:szCs w:val="24"/>
        </w:rPr>
        <w:t>ідсутній.</w:t>
      </w:r>
    </w:p>
    <w:p w:rsidR="00BB7817" w:rsidRPr="004C570C" w:rsidRDefault="00BB7817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70C">
        <w:rPr>
          <w:rFonts w:ascii="Times New Roman" w:hAnsi="Times New Roman" w:cs="Times New Roman"/>
          <w:i/>
          <w:sz w:val="24"/>
          <w:szCs w:val="24"/>
        </w:rPr>
        <w:t>Концепція</w:t>
      </w:r>
      <w:r w:rsidR="00CD1011" w:rsidRPr="004C570C">
        <w:rPr>
          <w:rFonts w:ascii="Times New Roman" w:hAnsi="Times New Roman" w:cs="Times New Roman"/>
          <w:i/>
          <w:sz w:val="24"/>
          <w:szCs w:val="24"/>
        </w:rPr>
        <w:t>,</w:t>
      </w:r>
      <w:r w:rsidRPr="004C570C">
        <w:rPr>
          <w:rFonts w:ascii="Times New Roman" w:hAnsi="Times New Roman" w:cs="Times New Roman"/>
          <w:i/>
          <w:sz w:val="24"/>
          <w:szCs w:val="24"/>
        </w:rPr>
        <w:t xml:space="preserve"> дизайн </w:t>
      </w:r>
      <w:proofErr w:type="gramStart"/>
      <w:r w:rsidRPr="004C570C">
        <w:rPr>
          <w:rFonts w:ascii="Times New Roman" w:hAnsi="Times New Roman" w:cs="Times New Roman"/>
          <w:i/>
          <w:sz w:val="24"/>
          <w:szCs w:val="24"/>
        </w:rPr>
        <w:t>досл</w:t>
      </w:r>
      <w:proofErr w:type="gramEnd"/>
      <w:r w:rsidRPr="004C570C">
        <w:rPr>
          <w:rFonts w:ascii="Times New Roman" w:hAnsi="Times New Roman" w:cs="Times New Roman"/>
          <w:i/>
          <w:sz w:val="24"/>
          <w:szCs w:val="24"/>
        </w:rPr>
        <w:t>ідження</w:t>
      </w:r>
      <w:r w:rsidR="00CD1011" w:rsidRPr="004C570C">
        <w:rPr>
          <w:rFonts w:ascii="Times New Roman" w:hAnsi="Times New Roman" w:cs="Times New Roman"/>
          <w:i/>
          <w:sz w:val="24"/>
          <w:szCs w:val="24"/>
        </w:rPr>
        <w:t xml:space="preserve">, редагування тексту </w:t>
      </w:r>
      <w:r w:rsidRPr="004C570C">
        <w:rPr>
          <w:rFonts w:ascii="Times New Roman" w:hAnsi="Times New Roman" w:cs="Times New Roman"/>
          <w:i/>
          <w:sz w:val="24"/>
          <w:szCs w:val="24"/>
        </w:rPr>
        <w:t>– Л.</w:t>
      </w:r>
      <w:r w:rsidR="00227B94" w:rsidRPr="004C570C">
        <w:rPr>
          <w:rFonts w:ascii="Times New Roman" w:hAnsi="Times New Roman" w:cs="Times New Roman"/>
          <w:i/>
          <w:sz w:val="24"/>
          <w:szCs w:val="24"/>
        </w:rPr>
        <w:t>М</w:t>
      </w:r>
      <w:r w:rsidRPr="004C570C">
        <w:rPr>
          <w:rFonts w:ascii="Times New Roman" w:hAnsi="Times New Roman" w:cs="Times New Roman"/>
          <w:i/>
          <w:sz w:val="24"/>
          <w:szCs w:val="24"/>
        </w:rPr>
        <w:t>.</w:t>
      </w:r>
      <w:r w:rsidR="00227B94" w:rsidRPr="004C570C">
        <w:rPr>
          <w:rFonts w:ascii="Times New Roman" w:hAnsi="Times New Roman" w:cs="Times New Roman"/>
          <w:i/>
          <w:sz w:val="24"/>
          <w:szCs w:val="24"/>
        </w:rPr>
        <w:t xml:space="preserve"> Пасієшвілі.</w:t>
      </w:r>
    </w:p>
    <w:p w:rsidR="00BB7817" w:rsidRPr="004C570C" w:rsidRDefault="00BB7817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70C">
        <w:rPr>
          <w:rFonts w:ascii="Times New Roman" w:hAnsi="Times New Roman" w:cs="Times New Roman"/>
          <w:i/>
          <w:sz w:val="24"/>
          <w:szCs w:val="24"/>
        </w:rPr>
        <w:t>Збі</w:t>
      </w:r>
      <w:proofErr w:type="gramStart"/>
      <w:r w:rsidRPr="004C570C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CD1011" w:rsidRPr="004C570C">
        <w:rPr>
          <w:rFonts w:ascii="Times New Roman" w:hAnsi="Times New Roman" w:cs="Times New Roman"/>
          <w:i/>
          <w:sz w:val="24"/>
          <w:szCs w:val="24"/>
        </w:rPr>
        <w:t xml:space="preserve"> і</w:t>
      </w:r>
      <w:r w:rsidRPr="004C570C">
        <w:rPr>
          <w:rFonts w:ascii="Times New Roman" w:hAnsi="Times New Roman" w:cs="Times New Roman"/>
          <w:i/>
          <w:sz w:val="24"/>
          <w:szCs w:val="24"/>
        </w:rPr>
        <w:t xml:space="preserve"> обробка матеріалу, статистичне опрацювання – К.</w:t>
      </w:r>
      <w:r w:rsidR="00227B94" w:rsidRPr="004C570C">
        <w:rPr>
          <w:rFonts w:ascii="Times New Roman" w:hAnsi="Times New Roman" w:cs="Times New Roman"/>
          <w:i/>
          <w:sz w:val="24"/>
          <w:szCs w:val="24"/>
        </w:rPr>
        <w:t xml:space="preserve">І. </w:t>
      </w:r>
      <w:r w:rsidRPr="004C570C">
        <w:rPr>
          <w:rFonts w:ascii="Times New Roman" w:hAnsi="Times New Roman" w:cs="Times New Roman"/>
          <w:i/>
          <w:sz w:val="24"/>
          <w:szCs w:val="24"/>
        </w:rPr>
        <w:t>Т</w:t>
      </w:r>
      <w:r w:rsidR="00227B94" w:rsidRPr="004C570C">
        <w:rPr>
          <w:rFonts w:ascii="Times New Roman" w:hAnsi="Times New Roman" w:cs="Times New Roman"/>
          <w:i/>
          <w:sz w:val="24"/>
          <w:szCs w:val="24"/>
        </w:rPr>
        <w:t>ерешкін</w:t>
      </w:r>
      <w:r w:rsidR="00CD1011" w:rsidRPr="004C570C">
        <w:rPr>
          <w:rFonts w:ascii="Times New Roman" w:hAnsi="Times New Roman" w:cs="Times New Roman"/>
          <w:i/>
          <w:sz w:val="24"/>
          <w:szCs w:val="24"/>
        </w:rPr>
        <w:t>.</w:t>
      </w:r>
    </w:p>
    <w:p w:rsidR="00CD1011" w:rsidRPr="004C570C" w:rsidRDefault="00CD1011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817" w:rsidRDefault="00BB7817" w:rsidP="004C57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70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4C570C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4C570C">
        <w:rPr>
          <w:rFonts w:ascii="Times New Roman" w:hAnsi="Times New Roman" w:cs="Times New Roman"/>
          <w:b/>
          <w:sz w:val="24"/>
          <w:szCs w:val="24"/>
        </w:rPr>
        <w:t>ітератури</w:t>
      </w:r>
    </w:p>
    <w:p w:rsidR="00B2778E" w:rsidRPr="004C570C" w:rsidRDefault="00B2778E" w:rsidP="004C57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B94" w:rsidRPr="001D39EB" w:rsidRDefault="00227B94" w:rsidP="004C570C">
      <w:pPr>
        <w:keepNext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outlineLvl w:val="3"/>
        <w:rPr>
          <w:rFonts w:ascii="Times New Roman" w:hAnsi="Times New Roman"/>
          <w:noProof/>
          <w:snapToGrid w:val="0"/>
          <w:sz w:val="24"/>
          <w:szCs w:val="24"/>
          <w:lang w:val="en-US"/>
        </w:rPr>
      </w:pPr>
      <w:r w:rsidRPr="001D39EB">
        <w:rPr>
          <w:rFonts w:ascii="Times New Roman" w:hAnsi="Times New Roman"/>
          <w:noProof/>
          <w:snapToGrid w:val="0"/>
          <w:sz w:val="24"/>
          <w:szCs w:val="24"/>
          <w:lang w:val="en-US"/>
        </w:rPr>
        <w:t>Castaño Betancourt M.C. Bone parameters across different types of hip osteoarthritis and their relationship to osteoporotic fracture risk / M. C. CastañoBetancourt, F.Rivadeneira, S.Bierma-Zeinstra et al. // Arthritis Rheum. - 2013. - Vol. 65. - № 3. - P. 693-700.</w:t>
      </w:r>
    </w:p>
    <w:p w:rsidR="00227B94" w:rsidRPr="004C570C" w:rsidRDefault="00227B94" w:rsidP="004C570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en-US" w:eastAsia="uk-UA"/>
        </w:rPr>
      </w:pPr>
      <w:r w:rsidRPr="001D39EB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en-US" w:eastAsia="uk-UA"/>
        </w:rPr>
        <w:t>Kwok W.Y.Limitations in daily activities are the major determinant of reduced health-related quality of life in patients with hand osteoarthritis / W.Y. Kwok, T.P.M. Vliet Vlieland</w:t>
      </w:r>
      <w:r w:rsidRPr="004C570C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en-US" w:eastAsia="uk-UA"/>
        </w:rPr>
        <w:t xml:space="preserve"> [</w:t>
      </w:r>
      <w:r w:rsidRPr="001D39EB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en-US" w:eastAsia="uk-UA"/>
        </w:rPr>
        <w:t>et al.</w:t>
      </w:r>
      <w:r w:rsidRPr="004C570C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en-US" w:eastAsia="uk-UA"/>
        </w:rPr>
        <w:t>]</w:t>
      </w:r>
      <w:r w:rsidRPr="001D39EB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en-US" w:eastAsia="uk-UA"/>
        </w:rPr>
        <w:t xml:space="preserve"> //Ann. </w:t>
      </w:r>
      <w:r w:rsidRPr="004C570C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eastAsia="uk-UA"/>
        </w:rPr>
        <w:t>Rheum</w:t>
      </w:r>
      <w:r w:rsidRPr="004C570C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en-US" w:eastAsia="uk-UA"/>
        </w:rPr>
        <w:t>atol</w:t>
      </w:r>
      <w:r w:rsidRPr="004C570C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eastAsia="uk-UA"/>
        </w:rPr>
        <w:t xml:space="preserve">. Dis. </w:t>
      </w:r>
      <w:r w:rsidRPr="004C570C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en-US" w:eastAsia="uk-UA"/>
        </w:rPr>
        <w:t>- 2011</w:t>
      </w:r>
      <w:r w:rsidRPr="004C570C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eastAsia="uk-UA"/>
        </w:rPr>
        <w:t xml:space="preserve">. </w:t>
      </w:r>
      <w:r w:rsidRPr="004C570C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en-US" w:eastAsia="uk-UA"/>
        </w:rPr>
        <w:t>- Vol</w:t>
      </w:r>
      <w:r w:rsidRPr="004C570C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eastAsia="uk-UA"/>
        </w:rPr>
        <w:t xml:space="preserve">.70. </w:t>
      </w:r>
      <w:r w:rsidRPr="004C570C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en-US" w:eastAsia="uk-UA"/>
        </w:rPr>
        <w:t>-</w:t>
      </w:r>
      <w:r w:rsidRPr="004C570C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eastAsia="uk-UA"/>
        </w:rPr>
        <w:t>P.139</w:t>
      </w:r>
      <w:r w:rsidRPr="004C570C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en-US" w:eastAsia="uk-UA"/>
        </w:rPr>
        <w:t>-</w:t>
      </w:r>
      <w:r w:rsidRPr="004C570C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eastAsia="uk-UA"/>
        </w:rPr>
        <w:t>144.</w:t>
      </w:r>
    </w:p>
    <w:p w:rsidR="00227B94" w:rsidRPr="004C570C" w:rsidRDefault="00227B94" w:rsidP="004C570C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D39EB">
        <w:rPr>
          <w:rFonts w:ascii="Times New Roman" w:hAnsi="Times New Roman"/>
          <w:sz w:val="24"/>
          <w:szCs w:val="24"/>
          <w:lang w:val="en-US"/>
        </w:rPr>
        <w:t>Chung S</w:t>
      </w:r>
      <w:r w:rsidRPr="004C570C">
        <w:rPr>
          <w:rFonts w:ascii="Times New Roman" w:hAnsi="Times New Roman"/>
          <w:sz w:val="24"/>
          <w:szCs w:val="24"/>
          <w:lang w:val="en-US"/>
        </w:rPr>
        <w:t>.</w:t>
      </w:r>
      <w:r w:rsidRPr="001D39EB">
        <w:rPr>
          <w:rFonts w:ascii="Times New Roman" w:hAnsi="Times New Roman"/>
          <w:sz w:val="24"/>
          <w:szCs w:val="24"/>
          <w:lang w:val="en-US"/>
        </w:rPr>
        <w:t>M</w:t>
      </w:r>
      <w:r w:rsidRPr="004C570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D39EB">
        <w:rPr>
          <w:rFonts w:ascii="Times New Roman" w:hAnsi="Times New Roman"/>
          <w:sz w:val="24"/>
          <w:szCs w:val="24"/>
          <w:lang w:val="en-US"/>
        </w:rPr>
        <w:t>Novel effects of sarcopenic osteoarthritis on metabolic syndrome, insulin resistance, osteoporosis, and bone fracture: the national survey</w:t>
      </w:r>
      <w:r w:rsidRPr="004C570C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1D39EB">
        <w:rPr>
          <w:rFonts w:ascii="Times New Roman" w:hAnsi="Times New Roman"/>
          <w:sz w:val="24"/>
          <w:szCs w:val="24"/>
          <w:lang w:val="en-US"/>
        </w:rPr>
        <w:t>S</w:t>
      </w:r>
      <w:r w:rsidRPr="004C570C">
        <w:rPr>
          <w:rFonts w:ascii="Times New Roman" w:hAnsi="Times New Roman"/>
          <w:sz w:val="24"/>
          <w:szCs w:val="24"/>
          <w:lang w:val="en-US"/>
        </w:rPr>
        <w:t>.</w:t>
      </w:r>
      <w:r w:rsidRPr="001D39EB">
        <w:rPr>
          <w:rFonts w:ascii="Times New Roman" w:hAnsi="Times New Roman"/>
          <w:sz w:val="24"/>
          <w:szCs w:val="24"/>
          <w:lang w:val="en-US"/>
        </w:rPr>
        <w:t>M</w:t>
      </w:r>
      <w:r w:rsidRPr="004C570C">
        <w:rPr>
          <w:rFonts w:ascii="Times New Roman" w:hAnsi="Times New Roman"/>
          <w:sz w:val="24"/>
          <w:szCs w:val="24"/>
          <w:lang w:val="en-US"/>
        </w:rPr>
        <w:t>.</w:t>
      </w:r>
      <w:r w:rsidRPr="001D39EB">
        <w:rPr>
          <w:rFonts w:ascii="Times New Roman" w:hAnsi="Times New Roman"/>
          <w:sz w:val="24"/>
          <w:szCs w:val="24"/>
          <w:lang w:val="en-US"/>
        </w:rPr>
        <w:t xml:space="preserve"> Chung, M</w:t>
      </w:r>
      <w:r w:rsidRPr="004C570C">
        <w:rPr>
          <w:rFonts w:ascii="Times New Roman" w:hAnsi="Times New Roman"/>
          <w:sz w:val="24"/>
          <w:szCs w:val="24"/>
          <w:lang w:val="en-US"/>
        </w:rPr>
        <w:t>.</w:t>
      </w:r>
      <w:r w:rsidRPr="001D39EB">
        <w:rPr>
          <w:rFonts w:ascii="Times New Roman" w:hAnsi="Times New Roman"/>
          <w:sz w:val="24"/>
          <w:szCs w:val="24"/>
          <w:lang w:val="en-US"/>
        </w:rPr>
        <w:t>H</w:t>
      </w:r>
      <w:r w:rsidRPr="004C570C">
        <w:rPr>
          <w:rFonts w:ascii="Times New Roman" w:hAnsi="Times New Roman"/>
          <w:sz w:val="24"/>
          <w:szCs w:val="24"/>
          <w:lang w:val="en-US"/>
        </w:rPr>
        <w:t>.</w:t>
      </w:r>
      <w:r w:rsidRPr="001D39EB">
        <w:rPr>
          <w:rFonts w:ascii="Times New Roman" w:hAnsi="Times New Roman"/>
          <w:sz w:val="24"/>
          <w:szCs w:val="24"/>
          <w:lang w:val="en-US"/>
        </w:rPr>
        <w:t xml:space="preserve"> Hyun</w:t>
      </w:r>
      <w:r w:rsidRPr="004C570C">
        <w:rPr>
          <w:rFonts w:ascii="Times New Roman" w:hAnsi="Times New Roman"/>
          <w:sz w:val="24"/>
          <w:szCs w:val="24"/>
          <w:lang w:val="en-US"/>
        </w:rPr>
        <w:t xml:space="preserve"> [et al.] // </w:t>
      </w:r>
      <w:r w:rsidRPr="001D39EB">
        <w:rPr>
          <w:rFonts w:ascii="Times New Roman" w:hAnsi="Times New Roman"/>
          <w:sz w:val="24"/>
          <w:szCs w:val="24"/>
          <w:lang w:val="en-US"/>
        </w:rPr>
        <w:t xml:space="preserve">Osteoporos Int. </w:t>
      </w:r>
      <w:r w:rsidRPr="004C570C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1D39EB">
        <w:rPr>
          <w:rFonts w:ascii="Times New Roman" w:hAnsi="Times New Roman"/>
          <w:sz w:val="24"/>
          <w:szCs w:val="24"/>
          <w:lang w:val="en-US"/>
        </w:rPr>
        <w:t>2016</w:t>
      </w:r>
      <w:r w:rsidRPr="004C570C">
        <w:rPr>
          <w:rFonts w:ascii="Times New Roman" w:hAnsi="Times New Roman"/>
          <w:sz w:val="24"/>
          <w:szCs w:val="24"/>
          <w:lang w:val="en-US"/>
        </w:rPr>
        <w:t xml:space="preserve">. -Vol. </w:t>
      </w:r>
      <w:r w:rsidRPr="001D39EB">
        <w:rPr>
          <w:rFonts w:ascii="Times New Roman" w:hAnsi="Times New Roman"/>
          <w:sz w:val="24"/>
          <w:szCs w:val="24"/>
          <w:lang w:val="en-US"/>
        </w:rPr>
        <w:t>8</w:t>
      </w:r>
      <w:r w:rsidRPr="004C570C">
        <w:rPr>
          <w:rFonts w:ascii="Times New Roman" w:hAnsi="Times New Roman"/>
          <w:sz w:val="24"/>
          <w:szCs w:val="24"/>
          <w:lang w:val="en-US"/>
        </w:rPr>
        <w:t xml:space="preserve">. - P. </w:t>
      </w:r>
      <w:r w:rsidRPr="001D39EB">
        <w:rPr>
          <w:rFonts w:ascii="Times New Roman" w:hAnsi="Times New Roman"/>
          <w:sz w:val="24"/>
          <w:szCs w:val="24"/>
          <w:lang w:val="en-US"/>
        </w:rPr>
        <w:t>2447-</w:t>
      </w:r>
      <w:r w:rsidRPr="004C570C">
        <w:rPr>
          <w:rFonts w:ascii="Times New Roman" w:hAnsi="Times New Roman"/>
          <w:sz w:val="24"/>
          <w:szCs w:val="24"/>
          <w:lang w:val="en-US"/>
        </w:rPr>
        <w:t>24</w:t>
      </w:r>
      <w:r w:rsidRPr="001D39EB">
        <w:rPr>
          <w:rFonts w:ascii="Times New Roman" w:hAnsi="Times New Roman"/>
          <w:sz w:val="24"/>
          <w:szCs w:val="24"/>
          <w:lang w:val="en-US"/>
        </w:rPr>
        <w:t>57.</w:t>
      </w:r>
    </w:p>
    <w:p w:rsidR="00227B94" w:rsidRPr="004C570C" w:rsidRDefault="00227B94" w:rsidP="004C570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en-US" w:eastAsia="uk-UA"/>
        </w:rPr>
      </w:pPr>
      <w:r w:rsidRPr="001D39EB">
        <w:rPr>
          <w:rFonts w:ascii="Times New Roman" w:hAnsi="Times New Roman"/>
          <w:noProof/>
          <w:snapToGrid w:val="0"/>
          <w:sz w:val="24"/>
          <w:szCs w:val="24"/>
          <w:lang w:val="en-US"/>
        </w:rPr>
        <w:t xml:space="preserve">Hart D.J. The relationship of bone density and fracture to incident and progressive radiographic osteoarthritis of the knee: the Chingford study / D.J. Hart, 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С</w:t>
      </w:r>
      <w:r w:rsidRPr="001D39EB">
        <w:rPr>
          <w:rFonts w:ascii="Times New Roman" w:hAnsi="Times New Roman"/>
          <w:noProof/>
          <w:snapToGrid w:val="0"/>
          <w:sz w:val="24"/>
          <w:szCs w:val="24"/>
          <w:lang w:val="en-US"/>
        </w:rPr>
        <w:t>. Cronin[</w:t>
      </w:r>
      <w:r w:rsidRPr="004C570C">
        <w:rPr>
          <w:rFonts w:ascii="Times New Roman" w:hAnsi="Times New Roman"/>
          <w:noProof/>
          <w:snapToGrid w:val="0"/>
          <w:sz w:val="24"/>
          <w:szCs w:val="24"/>
          <w:lang w:val="fr-FR"/>
        </w:rPr>
        <w:t>etal</w:t>
      </w:r>
      <w:r w:rsidRPr="001D39EB">
        <w:rPr>
          <w:rFonts w:ascii="Times New Roman" w:hAnsi="Times New Roman"/>
          <w:noProof/>
          <w:snapToGrid w:val="0"/>
          <w:sz w:val="24"/>
          <w:szCs w:val="24"/>
          <w:lang w:val="en-US"/>
        </w:rPr>
        <w:t xml:space="preserve">.] // Arthritis Rheum. - 2012. - Vol. 46, № 1. - 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Р</w:t>
      </w:r>
      <w:r w:rsidRPr="001D39EB">
        <w:rPr>
          <w:rFonts w:ascii="Times New Roman" w:hAnsi="Times New Roman"/>
          <w:noProof/>
          <w:snapToGrid w:val="0"/>
          <w:sz w:val="24"/>
          <w:szCs w:val="24"/>
          <w:lang w:val="en-US"/>
        </w:rPr>
        <w:t>. 92-99.</w:t>
      </w:r>
    </w:p>
    <w:p w:rsidR="00227B94" w:rsidRPr="004C570C" w:rsidRDefault="0018565C" w:rsidP="004C570C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="00227B94" w:rsidRPr="001D39EB">
          <w:rPr>
            <w:rFonts w:ascii="Times New Roman" w:hAnsi="Times New Roman"/>
            <w:noProof/>
            <w:snapToGrid w:val="0"/>
            <w:sz w:val="24"/>
            <w:szCs w:val="24"/>
            <w:lang w:val="en-US" w:eastAsia="uk-UA"/>
          </w:rPr>
          <w:t>Yang M</w:t>
        </w:r>
      </w:hyperlink>
      <w:r w:rsidR="00227B94" w:rsidRPr="001D39EB">
        <w:rPr>
          <w:rFonts w:ascii="Times New Roman" w:hAnsi="Times New Roman"/>
          <w:noProof/>
          <w:snapToGrid w:val="0"/>
          <w:sz w:val="24"/>
          <w:szCs w:val="24"/>
          <w:lang w:val="en-US" w:eastAsia="uk-UA"/>
        </w:rPr>
        <w:t>.</w:t>
      </w:r>
      <w:r w:rsidR="00227B94" w:rsidRPr="001D39EB">
        <w:rPr>
          <w:rFonts w:ascii="Times New Roman" w:hAnsi="Times New Roman"/>
          <w:bCs/>
          <w:noProof/>
          <w:snapToGrid w:val="0"/>
          <w:kern w:val="36"/>
          <w:sz w:val="24"/>
          <w:szCs w:val="24"/>
          <w:lang w:val="en-US" w:eastAsia="uk-UA"/>
        </w:rPr>
        <w:t>Anti-inflammatory effect of 1,25-dihydroxyvitamin D3 is associated with crosstalk between signal transducer and activator of transcription 5 and the vitamin D receptor in human monocytes</w:t>
      </w:r>
      <w:r w:rsidR="00227B94" w:rsidRPr="004C570C">
        <w:rPr>
          <w:rFonts w:ascii="Times New Roman" w:hAnsi="Times New Roman"/>
          <w:bCs/>
          <w:noProof/>
          <w:snapToGrid w:val="0"/>
          <w:kern w:val="36"/>
          <w:sz w:val="24"/>
          <w:szCs w:val="24"/>
          <w:lang w:val="en-US" w:eastAsia="uk-UA"/>
        </w:rPr>
        <w:t xml:space="preserve"> / </w:t>
      </w:r>
      <w:hyperlink r:id="rId9" w:history="1">
        <w:r w:rsidR="00227B94" w:rsidRPr="001D39EB">
          <w:rPr>
            <w:rFonts w:ascii="Times New Roman" w:hAnsi="Times New Roman"/>
            <w:noProof/>
            <w:snapToGrid w:val="0"/>
            <w:sz w:val="24"/>
            <w:szCs w:val="24"/>
            <w:lang w:val="en-US" w:eastAsia="uk-UA"/>
          </w:rPr>
          <w:t>M</w:t>
        </w:r>
      </w:hyperlink>
      <w:r w:rsidR="00227B94" w:rsidRPr="001D39EB">
        <w:rPr>
          <w:rFonts w:ascii="Times New Roman" w:hAnsi="Times New Roman"/>
          <w:noProof/>
          <w:snapToGrid w:val="0"/>
          <w:sz w:val="24"/>
          <w:szCs w:val="24"/>
          <w:lang w:val="en-US" w:eastAsia="uk-UA"/>
        </w:rPr>
        <w:t xml:space="preserve">. </w:t>
      </w:r>
      <w:r w:rsidR="00227B94" w:rsidRPr="0018565C">
        <w:rPr>
          <w:rFonts w:ascii="Times New Roman" w:hAnsi="Times New Roman"/>
          <w:noProof/>
          <w:snapToGrid w:val="0"/>
          <w:sz w:val="24"/>
          <w:szCs w:val="24"/>
          <w:lang w:val="en-US" w:eastAsia="uk-UA"/>
        </w:rPr>
        <w:t>Yang, </w:t>
      </w:r>
      <w:hyperlink r:id="rId10" w:history="1">
        <w:r w:rsidR="00227B94" w:rsidRPr="0018565C">
          <w:rPr>
            <w:rFonts w:ascii="Times New Roman" w:hAnsi="Times New Roman"/>
            <w:noProof/>
            <w:snapToGrid w:val="0"/>
            <w:sz w:val="24"/>
            <w:szCs w:val="24"/>
            <w:lang w:val="en-US" w:eastAsia="uk-UA"/>
          </w:rPr>
          <w:t xml:space="preserve"> B.O</w:t>
        </w:r>
      </w:hyperlink>
      <w:r w:rsidR="00227B94" w:rsidRPr="0018565C">
        <w:rPr>
          <w:rFonts w:ascii="Times New Roman" w:hAnsi="Times New Roman"/>
          <w:noProof/>
          <w:snapToGrid w:val="0"/>
          <w:sz w:val="24"/>
          <w:szCs w:val="24"/>
          <w:lang w:val="en-US" w:eastAsia="uk-UA"/>
        </w:rPr>
        <w:t>. Yang, </w:t>
      </w:r>
      <w:hyperlink r:id="rId11" w:history="1">
        <w:r w:rsidR="00227B94" w:rsidRPr="0018565C">
          <w:rPr>
            <w:rFonts w:ascii="Times New Roman" w:hAnsi="Times New Roman"/>
            <w:noProof/>
            <w:snapToGrid w:val="0"/>
            <w:sz w:val="24"/>
            <w:szCs w:val="24"/>
            <w:lang w:val="en-US" w:eastAsia="uk-UA"/>
          </w:rPr>
          <w:t>H</w:t>
        </w:r>
      </w:hyperlink>
      <w:r w:rsidR="00227B94" w:rsidRPr="0018565C">
        <w:rPr>
          <w:rFonts w:ascii="Times New Roman" w:hAnsi="Times New Roman"/>
          <w:noProof/>
          <w:snapToGrid w:val="0"/>
          <w:sz w:val="24"/>
          <w:szCs w:val="24"/>
          <w:lang w:val="en-US" w:eastAsia="uk-UA"/>
        </w:rPr>
        <w:t xml:space="preserve">. </w:t>
      </w:r>
      <w:r w:rsidR="00227B94" w:rsidRPr="001D39EB">
        <w:rPr>
          <w:rFonts w:ascii="Times New Roman" w:hAnsi="Times New Roman"/>
          <w:noProof/>
          <w:snapToGrid w:val="0"/>
          <w:sz w:val="24"/>
          <w:szCs w:val="24"/>
          <w:lang w:val="en-US" w:eastAsia="uk-UA"/>
        </w:rPr>
        <w:t>Gan</w:t>
      </w:r>
      <w:r w:rsidR="00227B94" w:rsidRPr="004C570C">
        <w:rPr>
          <w:rFonts w:ascii="Times New Roman" w:hAnsi="Times New Roman"/>
          <w:noProof/>
          <w:snapToGrid w:val="0"/>
          <w:sz w:val="24"/>
          <w:szCs w:val="24"/>
          <w:lang w:val="en-US" w:eastAsia="uk-UA"/>
        </w:rPr>
        <w:t xml:space="preserve"> [et al.] // </w:t>
      </w:r>
      <w:hyperlink r:id="rId12" w:tooltip="Experimental and therapeutic medicine." w:history="1">
        <w:r w:rsidR="00227B94" w:rsidRPr="001D39EB">
          <w:rPr>
            <w:rFonts w:ascii="Times New Roman" w:hAnsi="Times New Roman"/>
            <w:noProof/>
            <w:snapToGrid w:val="0"/>
            <w:sz w:val="24"/>
            <w:szCs w:val="24"/>
            <w:lang w:val="en-US" w:eastAsia="uk-UA"/>
          </w:rPr>
          <w:t>Exp</w:t>
        </w:r>
        <w:r w:rsidR="00227B94" w:rsidRPr="004C570C">
          <w:rPr>
            <w:rFonts w:ascii="Times New Roman" w:hAnsi="Times New Roman"/>
            <w:noProof/>
            <w:snapToGrid w:val="0"/>
            <w:sz w:val="24"/>
            <w:szCs w:val="24"/>
            <w:lang w:val="en-US" w:eastAsia="uk-UA"/>
          </w:rPr>
          <w:t>erimental and t</w:t>
        </w:r>
        <w:r w:rsidR="00227B94" w:rsidRPr="001D39EB">
          <w:rPr>
            <w:rFonts w:ascii="Times New Roman" w:hAnsi="Times New Roman"/>
            <w:noProof/>
            <w:snapToGrid w:val="0"/>
            <w:sz w:val="24"/>
            <w:szCs w:val="24"/>
            <w:lang w:val="en-US" w:eastAsia="uk-UA"/>
          </w:rPr>
          <w:t>her</w:t>
        </w:r>
        <w:r w:rsidR="00227B94" w:rsidRPr="004C570C">
          <w:rPr>
            <w:rFonts w:ascii="Times New Roman" w:hAnsi="Times New Roman"/>
            <w:noProof/>
            <w:snapToGrid w:val="0"/>
            <w:sz w:val="24"/>
            <w:szCs w:val="24"/>
            <w:lang w:val="en-US" w:eastAsia="uk-UA"/>
          </w:rPr>
          <w:t>apeutic m</w:t>
        </w:r>
        <w:r w:rsidR="00227B94" w:rsidRPr="001D39EB">
          <w:rPr>
            <w:rFonts w:ascii="Times New Roman" w:hAnsi="Times New Roman"/>
            <w:noProof/>
            <w:snapToGrid w:val="0"/>
            <w:sz w:val="24"/>
            <w:szCs w:val="24"/>
            <w:lang w:val="en-US" w:eastAsia="uk-UA"/>
          </w:rPr>
          <w:t>ed</w:t>
        </w:r>
        <w:r w:rsidR="00227B94" w:rsidRPr="004C570C">
          <w:rPr>
            <w:rFonts w:ascii="Times New Roman" w:hAnsi="Times New Roman"/>
            <w:noProof/>
            <w:snapToGrid w:val="0"/>
            <w:sz w:val="24"/>
            <w:szCs w:val="24"/>
            <w:lang w:val="en-US" w:eastAsia="uk-UA"/>
          </w:rPr>
          <w:t>icine</w:t>
        </w:r>
        <w:r w:rsidR="00227B94" w:rsidRPr="001D39EB">
          <w:rPr>
            <w:rFonts w:ascii="Times New Roman" w:hAnsi="Times New Roman"/>
            <w:noProof/>
            <w:snapToGrid w:val="0"/>
            <w:sz w:val="24"/>
            <w:szCs w:val="24"/>
            <w:lang w:val="en-US" w:eastAsia="uk-UA"/>
          </w:rPr>
          <w:t>.</w:t>
        </w:r>
      </w:hyperlink>
      <w:r w:rsidR="00227B94" w:rsidRPr="001D39EB">
        <w:rPr>
          <w:rFonts w:ascii="Times New Roman" w:hAnsi="Times New Roman"/>
          <w:noProof/>
          <w:snapToGrid w:val="0"/>
          <w:sz w:val="24"/>
          <w:szCs w:val="24"/>
          <w:lang w:val="en-US" w:eastAsia="uk-UA"/>
        </w:rPr>
        <w:t> </w:t>
      </w:r>
      <w:r w:rsidR="00227B94" w:rsidRPr="004C570C">
        <w:rPr>
          <w:rFonts w:ascii="Times New Roman" w:hAnsi="Times New Roman"/>
          <w:noProof/>
          <w:snapToGrid w:val="0"/>
          <w:sz w:val="24"/>
          <w:szCs w:val="24"/>
          <w:lang w:val="en-US" w:eastAsia="uk-UA"/>
        </w:rPr>
        <w:t xml:space="preserve">- </w:t>
      </w:r>
      <w:r w:rsidR="00227B94" w:rsidRPr="001D39EB">
        <w:rPr>
          <w:rFonts w:ascii="Times New Roman" w:hAnsi="Times New Roman"/>
          <w:noProof/>
          <w:snapToGrid w:val="0"/>
          <w:sz w:val="24"/>
          <w:szCs w:val="24"/>
          <w:lang w:val="en-US" w:eastAsia="uk-UA"/>
        </w:rPr>
        <w:t>2015</w:t>
      </w:r>
      <w:r w:rsidR="00227B94" w:rsidRPr="004C570C">
        <w:rPr>
          <w:rFonts w:ascii="Times New Roman" w:hAnsi="Times New Roman"/>
          <w:noProof/>
          <w:snapToGrid w:val="0"/>
          <w:sz w:val="24"/>
          <w:szCs w:val="24"/>
          <w:lang w:val="en-US" w:eastAsia="uk-UA"/>
        </w:rPr>
        <w:t xml:space="preserve">. -Vol. </w:t>
      </w:r>
      <w:r w:rsidR="00227B94" w:rsidRPr="001D39EB">
        <w:rPr>
          <w:rFonts w:ascii="Times New Roman" w:hAnsi="Times New Roman"/>
          <w:noProof/>
          <w:snapToGrid w:val="0"/>
          <w:sz w:val="24"/>
          <w:szCs w:val="24"/>
          <w:lang w:val="en-US" w:eastAsia="uk-UA"/>
        </w:rPr>
        <w:t>9</w:t>
      </w:r>
      <w:r w:rsidR="00227B94" w:rsidRPr="004C570C">
        <w:rPr>
          <w:rFonts w:ascii="Times New Roman" w:hAnsi="Times New Roman"/>
          <w:noProof/>
          <w:snapToGrid w:val="0"/>
          <w:sz w:val="24"/>
          <w:szCs w:val="24"/>
          <w:lang w:val="en-US" w:eastAsia="uk-UA"/>
        </w:rPr>
        <w:t>. - S.</w:t>
      </w:r>
      <w:r w:rsidR="00227B94" w:rsidRPr="001D39EB">
        <w:rPr>
          <w:rFonts w:ascii="Times New Roman" w:hAnsi="Times New Roman"/>
          <w:noProof/>
          <w:snapToGrid w:val="0"/>
          <w:sz w:val="24"/>
          <w:szCs w:val="24"/>
          <w:lang w:val="en-US" w:eastAsia="uk-UA"/>
        </w:rPr>
        <w:t>5</w:t>
      </w:r>
      <w:r w:rsidR="00227B94" w:rsidRPr="004C570C">
        <w:rPr>
          <w:rFonts w:ascii="Times New Roman" w:hAnsi="Times New Roman"/>
          <w:noProof/>
          <w:snapToGrid w:val="0"/>
          <w:sz w:val="24"/>
          <w:szCs w:val="24"/>
          <w:lang w:val="en-US" w:eastAsia="uk-UA"/>
        </w:rPr>
        <w:t>. - P.</w:t>
      </w:r>
      <w:r w:rsidR="00227B94" w:rsidRPr="001D39EB">
        <w:rPr>
          <w:rFonts w:ascii="Times New Roman" w:hAnsi="Times New Roman"/>
          <w:noProof/>
          <w:snapToGrid w:val="0"/>
          <w:sz w:val="24"/>
          <w:szCs w:val="24"/>
          <w:lang w:val="en-US" w:eastAsia="uk-UA"/>
        </w:rPr>
        <w:t>1739-1744.</w:t>
      </w:r>
    </w:p>
    <w:p w:rsidR="00227B94" w:rsidRPr="004C570C" w:rsidRDefault="0018565C" w:rsidP="004C570C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227B94" w:rsidRPr="001D39EB">
          <w:rPr>
            <w:rFonts w:ascii="Times New Roman" w:hAnsi="Times New Roman"/>
            <w:noProof/>
            <w:snapToGrid w:val="0"/>
            <w:sz w:val="24"/>
            <w:szCs w:val="24"/>
            <w:lang w:val="en-US"/>
          </w:rPr>
          <w:t>Muraki S</w:t>
        </w:r>
      </w:hyperlink>
      <w:r w:rsidR="00227B94" w:rsidRPr="004C570C">
        <w:rPr>
          <w:rFonts w:ascii="Times New Roman" w:hAnsi="Times New Roman"/>
          <w:noProof/>
          <w:snapToGrid w:val="0"/>
          <w:sz w:val="24"/>
          <w:szCs w:val="24"/>
          <w:lang w:val="en-US"/>
        </w:rPr>
        <w:t>.</w:t>
      </w:r>
      <w:r w:rsidR="00227B94" w:rsidRPr="001D39EB">
        <w:rPr>
          <w:rFonts w:ascii="Times New Roman" w:hAnsi="Times New Roman"/>
          <w:bCs/>
          <w:noProof/>
          <w:snapToGrid w:val="0"/>
          <w:sz w:val="24"/>
          <w:szCs w:val="24"/>
          <w:lang w:val="en-US"/>
        </w:rPr>
        <w:t>Association of vitamin D status with knee pain and radiographic knee</w:t>
      </w:r>
      <w:r w:rsidR="00227B94" w:rsidRPr="004C570C">
        <w:rPr>
          <w:rFonts w:ascii="Times New Roman" w:hAnsi="Times New Roman"/>
          <w:bCs/>
          <w:noProof/>
          <w:snapToGrid w:val="0"/>
          <w:sz w:val="24"/>
          <w:szCs w:val="24"/>
          <w:lang w:val="en-US"/>
        </w:rPr>
        <w:t xml:space="preserve"> </w:t>
      </w:r>
      <w:r w:rsidR="00227B94" w:rsidRPr="001D39EB">
        <w:rPr>
          <w:rFonts w:ascii="Times New Roman" w:hAnsi="Times New Roman"/>
          <w:bCs/>
          <w:noProof/>
          <w:snapToGrid w:val="0"/>
          <w:sz w:val="24"/>
          <w:szCs w:val="24"/>
          <w:lang w:val="en-US"/>
        </w:rPr>
        <w:t>osteoarthritis</w:t>
      </w:r>
      <w:r w:rsidR="00227B94" w:rsidRPr="004C570C">
        <w:rPr>
          <w:rFonts w:ascii="Times New Roman" w:hAnsi="Times New Roman"/>
          <w:bCs/>
          <w:noProof/>
          <w:snapToGrid w:val="0"/>
          <w:sz w:val="24"/>
          <w:szCs w:val="24"/>
          <w:lang w:val="en-US"/>
        </w:rPr>
        <w:t xml:space="preserve"> /</w:t>
      </w:r>
      <w:hyperlink r:id="rId14" w:history="1">
        <w:r w:rsidR="00227B94" w:rsidRPr="001D39EB">
          <w:rPr>
            <w:rFonts w:ascii="Times New Roman" w:hAnsi="Times New Roman"/>
            <w:noProof/>
            <w:snapToGrid w:val="0"/>
            <w:sz w:val="24"/>
            <w:szCs w:val="24"/>
            <w:lang w:val="en-US"/>
          </w:rPr>
          <w:t xml:space="preserve"> S</w:t>
        </w:r>
      </w:hyperlink>
      <w:r w:rsidR="00227B94" w:rsidRPr="004C570C">
        <w:rPr>
          <w:rFonts w:ascii="Times New Roman" w:hAnsi="Times New Roman"/>
          <w:noProof/>
          <w:snapToGrid w:val="0"/>
          <w:sz w:val="24"/>
          <w:szCs w:val="24"/>
          <w:lang w:val="en-US"/>
        </w:rPr>
        <w:t>.Muraki</w:t>
      </w:r>
      <w:r w:rsidR="00227B94" w:rsidRPr="001D39EB">
        <w:rPr>
          <w:rFonts w:ascii="Times New Roman" w:hAnsi="Times New Roman"/>
          <w:noProof/>
          <w:snapToGrid w:val="0"/>
          <w:sz w:val="24"/>
          <w:szCs w:val="24"/>
          <w:lang w:val="en-US"/>
        </w:rPr>
        <w:t>, </w:t>
      </w:r>
      <w:hyperlink r:id="rId15" w:history="1">
        <w:r w:rsidR="00227B94" w:rsidRPr="001D39EB">
          <w:rPr>
            <w:rFonts w:ascii="Times New Roman" w:hAnsi="Times New Roman"/>
            <w:noProof/>
            <w:snapToGrid w:val="0"/>
            <w:sz w:val="24"/>
            <w:szCs w:val="24"/>
            <w:lang w:val="en-US"/>
          </w:rPr>
          <w:t>E</w:t>
        </w:r>
      </w:hyperlink>
      <w:r w:rsidR="00227B94" w:rsidRPr="004C570C">
        <w:rPr>
          <w:rFonts w:ascii="Times New Roman" w:hAnsi="Times New Roman"/>
          <w:noProof/>
          <w:snapToGrid w:val="0"/>
          <w:sz w:val="24"/>
          <w:szCs w:val="24"/>
          <w:lang w:val="en-US"/>
        </w:rPr>
        <w:t>.Dennison</w:t>
      </w:r>
      <w:r w:rsidR="00227B94" w:rsidRPr="001D39EB">
        <w:rPr>
          <w:rFonts w:ascii="Times New Roman" w:hAnsi="Times New Roman"/>
          <w:noProof/>
          <w:snapToGrid w:val="0"/>
          <w:sz w:val="24"/>
          <w:szCs w:val="24"/>
          <w:lang w:val="en-US"/>
        </w:rPr>
        <w:t>,</w:t>
      </w:r>
      <w:hyperlink r:id="rId16" w:history="1">
        <w:r w:rsidR="00227B94" w:rsidRPr="001D39EB">
          <w:rPr>
            <w:rFonts w:ascii="Times New Roman" w:hAnsi="Times New Roman"/>
            <w:noProof/>
            <w:snapToGrid w:val="0"/>
            <w:sz w:val="24"/>
            <w:szCs w:val="24"/>
            <w:lang w:val="en-US"/>
          </w:rPr>
          <w:t xml:space="preserve"> K</w:t>
        </w:r>
      </w:hyperlink>
      <w:r w:rsidR="00227B94" w:rsidRPr="004C570C">
        <w:rPr>
          <w:rFonts w:ascii="Times New Roman" w:hAnsi="Times New Roman"/>
          <w:noProof/>
          <w:snapToGrid w:val="0"/>
          <w:sz w:val="24"/>
          <w:szCs w:val="24"/>
          <w:lang w:val="en-US"/>
        </w:rPr>
        <w:t xml:space="preserve">.Jameson [et al.] // </w:t>
      </w:r>
      <w:hyperlink r:id="rId17" w:tooltip="Osteoarthritis and cartilage / OARS, Osteoarthritis Research Society." w:history="1">
        <w:r w:rsidR="00227B94" w:rsidRPr="001D39EB">
          <w:rPr>
            <w:rFonts w:ascii="Times New Roman" w:hAnsi="Times New Roman"/>
            <w:noProof/>
            <w:snapToGrid w:val="0"/>
            <w:sz w:val="24"/>
            <w:szCs w:val="24"/>
            <w:lang w:val="en-US"/>
          </w:rPr>
          <w:t>Osteoarthritis</w:t>
        </w:r>
        <w:r w:rsidR="00227B94" w:rsidRPr="004C570C">
          <w:rPr>
            <w:rFonts w:ascii="Times New Roman" w:hAnsi="Times New Roman"/>
            <w:noProof/>
            <w:snapToGrid w:val="0"/>
            <w:sz w:val="24"/>
            <w:szCs w:val="24"/>
            <w:lang w:val="en-US"/>
          </w:rPr>
          <w:t xml:space="preserve"> </w:t>
        </w:r>
        <w:r w:rsidR="00227B94" w:rsidRPr="001D39EB">
          <w:rPr>
            <w:rFonts w:ascii="Times New Roman" w:hAnsi="Times New Roman"/>
            <w:noProof/>
            <w:snapToGrid w:val="0"/>
            <w:sz w:val="24"/>
            <w:szCs w:val="24"/>
            <w:lang w:val="en-US"/>
          </w:rPr>
          <w:t>Cartilage.</w:t>
        </w:r>
      </w:hyperlink>
      <w:r w:rsidR="00227B94" w:rsidRPr="004C570C">
        <w:rPr>
          <w:rFonts w:ascii="Times New Roman" w:hAnsi="Times New Roman"/>
          <w:noProof/>
          <w:snapToGrid w:val="0"/>
          <w:sz w:val="24"/>
          <w:szCs w:val="24"/>
          <w:lang w:val="en-US"/>
        </w:rPr>
        <w:t xml:space="preserve"> - </w:t>
      </w:r>
      <w:r w:rsidR="00227B94" w:rsidRPr="004C570C">
        <w:rPr>
          <w:rFonts w:ascii="Times New Roman" w:hAnsi="Times New Roman"/>
          <w:noProof/>
          <w:snapToGrid w:val="0"/>
          <w:sz w:val="24"/>
          <w:szCs w:val="24"/>
        </w:rPr>
        <w:t>2011</w:t>
      </w:r>
      <w:r w:rsidR="00227B94" w:rsidRPr="004C570C">
        <w:rPr>
          <w:rFonts w:ascii="Times New Roman" w:hAnsi="Times New Roman"/>
          <w:noProof/>
          <w:snapToGrid w:val="0"/>
          <w:sz w:val="24"/>
          <w:szCs w:val="24"/>
          <w:lang w:val="en-US"/>
        </w:rPr>
        <w:t xml:space="preserve">. -Vol. </w:t>
      </w:r>
      <w:r w:rsidR="00227B94" w:rsidRPr="004C570C">
        <w:rPr>
          <w:rFonts w:ascii="Times New Roman" w:hAnsi="Times New Roman"/>
          <w:noProof/>
          <w:snapToGrid w:val="0"/>
          <w:sz w:val="24"/>
          <w:szCs w:val="24"/>
        </w:rPr>
        <w:t>19</w:t>
      </w:r>
      <w:r w:rsidR="00227B94" w:rsidRPr="004C570C">
        <w:rPr>
          <w:rFonts w:ascii="Times New Roman" w:hAnsi="Times New Roman"/>
          <w:noProof/>
          <w:snapToGrid w:val="0"/>
          <w:sz w:val="24"/>
          <w:szCs w:val="24"/>
          <w:lang w:val="en-US"/>
        </w:rPr>
        <w:t xml:space="preserve">. - S. </w:t>
      </w:r>
      <w:r w:rsidR="00227B94" w:rsidRPr="004C570C">
        <w:rPr>
          <w:rFonts w:ascii="Times New Roman" w:hAnsi="Times New Roman"/>
          <w:noProof/>
          <w:snapToGrid w:val="0"/>
          <w:sz w:val="24"/>
          <w:szCs w:val="24"/>
        </w:rPr>
        <w:t>11</w:t>
      </w:r>
      <w:r w:rsidR="00227B94" w:rsidRPr="004C570C">
        <w:rPr>
          <w:rFonts w:ascii="Times New Roman" w:hAnsi="Times New Roman"/>
          <w:noProof/>
          <w:snapToGrid w:val="0"/>
          <w:sz w:val="24"/>
          <w:szCs w:val="24"/>
          <w:lang w:val="en-US"/>
        </w:rPr>
        <w:t>. - P.</w:t>
      </w:r>
      <w:r w:rsidR="00227B94"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1301-</w:t>
      </w:r>
      <w:r w:rsidR="00227B94" w:rsidRPr="004C570C">
        <w:rPr>
          <w:rFonts w:ascii="Times New Roman" w:hAnsi="Times New Roman"/>
          <w:noProof/>
          <w:snapToGrid w:val="0"/>
          <w:sz w:val="24"/>
          <w:szCs w:val="24"/>
          <w:lang w:val="en-US"/>
        </w:rPr>
        <w:t>130</w:t>
      </w:r>
      <w:r w:rsidR="00227B94" w:rsidRPr="004C570C">
        <w:rPr>
          <w:rFonts w:ascii="Times New Roman" w:hAnsi="Times New Roman"/>
          <w:noProof/>
          <w:snapToGrid w:val="0"/>
          <w:sz w:val="24"/>
          <w:szCs w:val="24"/>
        </w:rPr>
        <w:t>6.</w:t>
      </w:r>
    </w:p>
    <w:p w:rsidR="00227B94" w:rsidRPr="001D39EB" w:rsidRDefault="00227B94" w:rsidP="004C570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en-US" w:eastAsia="uk-UA"/>
        </w:rPr>
      </w:pPr>
      <w:r w:rsidRPr="004C570C">
        <w:rPr>
          <w:rFonts w:ascii="Times New Roman" w:hAnsi="Times New Roman"/>
          <w:noProof/>
          <w:snapToGrid w:val="0"/>
          <w:sz w:val="24"/>
          <w:szCs w:val="24"/>
          <w:lang w:val="en-US"/>
        </w:rPr>
        <w:t xml:space="preserve">Hochberg M.C.American College of Rheumatology 2012 recommendations for the use of non-pharmacologic and pharmacologic therapies in osteoarthritis of the hand, hip, and knee / M.C. Hochberg, R.D. Altman, K.T. April </w:t>
      </w:r>
      <w:r w:rsidRPr="004C570C">
        <w:rPr>
          <w:rFonts w:ascii="Cambria Math" w:hAnsi="Cambria Math" w:cs="Cambria Math"/>
          <w:noProof/>
          <w:snapToGrid w:val="0"/>
          <w:sz w:val="24"/>
          <w:szCs w:val="24"/>
          <w:lang w:val="en-US"/>
        </w:rPr>
        <w:t>⦋</w:t>
      </w:r>
      <w:r w:rsidRPr="004C570C">
        <w:rPr>
          <w:rFonts w:ascii="Times New Roman" w:hAnsi="Times New Roman"/>
          <w:noProof/>
          <w:snapToGrid w:val="0"/>
          <w:sz w:val="24"/>
          <w:szCs w:val="24"/>
          <w:lang w:val="en-US"/>
        </w:rPr>
        <w:t>et al.</w:t>
      </w:r>
      <w:r w:rsidRPr="004C570C">
        <w:rPr>
          <w:rFonts w:ascii="Cambria Math" w:hAnsi="Cambria Math" w:cs="Cambria Math"/>
          <w:noProof/>
          <w:snapToGrid w:val="0"/>
          <w:sz w:val="24"/>
          <w:szCs w:val="24"/>
          <w:lang w:val="en-US"/>
        </w:rPr>
        <w:t>⦌</w:t>
      </w:r>
      <w:r w:rsidRPr="004C570C">
        <w:rPr>
          <w:rFonts w:ascii="Times New Roman" w:hAnsi="Times New Roman"/>
          <w:noProof/>
          <w:snapToGrid w:val="0"/>
          <w:sz w:val="24"/>
          <w:szCs w:val="24"/>
          <w:lang w:val="en-US"/>
        </w:rPr>
        <w:t xml:space="preserve"> // Arthritis Care Res. - 2012. - Vol. 64. - P. 465-474.</w:t>
      </w:r>
    </w:p>
    <w:p w:rsidR="00227B94" w:rsidRPr="004C570C" w:rsidRDefault="00227B94" w:rsidP="004C570C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C570C">
        <w:rPr>
          <w:rFonts w:ascii="Times New Roman" w:hAnsi="Times New Roman"/>
          <w:noProof/>
          <w:snapToGrid w:val="0"/>
          <w:sz w:val="24"/>
          <w:szCs w:val="24"/>
          <w:lang w:val="uk-UA"/>
        </w:rPr>
        <w:t>Моісеєнко Р.О. Наказу МОЗ  «Про надання медичної допомоги хворим із остеоартрозом» / Р.О. Моісеєнко // Український ревматологічний журнал. - 2007. - В. 27. - №1. - С.74-75.</w:t>
      </w:r>
    </w:p>
    <w:p w:rsidR="00227B94" w:rsidRPr="004C570C" w:rsidRDefault="00227B94" w:rsidP="004C570C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C570C">
        <w:rPr>
          <w:rFonts w:ascii="Times New Roman" w:hAnsi="Times New Roman"/>
          <w:noProof/>
          <w:snapToGrid w:val="0"/>
          <w:sz w:val="24"/>
          <w:szCs w:val="24"/>
          <w:lang w:val="en-US"/>
        </w:rPr>
        <w:t>Altman R.Advances in NSAID development: evolution of diclofenac products using pharmaceutical technology / R. Altman, B. Bosch, K. Brune</w:t>
      </w:r>
      <w:r w:rsidRPr="004C570C">
        <w:rPr>
          <w:rFonts w:ascii="Times New Roman" w:hAnsi="Times New Roman"/>
          <w:noProof/>
          <w:snapToGrid w:val="0"/>
          <w:sz w:val="24"/>
          <w:szCs w:val="24"/>
          <w:lang w:val="uk-UA"/>
        </w:rPr>
        <w:t xml:space="preserve"> </w:t>
      </w:r>
      <w:r w:rsidRPr="004C570C">
        <w:rPr>
          <w:rFonts w:ascii="Cambria Math" w:hAnsi="Cambria Math" w:cs="Cambria Math"/>
          <w:noProof/>
          <w:snapToGrid w:val="0"/>
          <w:sz w:val="24"/>
          <w:szCs w:val="24"/>
          <w:lang w:val="en-US"/>
        </w:rPr>
        <w:t>⦋</w:t>
      </w:r>
      <w:r w:rsidRPr="004C570C">
        <w:rPr>
          <w:rFonts w:ascii="Times New Roman" w:hAnsi="Times New Roman"/>
          <w:noProof/>
          <w:snapToGrid w:val="0"/>
          <w:sz w:val="24"/>
          <w:szCs w:val="24"/>
          <w:lang w:val="en-US"/>
        </w:rPr>
        <w:t>et al.</w:t>
      </w:r>
      <w:r w:rsidRPr="004C570C">
        <w:rPr>
          <w:rFonts w:ascii="Cambria Math" w:hAnsi="Cambria Math" w:cs="Cambria Math"/>
          <w:noProof/>
          <w:snapToGrid w:val="0"/>
          <w:sz w:val="24"/>
          <w:szCs w:val="24"/>
          <w:lang w:val="en-US"/>
        </w:rPr>
        <w:t>⦌</w:t>
      </w:r>
      <w:r w:rsidRPr="004C570C">
        <w:rPr>
          <w:rFonts w:ascii="Times New Roman" w:hAnsi="Times New Roman"/>
          <w:noProof/>
          <w:snapToGrid w:val="0"/>
          <w:sz w:val="24"/>
          <w:szCs w:val="24"/>
          <w:lang w:val="en-US"/>
        </w:rPr>
        <w:t xml:space="preserve"> // Drugs. - 2015. - Vol. 75. - S. 8. - P. 859-877.</w:t>
      </w:r>
    </w:p>
    <w:p w:rsidR="00227B94" w:rsidRPr="004C570C" w:rsidRDefault="0018565C" w:rsidP="004C570C">
      <w:pPr>
        <w:keepNext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outlineLvl w:val="3"/>
        <w:rPr>
          <w:rFonts w:ascii="Times New Roman" w:hAnsi="Times New Roman"/>
          <w:noProof/>
          <w:snapToGrid w:val="0"/>
          <w:sz w:val="24"/>
          <w:szCs w:val="24"/>
          <w:lang w:val="en-US"/>
        </w:rPr>
      </w:pPr>
      <w:hyperlink r:id="rId18" w:history="1">
        <w:r w:rsidR="00227B94" w:rsidRPr="001D39EB">
          <w:rPr>
            <w:rFonts w:ascii="Times New Roman" w:hAnsi="Times New Roman"/>
            <w:noProof/>
            <w:snapToGrid w:val="0"/>
            <w:sz w:val="24"/>
            <w:szCs w:val="24"/>
            <w:lang w:val="en-US" w:eastAsia="uk-UA"/>
          </w:rPr>
          <w:t>Blom A</w:t>
        </w:r>
        <w:r w:rsidR="00227B94" w:rsidRPr="004C570C">
          <w:rPr>
            <w:rFonts w:ascii="Times New Roman" w:hAnsi="Times New Roman"/>
            <w:noProof/>
            <w:snapToGrid w:val="0"/>
            <w:sz w:val="24"/>
            <w:szCs w:val="24"/>
            <w:lang w:val="en-US" w:eastAsia="uk-UA"/>
          </w:rPr>
          <w:t>.</w:t>
        </w:r>
        <w:r w:rsidR="00227B94" w:rsidRPr="001D39EB">
          <w:rPr>
            <w:rFonts w:ascii="Times New Roman" w:hAnsi="Times New Roman"/>
            <w:noProof/>
            <w:snapToGrid w:val="0"/>
            <w:sz w:val="24"/>
            <w:szCs w:val="24"/>
            <w:lang w:val="en-US" w:eastAsia="uk-UA"/>
          </w:rPr>
          <w:t>B</w:t>
        </w:r>
      </w:hyperlink>
      <w:r w:rsidR="00227B94" w:rsidRPr="004C570C">
        <w:rPr>
          <w:rFonts w:ascii="Times New Roman" w:hAnsi="Times New Roman"/>
          <w:noProof/>
          <w:snapToGrid w:val="0"/>
          <w:sz w:val="24"/>
          <w:szCs w:val="24"/>
          <w:lang w:val="en-US" w:eastAsia="uk-UA"/>
        </w:rPr>
        <w:t xml:space="preserve">. </w:t>
      </w:r>
      <w:r w:rsidR="00227B94" w:rsidRPr="001D39EB">
        <w:rPr>
          <w:rFonts w:ascii="Times New Roman" w:hAnsi="Times New Roman"/>
          <w:bCs/>
          <w:noProof/>
          <w:snapToGrid w:val="0"/>
          <w:kern w:val="36"/>
          <w:sz w:val="24"/>
          <w:szCs w:val="24"/>
          <w:lang w:val="en-US" w:eastAsia="uk-UA"/>
        </w:rPr>
        <w:t>Cytokine targeting in osteoarthritis</w:t>
      </w:r>
      <w:r w:rsidR="00227B94" w:rsidRPr="004C570C">
        <w:rPr>
          <w:rFonts w:ascii="Times New Roman" w:hAnsi="Times New Roman"/>
          <w:bCs/>
          <w:noProof/>
          <w:snapToGrid w:val="0"/>
          <w:kern w:val="36"/>
          <w:sz w:val="24"/>
          <w:szCs w:val="24"/>
          <w:lang w:val="en-US" w:eastAsia="uk-UA"/>
        </w:rPr>
        <w:t xml:space="preserve"> / </w:t>
      </w:r>
      <w:hyperlink r:id="rId19" w:history="1">
        <w:r w:rsidR="00227B94" w:rsidRPr="001D39EB">
          <w:rPr>
            <w:rFonts w:ascii="Times New Roman" w:hAnsi="Times New Roman"/>
            <w:noProof/>
            <w:snapToGrid w:val="0"/>
            <w:sz w:val="24"/>
            <w:szCs w:val="24"/>
            <w:lang w:val="en-US" w:eastAsia="uk-UA"/>
          </w:rPr>
          <w:t>A</w:t>
        </w:r>
        <w:r w:rsidR="00227B94" w:rsidRPr="004C570C">
          <w:rPr>
            <w:rFonts w:ascii="Times New Roman" w:hAnsi="Times New Roman"/>
            <w:noProof/>
            <w:snapToGrid w:val="0"/>
            <w:sz w:val="24"/>
            <w:szCs w:val="24"/>
            <w:lang w:val="en-US" w:eastAsia="uk-UA"/>
          </w:rPr>
          <w:t>.</w:t>
        </w:r>
        <w:r w:rsidR="00227B94" w:rsidRPr="001D39EB">
          <w:rPr>
            <w:rFonts w:ascii="Times New Roman" w:hAnsi="Times New Roman"/>
            <w:noProof/>
            <w:snapToGrid w:val="0"/>
            <w:sz w:val="24"/>
            <w:szCs w:val="24"/>
            <w:lang w:val="en-US" w:eastAsia="uk-UA"/>
          </w:rPr>
          <w:t>B</w:t>
        </w:r>
      </w:hyperlink>
      <w:r w:rsidR="00227B94" w:rsidRPr="004C570C">
        <w:rPr>
          <w:rFonts w:ascii="Times New Roman" w:hAnsi="Times New Roman"/>
          <w:noProof/>
          <w:snapToGrid w:val="0"/>
          <w:sz w:val="24"/>
          <w:szCs w:val="24"/>
          <w:lang w:val="en-US" w:eastAsia="uk-UA"/>
        </w:rPr>
        <w:t>.Blom</w:t>
      </w:r>
      <w:r w:rsidR="00227B94" w:rsidRPr="001D39EB">
        <w:rPr>
          <w:rFonts w:ascii="Times New Roman" w:hAnsi="Times New Roman"/>
          <w:noProof/>
          <w:snapToGrid w:val="0"/>
          <w:sz w:val="24"/>
          <w:szCs w:val="24"/>
          <w:lang w:val="en-US" w:eastAsia="uk-UA"/>
        </w:rPr>
        <w:t>, </w:t>
      </w:r>
      <w:hyperlink r:id="rId20" w:history="1">
        <w:r w:rsidR="00227B94" w:rsidRPr="001D39EB">
          <w:rPr>
            <w:rFonts w:ascii="Times New Roman" w:hAnsi="Times New Roman"/>
            <w:noProof/>
            <w:snapToGrid w:val="0"/>
            <w:sz w:val="24"/>
            <w:szCs w:val="24"/>
            <w:lang w:val="en-US" w:eastAsia="uk-UA"/>
          </w:rPr>
          <w:t xml:space="preserve"> P</w:t>
        </w:r>
        <w:r w:rsidR="00227B94" w:rsidRPr="004C570C">
          <w:rPr>
            <w:rFonts w:ascii="Times New Roman" w:hAnsi="Times New Roman"/>
            <w:noProof/>
            <w:snapToGrid w:val="0"/>
            <w:sz w:val="24"/>
            <w:szCs w:val="24"/>
            <w:lang w:val="en-US" w:eastAsia="uk-UA"/>
          </w:rPr>
          <w:t>.</w:t>
        </w:r>
        <w:r w:rsidR="00227B94" w:rsidRPr="001D39EB">
          <w:rPr>
            <w:rFonts w:ascii="Times New Roman" w:hAnsi="Times New Roman"/>
            <w:noProof/>
            <w:snapToGrid w:val="0"/>
            <w:sz w:val="24"/>
            <w:szCs w:val="24"/>
            <w:lang w:val="en-US" w:eastAsia="uk-UA"/>
          </w:rPr>
          <w:t>M</w:t>
        </w:r>
      </w:hyperlink>
      <w:r w:rsidR="00227B94" w:rsidRPr="004C570C">
        <w:rPr>
          <w:rFonts w:ascii="Times New Roman" w:hAnsi="Times New Roman"/>
          <w:noProof/>
          <w:snapToGrid w:val="0"/>
          <w:sz w:val="24"/>
          <w:szCs w:val="24"/>
          <w:lang w:val="en-US" w:eastAsia="uk-UA"/>
        </w:rPr>
        <w:t xml:space="preserve">.van der </w:t>
      </w:r>
      <w:r w:rsidR="00227B94" w:rsidRPr="001D39EB">
        <w:rPr>
          <w:rFonts w:ascii="Times New Roman" w:hAnsi="Times New Roman"/>
          <w:bCs/>
          <w:noProof/>
          <w:snapToGrid w:val="0"/>
          <w:sz w:val="24"/>
          <w:szCs w:val="24"/>
          <w:shd w:val="clear" w:color="auto" w:fill="FFFFFF"/>
          <w:lang w:val="en-US"/>
        </w:rPr>
        <w:t>Blankenberg S.</w:t>
      </w:r>
      <w:r w:rsidR="00227B94" w:rsidRPr="001D39EB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en-US"/>
        </w:rPr>
        <w:t>The inflammatory hypothesis: any progress in risk stratification and therapeutic targets?</w:t>
      </w:r>
      <w:r w:rsidR="00227B94" w:rsidRPr="004C570C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en-US"/>
        </w:rPr>
        <w:t xml:space="preserve"> / </w:t>
      </w:r>
      <w:r w:rsidR="00227B94" w:rsidRPr="001D39EB">
        <w:rPr>
          <w:rFonts w:ascii="Times New Roman" w:hAnsi="Times New Roman"/>
          <w:bCs/>
          <w:noProof/>
          <w:snapToGrid w:val="0"/>
          <w:sz w:val="24"/>
          <w:szCs w:val="24"/>
          <w:shd w:val="clear" w:color="auto" w:fill="FFFFFF"/>
          <w:lang w:val="en-US"/>
        </w:rPr>
        <w:t xml:space="preserve">S. Blankenberg, S.Yusuf </w:t>
      </w:r>
      <w:r w:rsidR="00227B94" w:rsidRPr="004C570C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en-US"/>
        </w:rPr>
        <w:t>//</w:t>
      </w:r>
      <w:r w:rsidR="00227B94" w:rsidRPr="001D39EB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en-US"/>
        </w:rPr>
        <w:t xml:space="preserve"> Circulation</w:t>
      </w:r>
      <w:r w:rsidR="00227B94" w:rsidRPr="004C570C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en-US"/>
        </w:rPr>
        <w:t xml:space="preserve">. - 2009. - Vol. </w:t>
      </w:r>
      <w:r w:rsidR="00227B94" w:rsidRPr="001D39EB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en-US"/>
        </w:rPr>
        <w:t>114</w:t>
      </w:r>
      <w:r w:rsidR="00227B94" w:rsidRPr="004C570C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en-US"/>
        </w:rPr>
        <w:t xml:space="preserve">. - P. </w:t>
      </w:r>
      <w:r w:rsidR="00227B94" w:rsidRPr="001D39EB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en-US"/>
        </w:rPr>
        <w:t>1557</w:t>
      </w:r>
      <w:r w:rsidR="00227B94" w:rsidRPr="004C570C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en-IE"/>
        </w:rPr>
        <w:t>-</w:t>
      </w:r>
      <w:r w:rsidR="00227B94" w:rsidRPr="001D39EB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en-US"/>
        </w:rPr>
        <w:t>1560.</w:t>
      </w:r>
    </w:p>
    <w:p w:rsidR="00227B94" w:rsidRPr="004C570C" w:rsidRDefault="00227B94" w:rsidP="00B2778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en-US" w:eastAsia="uk-UA"/>
        </w:rPr>
      </w:pPr>
      <w:r w:rsidRPr="001D39EB">
        <w:rPr>
          <w:rFonts w:ascii="Times New Roman" w:hAnsi="Times New Roman"/>
          <w:iCs/>
          <w:noProof/>
          <w:snapToGrid w:val="0"/>
          <w:sz w:val="24"/>
          <w:szCs w:val="24"/>
          <w:shd w:val="clear" w:color="auto" w:fill="FFFFFF"/>
          <w:lang w:val="en-US"/>
        </w:rPr>
        <w:t xml:space="preserve">Kellgren J.H. </w:t>
      </w:r>
      <w:r w:rsidRPr="001D39EB">
        <w:rPr>
          <w:rFonts w:ascii="Times New Roman" w:hAnsi="Times New Roman"/>
          <w:noProof/>
          <w:snapToGrid w:val="0"/>
          <w:sz w:val="24"/>
          <w:szCs w:val="24"/>
          <w:lang w:val="en-US"/>
        </w:rPr>
        <w:t xml:space="preserve">Radiological 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а</w:t>
      </w:r>
      <w:r w:rsidRPr="001D39EB">
        <w:rPr>
          <w:rFonts w:ascii="Times New Roman" w:hAnsi="Times New Roman"/>
          <w:noProof/>
          <w:snapToGrid w:val="0"/>
          <w:sz w:val="24"/>
          <w:szCs w:val="24"/>
          <w:lang w:val="en-US"/>
        </w:rPr>
        <w:t xml:space="preserve">ssessment of 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о</w:t>
      </w:r>
      <w:r w:rsidRPr="001D39EB">
        <w:rPr>
          <w:rFonts w:ascii="Times New Roman" w:hAnsi="Times New Roman"/>
          <w:noProof/>
          <w:snapToGrid w:val="0"/>
          <w:sz w:val="24"/>
          <w:szCs w:val="24"/>
          <w:lang w:val="en-US"/>
        </w:rPr>
        <w:t>steo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а</w:t>
      </w:r>
      <w:r w:rsidRPr="001D39EB">
        <w:rPr>
          <w:rFonts w:ascii="Times New Roman" w:hAnsi="Times New Roman"/>
          <w:noProof/>
          <w:snapToGrid w:val="0"/>
          <w:sz w:val="24"/>
          <w:szCs w:val="24"/>
          <w:lang w:val="en-US"/>
        </w:rPr>
        <w:t>rthrosis /</w:t>
      </w:r>
      <w:r w:rsidRPr="001D39EB">
        <w:rPr>
          <w:rFonts w:ascii="Times New Roman" w:hAnsi="Times New Roman"/>
          <w:iCs/>
          <w:noProof/>
          <w:snapToGrid w:val="0"/>
          <w:sz w:val="24"/>
          <w:szCs w:val="24"/>
          <w:shd w:val="clear" w:color="auto" w:fill="FFFFFF"/>
          <w:lang w:val="en-US"/>
        </w:rPr>
        <w:t xml:space="preserve"> J.H. Kellgren, J.S. Lawrence</w:t>
      </w:r>
      <w:r w:rsidRPr="004C570C">
        <w:rPr>
          <w:rFonts w:ascii="Times New Roman" w:hAnsi="Times New Roman"/>
          <w:noProof/>
          <w:snapToGrid w:val="0"/>
          <w:sz w:val="24"/>
          <w:szCs w:val="24"/>
          <w:shd w:val="clear" w:color="auto" w:fill="FFFFFF"/>
          <w:lang w:val="en-US"/>
        </w:rPr>
        <w:t xml:space="preserve"> </w:t>
      </w:r>
      <w:r w:rsidRPr="001D39EB">
        <w:rPr>
          <w:rFonts w:ascii="Times New Roman" w:hAnsi="Times New Roman"/>
          <w:noProof/>
          <w:snapToGrid w:val="0"/>
          <w:sz w:val="24"/>
          <w:szCs w:val="24"/>
          <w:lang w:val="en-US"/>
        </w:rPr>
        <w:t xml:space="preserve">// Ann. </w:t>
      </w:r>
      <w:r w:rsidRPr="00B2778E">
        <w:rPr>
          <w:rFonts w:ascii="Times New Roman" w:hAnsi="Times New Roman"/>
          <w:noProof/>
          <w:snapToGrid w:val="0"/>
          <w:sz w:val="24"/>
          <w:szCs w:val="24"/>
          <w:lang w:val="en-US"/>
        </w:rPr>
        <w:t xml:space="preserve">Rheum. Dis. - 1957. -  </w:t>
      </w:r>
      <w:r w:rsidRPr="004C570C">
        <w:rPr>
          <w:rFonts w:ascii="Times New Roman" w:hAnsi="Times New Roman"/>
          <w:noProof/>
          <w:snapToGrid w:val="0"/>
          <w:sz w:val="24"/>
          <w:szCs w:val="24"/>
          <w:lang w:val="en-US" w:eastAsia="uk-UA"/>
        </w:rPr>
        <w:t>Vol.</w:t>
      </w:r>
      <w:r w:rsidRPr="00B2778E">
        <w:rPr>
          <w:rFonts w:ascii="Times New Roman" w:hAnsi="Times New Roman"/>
          <w:noProof/>
          <w:snapToGrid w:val="0"/>
          <w:sz w:val="24"/>
          <w:szCs w:val="24"/>
          <w:lang w:val="en-US"/>
        </w:rPr>
        <w:t>16</w:t>
      </w:r>
      <w:r w:rsidRPr="004C570C">
        <w:rPr>
          <w:rFonts w:ascii="Times New Roman" w:hAnsi="Times New Roman"/>
          <w:noProof/>
          <w:snapToGrid w:val="0"/>
          <w:sz w:val="24"/>
          <w:szCs w:val="24"/>
          <w:lang w:val="en-US"/>
        </w:rPr>
        <w:t xml:space="preserve">. -S. </w:t>
      </w:r>
      <w:r w:rsidRPr="00B2778E">
        <w:rPr>
          <w:rFonts w:ascii="Times New Roman" w:hAnsi="Times New Roman"/>
          <w:noProof/>
          <w:snapToGrid w:val="0"/>
          <w:sz w:val="24"/>
          <w:szCs w:val="24"/>
          <w:lang w:val="en-US"/>
        </w:rPr>
        <w:t xml:space="preserve">4. - 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Р</w:t>
      </w:r>
      <w:r w:rsidRPr="00B2778E">
        <w:rPr>
          <w:rFonts w:ascii="Times New Roman" w:hAnsi="Times New Roman"/>
          <w:noProof/>
          <w:snapToGrid w:val="0"/>
          <w:sz w:val="24"/>
          <w:szCs w:val="24"/>
          <w:lang w:val="en-US"/>
        </w:rPr>
        <w:t>.494-502.</w:t>
      </w:r>
    </w:p>
    <w:p w:rsidR="00B2778E" w:rsidRPr="00B2778E" w:rsidRDefault="00B2778E" w:rsidP="00B2778E">
      <w:pPr>
        <w:spacing w:after="0" w:line="240" w:lineRule="auto"/>
        <w:jc w:val="both"/>
        <w:rPr>
          <w:rFonts w:ascii="Times New Roman" w:hAnsi="Times New Roman"/>
          <w:bCs/>
          <w:noProof/>
          <w:snapToGrid w:val="0"/>
          <w:sz w:val="24"/>
          <w:szCs w:val="24"/>
          <w:lang w:val="en-US"/>
        </w:rPr>
      </w:pPr>
      <w:r w:rsidRPr="00B2778E">
        <w:rPr>
          <w:rFonts w:ascii="Times New Roman" w:hAnsi="Times New Roman"/>
          <w:bCs/>
          <w:noProof/>
          <w:snapToGrid w:val="0"/>
          <w:sz w:val="24"/>
          <w:szCs w:val="24"/>
          <w:lang w:val="en-US"/>
        </w:rPr>
        <w:t>12.</w:t>
      </w:r>
      <w:r w:rsidRPr="00B2778E">
        <w:rPr>
          <w:rFonts w:ascii="Times New Roman" w:hAnsi="Times New Roman"/>
          <w:bCs/>
          <w:noProof/>
          <w:snapToGrid w:val="0"/>
          <w:sz w:val="24"/>
          <w:szCs w:val="24"/>
          <w:lang w:val="en-US"/>
        </w:rPr>
        <w:tab/>
        <w:t>Radchenko V.A. Kostnaya densitometriya v klinicheskoy praktike / V.A. Radchenko, S.B. Kosterin, N.V. Deduh, E.A. Pobel // Ortopediya, travmatologiya i protezirovanie. - 2015. - #2. - S. 100-108.</w:t>
      </w:r>
    </w:p>
    <w:p w:rsidR="00B2778E" w:rsidRPr="00B2778E" w:rsidRDefault="00B2778E" w:rsidP="00B2778E">
      <w:pPr>
        <w:spacing w:after="0" w:line="240" w:lineRule="auto"/>
        <w:jc w:val="both"/>
        <w:rPr>
          <w:rFonts w:ascii="Times New Roman" w:hAnsi="Times New Roman"/>
          <w:bCs/>
          <w:noProof/>
          <w:snapToGrid w:val="0"/>
          <w:sz w:val="24"/>
          <w:szCs w:val="24"/>
          <w:lang w:val="en-US"/>
        </w:rPr>
      </w:pPr>
      <w:r w:rsidRPr="00B2778E">
        <w:rPr>
          <w:rFonts w:ascii="Times New Roman" w:hAnsi="Times New Roman"/>
          <w:bCs/>
          <w:noProof/>
          <w:snapToGrid w:val="0"/>
          <w:sz w:val="24"/>
          <w:szCs w:val="24"/>
          <w:lang w:val="en-US"/>
        </w:rPr>
        <w:t>13.</w:t>
      </w:r>
      <w:r w:rsidRPr="00B2778E">
        <w:rPr>
          <w:rFonts w:ascii="Times New Roman" w:hAnsi="Times New Roman"/>
          <w:bCs/>
          <w:noProof/>
          <w:snapToGrid w:val="0"/>
          <w:sz w:val="24"/>
          <w:szCs w:val="24"/>
          <w:lang w:val="en-US"/>
        </w:rPr>
        <w:tab/>
        <w:t>Kobzar A.I. Prikladnaya matematicheskaya statistika dlya inzhenerov i nauchnyih rabotnikov – 2 izdanie ispravlennoe / A.I. Kobzar. - Moskva: FIZMATLIT. - 2012. - 816 s.</w:t>
      </w:r>
    </w:p>
    <w:p w:rsidR="00BB7817" w:rsidRPr="00B2778E" w:rsidRDefault="00B2778E" w:rsidP="00B27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778E">
        <w:rPr>
          <w:rFonts w:ascii="Times New Roman" w:hAnsi="Times New Roman"/>
          <w:bCs/>
          <w:noProof/>
          <w:snapToGrid w:val="0"/>
          <w:sz w:val="24"/>
          <w:szCs w:val="24"/>
          <w:lang w:val="en-US"/>
        </w:rPr>
        <w:t>14.</w:t>
      </w:r>
      <w:r w:rsidRPr="00B2778E">
        <w:rPr>
          <w:rFonts w:ascii="Times New Roman" w:hAnsi="Times New Roman"/>
          <w:bCs/>
          <w:noProof/>
          <w:snapToGrid w:val="0"/>
          <w:sz w:val="24"/>
          <w:szCs w:val="24"/>
          <w:lang w:val="en-US"/>
        </w:rPr>
        <w:tab/>
        <w:t>Kartel N.A. Genetika. Entsiklopedicheskiy slovar / N.A. Kartel, E.N. Makeeva, A.M. Mezenko // Minsk: Belorusskaya nauka. - 2011.</w:t>
      </w:r>
    </w:p>
    <w:p w:rsidR="00B2778E" w:rsidRPr="0018565C" w:rsidRDefault="00B2778E" w:rsidP="004C5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01A7" w:rsidRDefault="008A01A7" w:rsidP="004C570C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  <w:r w:rsidRPr="004C570C">
        <w:rPr>
          <w:rFonts w:ascii="Times New Roman" w:hAnsi="Times New Roman" w:cs="Times New Roman"/>
          <w:b/>
          <w:sz w:val="24"/>
          <w:szCs w:val="24"/>
        </w:rPr>
        <w:lastRenderedPageBreak/>
        <w:t>Л.М.</w:t>
      </w:r>
      <w:r w:rsidR="00227B94" w:rsidRPr="004C5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70C">
        <w:rPr>
          <w:rFonts w:ascii="Times New Roman" w:hAnsi="Times New Roman" w:cs="Times New Roman"/>
          <w:b/>
          <w:sz w:val="24"/>
          <w:szCs w:val="24"/>
        </w:rPr>
        <w:t>Пасиешвили, К.И.</w:t>
      </w:r>
      <w:r w:rsidR="00227B94" w:rsidRPr="004C5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70C">
        <w:rPr>
          <w:rFonts w:ascii="Times New Roman" w:hAnsi="Times New Roman" w:cs="Times New Roman"/>
          <w:b/>
          <w:sz w:val="24"/>
          <w:szCs w:val="24"/>
        </w:rPr>
        <w:t>Терешкин</w:t>
      </w:r>
    </w:p>
    <w:p w:rsidR="004C570C" w:rsidRPr="004C570C" w:rsidRDefault="004C570C" w:rsidP="004C570C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4C570C" w:rsidRPr="004C570C" w:rsidRDefault="004C570C" w:rsidP="004C570C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227B94" w:rsidRDefault="0045618A" w:rsidP="004C570C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  <w:r w:rsidRPr="004C570C">
        <w:rPr>
          <w:rFonts w:ascii="Times New Roman" w:hAnsi="Times New Roman" w:cs="Times New Roman"/>
          <w:b/>
          <w:sz w:val="24"/>
          <w:szCs w:val="24"/>
        </w:rPr>
        <w:t xml:space="preserve">ПРОГРЕДИЕНТНОСТЬ ТЕЧЕНИЯ </w:t>
      </w:r>
      <w:r w:rsidR="00227B94" w:rsidRPr="004C570C">
        <w:rPr>
          <w:rFonts w:ascii="Times New Roman" w:hAnsi="Times New Roman" w:cs="Times New Roman"/>
          <w:b/>
          <w:sz w:val="24"/>
          <w:szCs w:val="24"/>
        </w:rPr>
        <w:t>ОСТЕОПЕНИЧЕСКОГО СИНДРОМА У ПАЦИЕНТОВ С КОМОРБИДН</w:t>
      </w:r>
      <w:r w:rsidR="005667A4" w:rsidRPr="004C570C">
        <w:rPr>
          <w:rFonts w:ascii="Times New Roman" w:hAnsi="Times New Roman" w:cs="Times New Roman"/>
          <w:b/>
          <w:sz w:val="24"/>
          <w:szCs w:val="24"/>
        </w:rPr>
        <w:t xml:space="preserve">ОСТЬЮ </w:t>
      </w:r>
      <w:r w:rsidR="00227B94" w:rsidRPr="004C570C">
        <w:rPr>
          <w:rFonts w:ascii="Times New Roman" w:hAnsi="Times New Roman" w:cs="Times New Roman"/>
          <w:b/>
          <w:sz w:val="24"/>
          <w:szCs w:val="24"/>
        </w:rPr>
        <w:t>ОСТЕОАРТРОЗА И ОЖИРЕНИЯ</w:t>
      </w:r>
    </w:p>
    <w:p w:rsidR="004C570C" w:rsidRPr="004C570C" w:rsidRDefault="004C570C" w:rsidP="004C570C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581504" w:rsidRDefault="008A01A7" w:rsidP="004C5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70C">
        <w:rPr>
          <w:rFonts w:ascii="Times New Roman" w:hAnsi="Times New Roman" w:cs="Times New Roman"/>
          <w:sz w:val="24"/>
          <w:szCs w:val="24"/>
        </w:rPr>
        <w:t>Хар</w:t>
      </w:r>
      <w:r w:rsidR="00BB7817" w:rsidRPr="004C570C">
        <w:rPr>
          <w:rFonts w:ascii="Times New Roman" w:hAnsi="Times New Roman" w:cs="Times New Roman"/>
          <w:sz w:val="24"/>
          <w:szCs w:val="24"/>
        </w:rPr>
        <w:t>ь</w:t>
      </w:r>
      <w:r w:rsidRPr="004C570C">
        <w:rPr>
          <w:rFonts w:ascii="Times New Roman" w:hAnsi="Times New Roman" w:cs="Times New Roman"/>
          <w:sz w:val="24"/>
          <w:szCs w:val="24"/>
        </w:rPr>
        <w:t>к</w:t>
      </w:r>
      <w:r w:rsidR="00BB7817" w:rsidRPr="004C570C">
        <w:rPr>
          <w:rFonts w:ascii="Times New Roman" w:hAnsi="Times New Roman" w:cs="Times New Roman"/>
          <w:sz w:val="24"/>
          <w:szCs w:val="24"/>
        </w:rPr>
        <w:t>о</w:t>
      </w:r>
      <w:r w:rsidRPr="004C570C">
        <w:rPr>
          <w:rFonts w:ascii="Times New Roman" w:hAnsi="Times New Roman" w:cs="Times New Roman"/>
          <w:sz w:val="24"/>
          <w:szCs w:val="24"/>
        </w:rPr>
        <w:t>вс</w:t>
      </w:r>
      <w:r w:rsidR="00BB7817" w:rsidRPr="004C570C">
        <w:rPr>
          <w:rFonts w:ascii="Times New Roman" w:hAnsi="Times New Roman" w:cs="Times New Roman"/>
          <w:sz w:val="24"/>
          <w:szCs w:val="24"/>
        </w:rPr>
        <w:t>ь</w:t>
      </w:r>
      <w:r w:rsidRPr="004C570C">
        <w:rPr>
          <w:rFonts w:ascii="Times New Roman" w:hAnsi="Times New Roman" w:cs="Times New Roman"/>
          <w:sz w:val="24"/>
          <w:szCs w:val="24"/>
        </w:rPr>
        <w:t>кий нац</w:t>
      </w:r>
      <w:r w:rsidR="00BB7817" w:rsidRPr="004C570C">
        <w:rPr>
          <w:rFonts w:ascii="Times New Roman" w:hAnsi="Times New Roman" w:cs="Times New Roman"/>
          <w:sz w:val="24"/>
          <w:szCs w:val="24"/>
        </w:rPr>
        <w:t>и</w:t>
      </w:r>
      <w:r w:rsidRPr="004C570C">
        <w:rPr>
          <w:rFonts w:ascii="Times New Roman" w:hAnsi="Times New Roman" w:cs="Times New Roman"/>
          <w:sz w:val="24"/>
          <w:szCs w:val="24"/>
        </w:rPr>
        <w:t>ональн</w:t>
      </w:r>
      <w:r w:rsidR="00227B94" w:rsidRPr="004C570C">
        <w:rPr>
          <w:rFonts w:ascii="Times New Roman" w:hAnsi="Times New Roman" w:cs="Times New Roman"/>
          <w:sz w:val="24"/>
          <w:szCs w:val="24"/>
        </w:rPr>
        <w:t>ы</w:t>
      </w:r>
      <w:r w:rsidRPr="004C570C">
        <w:rPr>
          <w:rFonts w:ascii="Times New Roman" w:hAnsi="Times New Roman" w:cs="Times New Roman"/>
          <w:sz w:val="24"/>
          <w:szCs w:val="24"/>
        </w:rPr>
        <w:t>й меди</w:t>
      </w:r>
      <w:r w:rsidR="00BB7817" w:rsidRPr="004C570C">
        <w:rPr>
          <w:rFonts w:ascii="Times New Roman" w:hAnsi="Times New Roman" w:cs="Times New Roman"/>
          <w:sz w:val="24"/>
          <w:szCs w:val="24"/>
        </w:rPr>
        <w:t>цинский</w:t>
      </w:r>
      <w:r w:rsidRPr="004C570C">
        <w:rPr>
          <w:rFonts w:ascii="Times New Roman" w:hAnsi="Times New Roman" w:cs="Times New Roman"/>
          <w:sz w:val="24"/>
          <w:szCs w:val="24"/>
        </w:rPr>
        <w:t xml:space="preserve"> ун</w:t>
      </w:r>
      <w:r w:rsidR="00BB7817" w:rsidRPr="004C570C">
        <w:rPr>
          <w:rFonts w:ascii="Times New Roman" w:hAnsi="Times New Roman" w:cs="Times New Roman"/>
          <w:sz w:val="24"/>
          <w:szCs w:val="24"/>
        </w:rPr>
        <w:t>и</w:t>
      </w:r>
      <w:r w:rsidRPr="004C570C">
        <w:rPr>
          <w:rFonts w:ascii="Times New Roman" w:hAnsi="Times New Roman" w:cs="Times New Roman"/>
          <w:sz w:val="24"/>
          <w:szCs w:val="24"/>
        </w:rPr>
        <w:t>верситет</w:t>
      </w:r>
    </w:p>
    <w:p w:rsidR="004C570C" w:rsidRPr="004C570C" w:rsidRDefault="004C570C" w:rsidP="004C5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B94" w:rsidRPr="004C570C" w:rsidRDefault="00227B94" w:rsidP="004C570C">
      <w:pPr>
        <w:keepNext/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outlineLvl w:val="3"/>
        <w:rPr>
          <w:rFonts w:ascii="Times New Roman" w:hAnsi="Times New Roman"/>
          <w:noProof/>
          <w:snapToGrid w:val="0"/>
          <w:sz w:val="24"/>
          <w:szCs w:val="24"/>
        </w:rPr>
      </w:pPr>
      <w:r w:rsidRPr="004C570C">
        <w:rPr>
          <w:rFonts w:ascii="Times New Roman" w:hAnsi="Times New Roman"/>
          <w:b/>
          <w:noProof/>
          <w:snapToGrid w:val="0"/>
          <w:sz w:val="24"/>
          <w:szCs w:val="24"/>
        </w:rPr>
        <w:t>Цель работы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: определение влияния гормональной активности жировой ткан</w:t>
      </w:r>
      <w:r w:rsidR="00640A00"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и и полиморфизма </w:t>
      </w:r>
      <w:r w:rsidR="00640A00" w:rsidRPr="0018565C">
        <w:rPr>
          <w:rFonts w:ascii="Times New Roman" w:hAnsi="Times New Roman"/>
          <w:i/>
          <w:noProof/>
          <w:snapToGrid w:val="0"/>
          <w:sz w:val="24"/>
          <w:szCs w:val="24"/>
        </w:rPr>
        <w:t>Bsml c.IVS7 G&gt;</w:t>
      </w:r>
      <w:r w:rsidRPr="0018565C">
        <w:rPr>
          <w:rFonts w:ascii="Times New Roman" w:hAnsi="Times New Roman"/>
          <w:i/>
          <w:noProof/>
          <w:snapToGrid w:val="0"/>
          <w:sz w:val="24"/>
          <w:szCs w:val="24"/>
        </w:rPr>
        <w:t xml:space="preserve">A, rs1544410 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гена рецепторов витамина D (</w:t>
      </w:r>
      <w:bookmarkStart w:id="0" w:name="_GoBack"/>
      <w:r w:rsidRPr="0018565C">
        <w:rPr>
          <w:rFonts w:ascii="Times New Roman" w:hAnsi="Times New Roman"/>
          <w:i/>
          <w:noProof/>
          <w:snapToGrid w:val="0"/>
          <w:sz w:val="24"/>
          <w:szCs w:val="24"/>
        </w:rPr>
        <w:t>VDR</w:t>
      </w:r>
      <w:bookmarkEnd w:id="0"/>
      <w:r w:rsidRPr="004C570C">
        <w:rPr>
          <w:rFonts w:ascii="Times New Roman" w:hAnsi="Times New Roman"/>
          <w:noProof/>
          <w:snapToGrid w:val="0"/>
          <w:sz w:val="24"/>
          <w:szCs w:val="24"/>
        </w:rPr>
        <w:t>) на формирование остеопенических состояний у лиц молодого возраста с ос</w:t>
      </w:r>
      <w:r w:rsidR="00640A00" w:rsidRPr="004C570C">
        <w:rPr>
          <w:rFonts w:ascii="Times New Roman" w:hAnsi="Times New Roman"/>
          <w:noProof/>
          <w:snapToGrid w:val="0"/>
          <w:sz w:val="24"/>
          <w:szCs w:val="24"/>
        </w:rPr>
        <w:t>теоартрозом (ОА) и ожирением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.</w:t>
      </w:r>
    </w:p>
    <w:p w:rsidR="00227B94" w:rsidRPr="004C570C" w:rsidRDefault="00227B94" w:rsidP="004C570C">
      <w:pPr>
        <w:keepNext/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outlineLvl w:val="3"/>
        <w:rPr>
          <w:rFonts w:ascii="Times New Roman" w:hAnsi="Times New Roman"/>
          <w:noProof/>
          <w:snapToGrid w:val="0"/>
          <w:sz w:val="24"/>
          <w:szCs w:val="24"/>
        </w:rPr>
      </w:pPr>
      <w:r w:rsidRPr="004C570C">
        <w:rPr>
          <w:rFonts w:ascii="Times New Roman" w:hAnsi="Times New Roman"/>
          <w:b/>
          <w:noProof/>
          <w:snapToGrid w:val="0"/>
          <w:sz w:val="24"/>
          <w:szCs w:val="24"/>
        </w:rPr>
        <w:t>Материалы и методы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. Обследовано 96 пациентов </w:t>
      </w:r>
      <w:r w:rsidR="00640A00"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молодого возраста (до 45 лет) 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с со</w:t>
      </w:r>
      <w:r w:rsidR="00491673" w:rsidRPr="004C570C">
        <w:rPr>
          <w:rFonts w:ascii="Times New Roman" w:hAnsi="Times New Roman"/>
          <w:noProof/>
          <w:snapToGrid w:val="0"/>
          <w:sz w:val="24"/>
          <w:szCs w:val="24"/>
        </w:rPr>
        <w:t>четанным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</w:t>
      </w:r>
      <w:r w:rsidR="00640A00" w:rsidRPr="004C570C">
        <w:rPr>
          <w:rFonts w:ascii="Times New Roman" w:hAnsi="Times New Roman"/>
          <w:noProof/>
          <w:snapToGrid w:val="0"/>
          <w:sz w:val="24"/>
          <w:szCs w:val="24"/>
        </w:rPr>
        <w:t>течением ОА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и </w:t>
      </w:r>
      <w:r w:rsidR="00640A00" w:rsidRPr="004C570C">
        <w:rPr>
          <w:rFonts w:ascii="Times New Roman" w:hAnsi="Times New Roman"/>
          <w:noProof/>
          <w:snapToGrid w:val="0"/>
          <w:sz w:val="24"/>
          <w:szCs w:val="24"/>
        </w:rPr>
        <w:t>ожирением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и 34 человека с ОА </w:t>
      </w:r>
      <w:r w:rsidR="00491673" w:rsidRPr="004C570C">
        <w:rPr>
          <w:rFonts w:ascii="Times New Roman" w:hAnsi="Times New Roman"/>
          <w:noProof/>
          <w:snapToGrid w:val="0"/>
          <w:sz w:val="24"/>
          <w:szCs w:val="24"/>
        </w:rPr>
        <w:t>и нормальной массой тела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. Антропометрически</w:t>
      </w:r>
      <w:r w:rsidR="00491673" w:rsidRPr="004C570C">
        <w:rPr>
          <w:rFonts w:ascii="Times New Roman" w:hAnsi="Times New Roman"/>
          <w:noProof/>
          <w:snapToGrid w:val="0"/>
          <w:sz w:val="24"/>
          <w:szCs w:val="24"/>
        </w:rPr>
        <w:t>е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критери</w:t>
      </w:r>
      <w:r w:rsidR="00491673" w:rsidRPr="004C570C">
        <w:rPr>
          <w:rFonts w:ascii="Times New Roman" w:hAnsi="Times New Roman"/>
          <w:noProof/>
          <w:snapToGrid w:val="0"/>
          <w:sz w:val="24"/>
          <w:szCs w:val="24"/>
        </w:rPr>
        <w:t>и</w:t>
      </w:r>
      <w:r w:rsidR="00640A00"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ожирения </w:t>
      </w:r>
      <w:r w:rsidR="00491673"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оценивали при подсчете </w:t>
      </w:r>
      <w:r w:rsidR="00640A00" w:rsidRPr="004C570C">
        <w:rPr>
          <w:rFonts w:ascii="Times New Roman" w:hAnsi="Times New Roman"/>
          <w:noProof/>
          <w:snapToGrid w:val="0"/>
          <w:sz w:val="24"/>
          <w:szCs w:val="24"/>
        </w:rPr>
        <w:t>индекс</w:t>
      </w:r>
      <w:r w:rsidR="00491673" w:rsidRPr="004C570C">
        <w:rPr>
          <w:rFonts w:ascii="Times New Roman" w:hAnsi="Times New Roman"/>
          <w:noProof/>
          <w:snapToGrid w:val="0"/>
          <w:sz w:val="24"/>
          <w:szCs w:val="24"/>
        </w:rPr>
        <w:t>а</w:t>
      </w:r>
      <w:r w:rsidR="00640A00"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Кетле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или индекс массы тела (ИМТ). Оценку функционального состояния опорно-</w:t>
      </w:r>
      <w:r w:rsidR="00640A00"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двигательного 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аппарата и анализ показателей альго</w:t>
      </w:r>
      <w:r w:rsidR="00491673" w:rsidRPr="004C570C">
        <w:rPr>
          <w:rFonts w:ascii="Times New Roman" w:hAnsi="Times New Roman"/>
          <w:noProof/>
          <w:snapToGrid w:val="0"/>
          <w:sz w:val="24"/>
          <w:szCs w:val="24"/>
        </w:rPr>
        <w:t>-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функциональной активности проводили с использованием тест-опросника WOMAC. </w:t>
      </w:r>
      <w:r w:rsidR="00491673"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Для и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змерения </w:t>
      </w:r>
      <w:r w:rsidR="00491673" w:rsidRPr="004C570C">
        <w:rPr>
          <w:rFonts w:ascii="Times New Roman" w:hAnsi="Times New Roman"/>
          <w:noProof/>
          <w:snapToGrid w:val="0"/>
          <w:sz w:val="24"/>
          <w:szCs w:val="24"/>
        </w:rPr>
        <w:t>минеральной плотности костной ткани (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МПКТ</w:t>
      </w:r>
      <w:r w:rsidR="00491673" w:rsidRPr="004C570C">
        <w:rPr>
          <w:rFonts w:ascii="Times New Roman" w:hAnsi="Times New Roman"/>
          <w:noProof/>
          <w:snapToGrid w:val="0"/>
          <w:sz w:val="24"/>
          <w:szCs w:val="24"/>
        </w:rPr>
        <w:t>)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</w:t>
      </w:r>
      <w:r w:rsidR="00491673" w:rsidRPr="004C570C">
        <w:rPr>
          <w:rFonts w:ascii="Times New Roman" w:hAnsi="Times New Roman"/>
          <w:noProof/>
          <w:snapToGrid w:val="0"/>
          <w:sz w:val="24"/>
          <w:szCs w:val="24"/>
        </w:rPr>
        <w:t>использовали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двухэнергетическ</w:t>
      </w:r>
      <w:r w:rsidR="00491673" w:rsidRPr="004C570C">
        <w:rPr>
          <w:rFonts w:ascii="Times New Roman" w:hAnsi="Times New Roman"/>
          <w:noProof/>
          <w:snapToGrid w:val="0"/>
          <w:sz w:val="24"/>
          <w:szCs w:val="24"/>
        </w:rPr>
        <w:t>ую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рентгеновск</w:t>
      </w:r>
      <w:r w:rsidR="00491673" w:rsidRPr="004C570C">
        <w:rPr>
          <w:rFonts w:ascii="Times New Roman" w:hAnsi="Times New Roman"/>
          <w:noProof/>
          <w:snapToGrid w:val="0"/>
          <w:sz w:val="24"/>
          <w:szCs w:val="24"/>
        </w:rPr>
        <w:t>ую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абсорбциометри</w:t>
      </w:r>
      <w:r w:rsidR="00491673" w:rsidRPr="004C570C">
        <w:rPr>
          <w:rFonts w:ascii="Times New Roman" w:hAnsi="Times New Roman"/>
          <w:noProof/>
          <w:snapToGrid w:val="0"/>
          <w:sz w:val="24"/>
          <w:szCs w:val="24"/>
        </w:rPr>
        <w:t>ю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</w:t>
      </w:r>
      <w:r w:rsidRPr="001D39EB">
        <w:rPr>
          <w:rFonts w:ascii="Times New Roman" w:hAnsi="Times New Roman"/>
          <w:noProof/>
          <w:snapToGrid w:val="0"/>
          <w:sz w:val="24"/>
          <w:szCs w:val="24"/>
          <w:lang w:val="en-US"/>
        </w:rPr>
        <w:t>(D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Е</w:t>
      </w:r>
      <w:r w:rsidRPr="001D39EB">
        <w:rPr>
          <w:rFonts w:ascii="Times New Roman" w:hAnsi="Times New Roman"/>
          <w:noProof/>
          <w:snapToGrid w:val="0"/>
          <w:sz w:val="24"/>
          <w:szCs w:val="24"/>
          <w:lang w:val="en-US"/>
        </w:rPr>
        <w:t>XA)</w:t>
      </w:r>
      <w:r w:rsidR="00491673" w:rsidRPr="001D39EB">
        <w:rPr>
          <w:rFonts w:ascii="Times New Roman" w:hAnsi="Times New Roman"/>
          <w:noProof/>
          <w:snapToGrid w:val="0"/>
          <w:sz w:val="24"/>
          <w:szCs w:val="24"/>
          <w:lang w:val="en-US"/>
        </w:rPr>
        <w:t xml:space="preserve"> </w:t>
      </w:r>
      <w:r w:rsidR="004C570C" w:rsidRPr="001D39EB">
        <w:rPr>
          <w:rFonts w:ascii="Times New Roman" w:hAnsi="Times New Roman"/>
          <w:noProof/>
          <w:snapToGrid w:val="0"/>
          <w:sz w:val="24"/>
          <w:szCs w:val="24"/>
          <w:lang w:val="en-US"/>
        </w:rPr>
        <w:t>–</w:t>
      </w:r>
      <w:r w:rsidRPr="001D39EB">
        <w:rPr>
          <w:rFonts w:ascii="Times New Roman" w:hAnsi="Times New Roman"/>
          <w:noProof/>
          <w:snapToGrid w:val="0"/>
          <w:sz w:val="24"/>
          <w:szCs w:val="24"/>
          <w:lang w:val="en-US"/>
        </w:rPr>
        <w:t xml:space="preserve"> 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аппарат</w:t>
      </w:r>
      <w:r w:rsidRPr="001D39EB">
        <w:rPr>
          <w:rFonts w:ascii="Times New Roman" w:hAnsi="Times New Roman"/>
          <w:noProof/>
          <w:snapToGrid w:val="0"/>
          <w:sz w:val="24"/>
          <w:szCs w:val="24"/>
          <w:lang w:val="en-US"/>
        </w:rPr>
        <w:t xml:space="preserve"> HOLOGIC Explorer QDR W Series Bone Densitometer (USA). </w:t>
      </w:r>
      <w:r w:rsidR="00491673" w:rsidRPr="004C570C">
        <w:rPr>
          <w:rFonts w:ascii="Times New Roman" w:hAnsi="Times New Roman"/>
          <w:noProof/>
          <w:snapToGrid w:val="0"/>
          <w:sz w:val="24"/>
          <w:szCs w:val="24"/>
        </w:rPr>
        <w:t>В сыворотке крови исследоввали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содержание адипоцитокин</w:t>
      </w:r>
      <w:r w:rsidR="00640A00" w:rsidRPr="004C570C">
        <w:rPr>
          <w:rFonts w:ascii="Times New Roman" w:hAnsi="Times New Roman"/>
          <w:noProof/>
          <w:snapToGrid w:val="0"/>
          <w:sz w:val="24"/>
          <w:szCs w:val="24"/>
        </w:rPr>
        <w:t>а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апелин</w:t>
      </w:r>
      <w:r w:rsidR="00640A00" w:rsidRPr="004C570C">
        <w:rPr>
          <w:rFonts w:ascii="Times New Roman" w:hAnsi="Times New Roman"/>
          <w:noProof/>
          <w:snapToGrid w:val="0"/>
          <w:sz w:val="24"/>
          <w:szCs w:val="24"/>
        </w:rPr>
        <w:t>а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-13 (иммуноферментны</w:t>
      </w:r>
      <w:r w:rsidR="00640A00" w:rsidRPr="004C570C">
        <w:rPr>
          <w:rFonts w:ascii="Times New Roman" w:hAnsi="Times New Roman"/>
          <w:noProof/>
          <w:snapToGrid w:val="0"/>
          <w:sz w:val="24"/>
          <w:szCs w:val="24"/>
        </w:rPr>
        <w:t>м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метод</w:t>
      </w:r>
      <w:r w:rsidR="00640A00" w:rsidRPr="004C570C">
        <w:rPr>
          <w:rFonts w:ascii="Times New Roman" w:hAnsi="Times New Roman"/>
          <w:noProof/>
          <w:snapToGrid w:val="0"/>
          <w:sz w:val="24"/>
          <w:szCs w:val="24"/>
        </w:rPr>
        <w:t>ом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) с использованием набора реактивов «Human» (Германия). </w:t>
      </w:r>
      <w:r w:rsidR="00491673" w:rsidRPr="004C570C">
        <w:rPr>
          <w:rFonts w:ascii="Times New Roman" w:hAnsi="Times New Roman"/>
          <w:noProof/>
          <w:snapToGrid w:val="0"/>
          <w:sz w:val="24"/>
          <w:szCs w:val="24"/>
        </w:rPr>
        <w:t>П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олиморфизм в геноме человека </w:t>
      </w:r>
      <w:r w:rsidR="00491673" w:rsidRPr="004C570C">
        <w:rPr>
          <w:rFonts w:ascii="Times New Roman" w:hAnsi="Times New Roman"/>
          <w:noProof/>
          <w:snapToGrid w:val="0"/>
          <w:sz w:val="24"/>
          <w:szCs w:val="24"/>
        </w:rPr>
        <w:t>определяли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методом полимеразной цепной реакции в режиме реального времени с пом</w:t>
      </w:r>
      <w:r w:rsidR="00640A00"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ощью набора </w:t>
      </w:r>
      <w:r w:rsidR="00640A00" w:rsidRPr="004C570C">
        <w:rPr>
          <w:rFonts w:ascii="Times New Roman" w:hAnsi="Times New Roman"/>
          <w:i/>
          <w:noProof/>
          <w:snapToGrid w:val="0"/>
          <w:sz w:val="24"/>
          <w:szCs w:val="24"/>
        </w:rPr>
        <w:t>VDR</w:t>
      </w:r>
      <w:r w:rsidR="00640A00"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</w:t>
      </w:r>
      <w:r w:rsidR="00640A00" w:rsidRPr="004C570C">
        <w:rPr>
          <w:rFonts w:ascii="Times New Roman" w:hAnsi="Times New Roman"/>
          <w:i/>
          <w:noProof/>
          <w:snapToGrid w:val="0"/>
          <w:sz w:val="24"/>
          <w:szCs w:val="24"/>
        </w:rPr>
        <w:t>(Bsml c.IVS7 G&gt;</w:t>
      </w:r>
      <w:r w:rsidRPr="004C570C">
        <w:rPr>
          <w:rFonts w:ascii="Times New Roman" w:hAnsi="Times New Roman"/>
          <w:i/>
          <w:noProof/>
          <w:snapToGrid w:val="0"/>
          <w:sz w:val="24"/>
          <w:szCs w:val="24"/>
        </w:rPr>
        <w:t>A, rs1544410)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«Мутация рецептора витамина D». Статистический анализ данных проводили с использованием компьютерного пакета прикладных программ Stata 12.1. Статистическая обработка проводилась с использованием W-критерия Шапиро-Уилки, Пирсона, а однородность дисперсий </w:t>
      </w:r>
      <w:r w:rsidR="00640A00" w:rsidRPr="004C570C">
        <w:rPr>
          <w:rFonts w:ascii="Times New Roman" w:hAnsi="Times New Roman"/>
          <w:noProof/>
          <w:snapToGrid w:val="0"/>
          <w:sz w:val="24"/>
          <w:szCs w:val="24"/>
        </w:rPr>
        <w:t>–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критерия Левена.</w:t>
      </w:r>
    </w:p>
    <w:p w:rsidR="00227B94" w:rsidRPr="004C570C" w:rsidRDefault="00227B94" w:rsidP="004C570C">
      <w:pPr>
        <w:keepNext/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outlineLvl w:val="3"/>
        <w:rPr>
          <w:rFonts w:ascii="Times New Roman" w:hAnsi="Times New Roman"/>
          <w:noProof/>
          <w:snapToGrid w:val="0"/>
          <w:sz w:val="24"/>
          <w:szCs w:val="24"/>
        </w:rPr>
      </w:pPr>
      <w:r w:rsidRPr="004C570C">
        <w:rPr>
          <w:rFonts w:ascii="Times New Roman" w:hAnsi="Times New Roman"/>
          <w:b/>
          <w:noProof/>
          <w:snapToGrid w:val="0"/>
          <w:sz w:val="24"/>
          <w:szCs w:val="24"/>
        </w:rPr>
        <w:t>Результаты и их обсуждение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. </w:t>
      </w:r>
      <w:r w:rsidR="00491673" w:rsidRPr="004C570C">
        <w:rPr>
          <w:rFonts w:ascii="Times New Roman" w:hAnsi="Times New Roman"/>
          <w:noProof/>
          <w:snapToGrid w:val="0"/>
          <w:sz w:val="24"/>
          <w:szCs w:val="24"/>
        </w:rPr>
        <w:t>Установлено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увеличение уровня адипокин</w:t>
      </w:r>
      <w:r w:rsidR="00640A00" w:rsidRPr="004C570C">
        <w:rPr>
          <w:rFonts w:ascii="Times New Roman" w:hAnsi="Times New Roman"/>
          <w:noProof/>
          <w:snapToGrid w:val="0"/>
          <w:sz w:val="24"/>
          <w:szCs w:val="24"/>
        </w:rPr>
        <w:t>а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апелин</w:t>
      </w:r>
      <w:r w:rsidR="00640A00" w:rsidRPr="004C570C">
        <w:rPr>
          <w:rFonts w:ascii="Times New Roman" w:hAnsi="Times New Roman"/>
          <w:noProof/>
          <w:snapToGrid w:val="0"/>
          <w:sz w:val="24"/>
          <w:szCs w:val="24"/>
        </w:rPr>
        <w:t>а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-13 в сыворотке крови указанных пациентов, содержание которого зависел</w:t>
      </w:r>
      <w:r w:rsidR="00640A00" w:rsidRPr="004C570C">
        <w:rPr>
          <w:rFonts w:ascii="Times New Roman" w:hAnsi="Times New Roman"/>
          <w:noProof/>
          <w:snapToGrid w:val="0"/>
          <w:sz w:val="24"/>
          <w:szCs w:val="24"/>
        </w:rPr>
        <w:t>о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от рентгенологиче</w:t>
      </w:r>
      <w:r w:rsidR="00640A00" w:rsidRPr="004C570C">
        <w:rPr>
          <w:rFonts w:ascii="Times New Roman" w:hAnsi="Times New Roman"/>
          <w:noProof/>
          <w:snapToGrid w:val="0"/>
          <w:sz w:val="24"/>
          <w:szCs w:val="24"/>
        </w:rPr>
        <w:t>ской стадии заболевания и показателей альго-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функциональной активности по индексу WOMAC и не имел</w:t>
      </w:r>
      <w:r w:rsidR="00491673" w:rsidRPr="004C570C">
        <w:rPr>
          <w:rFonts w:ascii="Times New Roman" w:hAnsi="Times New Roman"/>
          <w:noProof/>
          <w:snapToGrid w:val="0"/>
          <w:sz w:val="24"/>
          <w:szCs w:val="24"/>
        </w:rPr>
        <w:t>о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зависимости от ИМТ. </w:t>
      </w:r>
      <w:r w:rsidR="00491673" w:rsidRPr="004C570C">
        <w:rPr>
          <w:rFonts w:ascii="Times New Roman" w:hAnsi="Times New Roman"/>
          <w:noProof/>
          <w:snapToGrid w:val="0"/>
          <w:sz w:val="24"/>
          <w:szCs w:val="24"/>
        </w:rPr>
        <w:t>Показано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, что подавляющее большинство пациентов молодого возраста с ОА </w:t>
      </w:r>
      <w:r w:rsidR="00FD3619"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и 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избыточным весом или ожирением имел</w:t>
      </w:r>
      <w:r w:rsidR="00491673" w:rsidRPr="004C570C">
        <w:rPr>
          <w:rFonts w:ascii="Times New Roman" w:hAnsi="Times New Roman"/>
          <w:noProof/>
          <w:snapToGrid w:val="0"/>
          <w:sz w:val="24"/>
          <w:szCs w:val="24"/>
        </w:rPr>
        <w:t>о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неблагоприятный </w:t>
      </w:r>
      <w:r w:rsidR="0018565C">
        <w:rPr>
          <w:rFonts w:ascii="Times New Roman" w:hAnsi="Times New Roman"/>
          <w:noProof/>
          <w:snapToGrid w:val="0"/>
          <w:sz w:val="24"/>
          <w:szCs w:val="24"/>
        </w:rPr>
        <w:t>вариант</w:t>
      </w:r>
      <w:r w:rsidR="00491673"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генотип</w:t>
      </w:r>
      <w:r w:rsidR="00FD3619" w:rsidRPr="004C570C">
        <w:rPr>
          <w:rFonts w:ascii="Times New Roman" w:hAnsi="Times New Roman"/>
          <w:noProof/>
          <w:snapToGrid w:val="0"/>
          <w:sz w:val="24"/>
          <w:szCs w:val="24"/>
        </w:rPr>
        <w:t>а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</w:t>
      </w:r>
      <w:r w:rsidR="0018565C">
        <w:rPr>
          <w:rFonts w:ascii="Times New Roman" w:hAnsi="Times New Roman"/>
          <w:noProof/>
          <w:snapToGrid w:val="0"/>
          <w:sz w:val="24"/>
          <w:szCs w:val="24"/>
        </w:rPr>
        <w:t xml:space="preserve">ВВ 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гена рецептор</w:t>
      </w:r>
      <w:r w:rsidR="0018565C">
        <w:rPr>
          <w:rFonts w:ascii="Times New Roman" w:hAnsi="Times New Roman"/>
          <w:noProof/>
          <w:snapToGrid w:val="0"/>
          <w:sz w:val="24"/>
          <w:szCs w:val="24"/>
        </w:rPr>
        <w:t>а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витамина D. При его наличии диагностировано более тяжелые рентгенологические стадии заболевания, развитие остеопенических состояний и увеличение содержания апелин</w:t>
      </w:r>
      <w:r w:rsidR="00C20D5F" w:rsidRPr="004C570C">
        <w:rPr>
          <w:rFonts w:ascii="Times New Roman" w:hAnsi="Times New Roman"/>
          <w:noProof/>
          <w:snapToGrid w:val="0"/>
          <w:sz w:val="24"/>
          <w:szCs w:val="24"/>
        </w:rPr>
        <w:t>а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.</w:t>
      </w:r>
    </w:p>
    <w:p w:rsidR="00227B94" w:rsidRPr="004C570C" w:rsidRDefault="00227B94" w:rsidP="004C570C">
      <w:pPr>
        <w:keepNext/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outlineLvl w:val="3"/>
        <w:rPr>
          <w:rFonts w:ascii="Times New Roman" w:hAnsi="Times New Roman"/>
          <w:noProof/>
          <w:snapToGrid w:val="0"/>
          <w:sz w:val="24"/>
          <w:szCs w:val="24"/>
        </w:rPr>
      </w:pPr>
      <w:r w:rsidRPr="004C570C">
        <w:rPr>
          <w:rFonts w:ascii="Times New Roman" w:hAnsi="Times New Roman"/>
          <w:b/>
          <w:noProof/>
          <w:snapToGrid w:val="0"/>
          <w:sz w:val="24"/>
          <w:szCs w:val="24"/>
        </w:rPr>
        <w:t>Выводы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. Среди пациентов с остеоартрозом и ожирение</w:t>
      </w:r>
      <w:r w:rsidR="00FD3619" w:rsidRPr="004C570C">
        <w:rPr>
          <w:rFonts w:ascii="Times New Roman" w:hAnsi="Times New Roman"/>
          <w:noProof/>
          <w:snapToGrid w:val="0"/>
          <w:sz w:val="24"/>
          <w:szCs w:val="24"/>
        </w:rPr>
        <w:t>м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довольно часто (45,8%) </w:t>
      </w:r>
      <w:r w:rsidR="00FD3619" w:rsidRPr="004C570C">
        <w:rPr>
          <w:rFonts w:ascii="Times New Roman" w:hAnsi="Times New Roman"/>
          <w:noProof/>
          <w:snapToGrid w:val="0"/>
          <w:sz w:val="24"/>
          <w:szCs w:val="24"/>
        </w:rPr>
        <w:t>относительно группы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контроля (11,5%) встречается неблагоприятный </w:t>
      </w:r>
      <w:r w:rsidR="00B867E5">
        <w:rPr>
          <w:rFonts w:ascii="Times New Roman" w:hAnsi="Times New Roman"/>
          <w:noProof/>
          <w:snapToGrid w:val="0"/>
          <w:sz w:val="24"/>
          <w:szCs w:val="24"/>
          <w:lang w:val="uk-UA"/>
        </w:rPr>
        <w:t xml:space="preserve">вариант генотипа 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ВВ мутации G63980A гена рецептора витамина D (</w:t>
      </w:r>
      <w:r w:rsidRPr="00444D41">
        <w:rPr>
          <w:rFonts w:ascii="Times New Roman" w:hAnsi="Times New Roman"/>
          <w:i/>
          <w:noProof/>
          <w:snapToGrid w:val="0"/>
          <w:sz w:val="24"/>
          <w:szCs w:val="24"/>
        </w:rPr>
        <w:t>VDR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), что подтверждается рентгенологическим прогрессированием поражения суставов и формированием остеопенических состояний (75,9%). Течение остеоартроза у лиц молодого возраста с избыточным весом или ожирением происходит на фоне повышения уров</w:t>
      </w:r>
      <w:r w:rsidR="00FD3619" w:rsidRPr="004C570C">
        <w:rPr>
          <w:rFonts w:ascii="Times New Roman" w:hAnsi="Times New Roman"/>
          <w:noProof/>
          <w:snapToGrid w:val="0"/>
          <w:sz w:val="24"/>
          <w:szCs w:val="24"/>
        </w:rPr>
        <w:t>ня адипоцитокина апелина-13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, сод</w:t>
      </w:r>
      <w:r w:rsidR="00FD3619" w:rsidRPr="004C570C">
        <w:rPr>
          <w:rFonts w:ascii="Times New Roman" w:hAnsi="Times New Roman"/>
          <w:noProof/>
          <w:snapToGrid w:val="0"/>
          <w:sz w:val="24"/>
          <w:szCs w:val="24"/>
        </w:rPr>
        <w:t>ержание которого</w:t>
      </w:r>
      <w:r w:rsidR="00DE16A0"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изменяется при различных</w:t>
      </w:r>
      <w:r w:rsidR="00FD3619"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 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 xml:space="preserve">полиморфных вариантах гена </w:t>
      </w:r>
      <w:r w:rsidRPr="004C570C">
        <w:rPr>
          <w:rFonts w:ascii="Times New Roman" w:hAnsi="Times New Roman"/>
          <w:i/>
          <w:noProof/>
          <w:snapToGrid w:val="0"/>
          <w:sz w:val="24"/>
          <w:szCs w:val="24"/>
        </w:rPr>
        <w:t>VDR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, не зависит от степени ожирения, но имеет зависимость от рентгенологической стадии заболевания.</w:t>
      </w:r>
    </w:p>
    <w:p w:rsidR="00282FA7" w:rsidRPr="00B867E5" w:rsidRDefault="00227B94" w:rsidP="004C570C">
      <w:pPr>
        <w:keepNext/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outlineLvl w:val="3"/>
        <w:rPr>
          <w:rFonts w:ascii="Times New Roman" w:hAnsi="Times New Roman"/>
          <w:noProof/>
          <w:snapToGrid w:val="0"/>
          <w:sz w:val="24"/>
          <w:szCs w:val="24"/>
          <w:lang w:val="uk-UA"/>
        </w:rPr>
      </w:pPr>
      <w:r w:rsidRPr="004C570C">
        <w:rPr>
          <w:rFonts w:ascii="Times New Roman" w:hAnsi="Times New Roman"/>
          <w:b/>
          <w:noProof/>
          <w:snapToGrid w:val="0"/>
          <w:sz w:val="24"/>
          <w:szCs w:val="24"/>
        </w:rPr>
        <w:t>Ключевые слова</w:t>
      </w:r>
      <w:r w:rsidRPr="004C570C">
        <w:rPr>
          <w:rFonts w:ascii="Times New Roman" w:hAnsi="Times New Roman"/>
          <w:noProof/>
          <w:snapToGrid w:val="0"/>
          <w:sz w:val="24"/>
          <w:szCs w:val="24"/>
        </w:rPr>
        <w:t>: остеоартроз, апелин, ген рецепторов витамина D, остеопороз</w:t>
      </w:r>
      <w:r w:rsidR="00B867E5">
        <w:rPr>
          <w:rFonts w:ascii="Times New Roman" w:hAnsi="Times New Roman"/>
          <w:noProof/>
          <w:snapToGrid w:val="0"/>
          <w:sz w:val="24"/>
          <w:szCs w:val="24"/>
          <w:lang w:val="uk-UA"/>
        </w:rPr>
        <w:t>.</w:t>
      </w:r>
    </w:p>
    <w:p w:rsidR="004C570C" w:rsidRPr="004C570C" w:rsidRDefault="004C570C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D0A" w:rsidRPr="001D39EB" w:rsidRDefault="00691E96" w:rsidP="004C570C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en-US"/>
        </w:rPr>
      </w:pPr>
      <w:r w:rsidRPr="004C570C">
        <w:rPr>
          <w:rFonts w:ascii="Times New Roman" w:hAnsi="Times New Roman" w:cs="Times New Roman"/>
          <w:b/>
          <w:sz w:val="24"/>
          <w:szCs w:val="24"/>
          <w:lang w:val="en-US"/>
        </w:rPr>
        <w:t>L. Pasiyeshvili, K. Tereshkin</w:t>
      </w:r>
    </w:p>
    <w:p w:rsidR="004C570C" w:rsidRPr="001D39EB" w:rsidRDefault="004C570C" w:rsidP="004C570C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en-US"/>
        </w:rPr>
      </w:pPr>
    </w:p>
    <w:p w:rsidR="004C570C" w:rsidRPr="001D39EB" w:rsidRDefault="004C570C" w:rsidP="004C570C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en-US"/>
        </w:rPr>
      </w:pPr>
    </w:p>
    <w:p w:rsidR="007A7D0A" w:rsidRPr="004C570C" w:rsidRDefault="0045618A" w:rsidP="004C570C">
      <w:pPr>
        <w:spacing w:line="240" w:lineRule="auto"/>
        <w:jc w:val="center"/>
        <w:rPr>
          <w:rFonts w:ascii="Times New Roman" w:hAnsi="Times New Roman" w:cs="Times New Roman"/>
          <w:b/>
          <w:sz w:val="4"/>
          <w:szCs w:val="4"/>
          <w:lang w:val="en-US"/>
        </w:rPr>
      </w:pPr>
      <w:r w:rsidRPr="004C570C">
        <w:rPr>
          <w:rFonts w:ascii="Times New Roman" w:hAnsi="Times New Roman" w:cs="Times New Roman"/>
          <w:b/>
          <w:sz w:val="24"/>
          <w:szCs w:val="24"/>
          <w:lang w:val="en-US"/>
        </w:rPr>
        <w:t>PROGREDIENTALITY</w:t>
      </w:r>
      <w:r w:rsidRPr="001D39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7D0A" w:rsidRPr="004C57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OSTEOPENIC SYNDROME </w:t>
      </w:r>
      <w:r w:rsidRPr="004C57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COURSE </w:t>
      </w:r>
      <w:r w:rsidR="007A7D0A" w:rsidRPr="004C57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PATIENTS WITH COMORBIDITY </w:t>
      </w:r>
      <w:proofErr w:type="gramStart"/>
      <w:r w:rsidR="007A7D0A" w:rsidRPr="004C570C">
        <w:rPr>
          <w:rFonts w:ascii="Times New Roman" w:hAnsi="Times New Roman" w:cs="Times New Roman"/>
          <w:b/>
          <w:sz w:val="24"/>
          <w:szCs w:val="24"/>
          <w:lang w:val="en-US"/>
        </w:rPr>
        <w:t>OSTEOARTHR</w:t>
      </w:r>
      <w:r w:rsidR="005667A4" w:rsidRPr="004C570C">
        <w:rPr>
          <w:rFonts w:ascii="Times New Roman" w:hAnsi="Times New Roman" w:cs="Times New Roman"/>
          <w:b/>
          <w:sz w:val="24"/>
          <w:szCs w:val="24"/>
          <w:lang w:val="en-US"/>
        </w:rPr>
        <w:t>ITIS</w:t>
      </w:r>
      <w:r w:rsidR="007A7D0A" w:rsidRPr="004C57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AND</w:t>
      </w:r>
      <w:proofErr w:type="gramEnd"/>
      <w:r w:rsidR="007A7D0A" w:rsidRPr="004C57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OBESITY</w:t>
      </w:r>
      <w:r w:rsidR="007A7D0A" w:rsidRPr="004C570C">
        <w:rPr>
          <w:rFonts w:ascii="Times New Roman" w:hAnsi="Times New Roman" w:cs="Times New Roman"/>
          <w:sz w:val="24"/>
          <w:szCs w:val="24"/>
          <w:lang w:val="en-US"/>
        </w:rPr>
        <w:br/>
        <w:t>Kharkiv National Medical University</w:t>
      </w:r>
    </w:p>
    <w:p w:rsidR="007A7D0A" w:rsidRPr="004C570C" w:rsidRDefault="007A7D0A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7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Objective: </w:t>
      </w:r>
      <w:r w:rsidRPr="004C570C">
        <w:rPr>
          <w:rFonts w:ascii="Times New Roman" w:hAnsi="Times New Roman" w:cs="Times New Roman"/>
          <w:sz w:val="24"/>
          <w:szCs w:val="24"/>
          <w:lang w:val="en-US"/>
        </w:rPr>
        <w:t xml:space="preserve">determination of the influence of hormonal activity of adipose tissue and polymorphism of </w:t>
      </w:r>
      <w:r w:rsidRPr="0018565C">
        <w:rPr>
          <w:rFonts w:ascii="Times New Roman" w:hAnsi="Times New Roman" w:cs="Times New Roman"/>
          <w:i/>
          <w:sz w:val="24"/>
          <w:szCs w:val="24"/>
          <w:lang w:val="en-US"/>
        </w:rPr>
        <w:t>Bsml c.IVS7 G&gt;A, rs1544410</w:t>
      </w:r>
      <w:r w:rsidRPr="004C570C">
        <w:rPr>
          <w:rFonts w:ascii="Times New Roman" w:hAnsi="Times New Roman" w:cs="Times New Roman"/>
          <w:sz w:val="24"/>
          <w:szCs w:val="24"/>
          <w:lang w:val="en-US"/>
        </w:rPr>
        <w:t xml:space="preserve"> gene of vitamin D receptors </w:t>
      </w:r>
      <w:r w:rsidRPr="001D39E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1D39EB">
        <w:rPr>
          <w:rFonts w:ascii="Times New Roman" w:hAnsi="Times New Roman" w:cs="Times New Roman"/>
          <w:i/>
          <w:sz w:val="24"/>
          <w:szCs w:val="24"/>
          <w:lang w:val="en-US"/>
        </w:rPr>
        <w:t>VDR</w:t>
      </w:r>
      <w:r w:rsidRPr="001D39E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C570C">
        <w:rPr>
          <w:rFonts w:ascii="Times New Roman" w:hAnsi="Times New Roman" w:cs="Times New Roman"/>
          <w:sz w:val="24"/>
          <w:szCs w:val="24"/>
          <w:lang w:val="en-US"/>
        </w:rPr>
        <w:t xml:space="preserve"> on the formation of osteopenic conditions in young people with osteoarthr</w:t>
      </w:r>
      <w:r w:rsidR="005667A4" w:rsidRPr="004C570C">
        <w:rPr>
          <w:rFonts w:ascii="Times New Roman" w:hAnsi="Times New Roman" w:cs="Times New Roman"/>
          <w:sz w:val="24"/>
          <w:szCs w:val="24"/>
          <w:lang w:val="en-US"/>
        </w:rPr>
        <w:t>itis</w:t>
      </w:r>
      <w:r w:rsidRPr="004C570C">
        <w:rPr>
          <w:rFonts w:ascii="Times New Roman" w:hAnsi="Times New Roman" w:cs="Times New Roman"/>
          <w:sz w:val="24"/>
          <w:szCs w:val="24"/>
          <w:lang w:val="en-US"/>
        </w:rPr>
        <w:t xml:space="preserve"> (OA) and obesity.</w:t>
      </w:r>
    </w:p>
    <w:p w:rsidR="007A7D0A" w:rsidRPr="004C570C" w:rsidRDefault="007A7D0A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70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Materials and methods: </w:t>
      </w:r>
      <w:r w:rsidRPr="004C570C">
        <w:rPr>
          <w:rFonts w:ascii="Times New Roman" w:hAnsi="Times New Roman" w:cs="Times New Roman"/>
          <w:sz w:val="24"/>
          <w:szCs w:val="24"/>
          <w:lang w:val="en-US"/>
        </w:rPr>
        <w:t xml:space="preserve">96 young age patients (up to 45 years) with cumulative course of OA and obesity and 34 patients without obesity were examined. The anthropometric </w:t>
      </w:r>
      <w:proofErr w:type="gramStart"/>
      <w:r w:rsidRPr="004C570C">
        <w:rPr>
          <w:rFonts w:ascii="Times New Roman" w:hAnsi="Times New Roman" w:cs="Times New Roman"/>
          <w:sz w:val="24"/>
          <w:szCs w:val="24"/>
          <w:lang w:val="en-US"/>
        </w:rPr>
        <w:t>criteria of obesity was</w:t>
      </w:r>
      <w:proofErr w:type="gramEnd"/>
      <w:r w:rsidRPr="004C570C">
        <w:rPr>
          <w:rFonts w:ascii="Times New Roman" w:hAnsi="Times New Roman" w:cs="Times New Roman"/>
          <w:sz w:val="24"/>
          <w:szCs w:val="24"/>
          <w:lang w:val="en-US"/>
        </w:rPr>
        <w:t xml:space="preserve"> the Quetelet index or the body mass index (BMI).  Evaluation of the functional state of the musculoskeletal system and analysis of the algo functional activity parameters were performed using a test questionnaire WOMAC. </w:t>
      </w:r>
      <w:proofErr w:type="gramStart"/>
      <w:r w:rsidRPr="004C570C">
        <w:rPr>
          <w:rFonts w:ascii="Times New Roman" w:hAnsi="Times New Roman" w:cs="Times New Roman"/>
          <w:sz w:val="24"/>
          <w:szCs w:val="24"/>
          <w:lang w:val="en-US"/>
        </w:rPr>
        <w:t>Measurements of mineral density of the bone was</w:t>
      </w:r>
      <w:proofErr w:type="gramEnd"/>
      <w:r w:rsidRPr="004C570C">
        <w:rPr>
          <w:rFonts w:ascii="Times New Roman" w:hAnsi="Times New Roman" w:cs="Times New Roman"/>
          <w:sz w:val="24"/>
          <w:szCs w:val="24"/>
          <w:lang w:val="en-US"/>
        </w:rPr>
        <w:t xml:space="preserve"> performed using dual-energy x-ray absorptiometry (DEXA), which was performed on the HOLOGIC Explorer QDR W Series Bone Densitometer </w:t>
      </w:r>
      <w:r w:rsidRPr="001D39EB">
        <w:rPr>
          <w:rFonts w:ascii="Times New Roman" w:hAnsi="Times New Roman" w:cs="Times New Roman"/>
          <w:sz w:val="24"/>
          <w:szCs w:val="24"/>
          <w:lang w:val="en-US"/>
        </w:rPr>
        <w:t>(USA).</w:t>
      </w:r>
      <w:r w:rsidRPr="004C570C">
        <w:rPr>
          <w:rFonts w:ascii="Times New Roman" w:hAnsi="Times New Roman" w:cs="Times New Roman"/>
          <w:sz w:val="24"/>
          <w:szCs w:val="24"/>
          <w:lang w:val="en-US"/>
        </w:rPr>
        <w:t xml:space="preserve"> The adipocytokine content of Apelin-13 in the blood serum was determined (by an immunoenzyme method) using a set of reagents «Human»</w:t>
      </w:r>
      <w:r w:rsidR="00AE289D" w:rsidRPr="004C5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570C">
        <w:rPr>
          <w:rFonts w:ascii="Times New Roman" w:hAnsi="Times New Roman" w:cs="Times New Roman"/>
          <w:sz w:val="24"/>
          <w:szCs w:val="24"/>
          <w:lang w:val="en-US"/>
        </w:rPr>
        <w:t xml:space="preserve">(Germany). The determination of polymorphism in the human genome was carried out by polymerase chain reaction in real time using a set of </w:t>
      </w:r>
      <w:r w:rsidRPr="001D39EB">
        <w:rPr>
          <w:rFonts w:ascii="Times New Roman" w:hAnsi="Times New Roman" w:cs="Times New Roman"/>
          <w:i/>
          <w:sz w:val="24"/>
          <w:szCs w:val="24"/>
          <w:lang w:val="en-US"/>
        </w:rPr>
        <w:t>VDR</w:t>
      </w:r>
      <w:r w:rsidRPr="001D39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39EB">
        <w:rPr>
          <w:rFonts w:ascii="Times New Roman" w:hAnsi="Times New Roman" w:cs="Times New Roman"/>
          <w:i/>
          <w:sz w:val="24"/>
          <w:szCs w:val="24"/>
          <w:lang w:val="en-US"/>
        </w:rPr>
        <w:t>(Bsml c.IVS7 G&gt;A, rs1544410)</w:t>
      </w:r>
      <w:r w:rsidRPr="004C57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«Mut</w:t>
      </w:r>
      <w:r w:rsidR="00AE289D" w:rsidRPr="004C570C">
        <w:rPr>
          <w:rFonts w:ascii="Times New Roman" w:hAnsi="Times New Roman" w:cs="Times New Roman"/>
          <w:i/>
          <w:sz w:val="24"/>
          <w:szCs w:val="24"/>
          <w:lang w:val="en-US"/>
        </w:rPr>
        <w:t>ation of the vitamin D receptor</w:t>
      </w:r>
      <w:r w:rsidRPr="004C57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». </w:t>
      </w:r>
      <w:r w:rsidRPr="004C570C">
        <w:rPr>
          <w:rFonts w:ascii="Times New Roman" w:hAnsi="Times New Roman" w:cs="Times New Roman"/>
          <w:sz w:val="24"/>
          <w:szCs w:val="24"/>
          <w:lang w:val="en-US"/>
        </w:rPr>
        <w:t xml:space="preserve">The statistical analysis of data was carried out using a computer package of Stata 12.1 application programs. Statistical processing was carried out using the Shapiro-Wilkie W-test, Pearson, and the homogeneity of variances-the Leven criterion. </w:t>
      </w:r>
    </w:p>
    <w:p w:rsidR="007A7D0A" w:rsidRPr="004C570C" w:rsidRDefault="007A7D0A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70C">
        <w:rPr>
          <w:rFonts w:ascii="Times New Roman" w:hAnsi="Times New Roman" w:cs="Times New Roman"/>
          <w:b/>
          <w:sz w:val="24"/>
          <w:szCs w:val="24"/>
          <w:lang w:val="en-US"/>
        </w:rPr>
        <w:t>Results and its discussion:</w:t>
      </w:r>
      <w:r w:rsidRPr="004C570C">
        <w:rPr>
          <w:rFonts w:ascii="Times New Roman" w:hAnsi="Times New Roman" w:cs="Times New Roman"/>
          <w:sz w:val="24"/>
          <w:szCs w:val="24"/>
          <w:lang w:val="en-US"/>
        </w:rPr>
        <w:t xml:space="preserve"> An increase in the adipokine level of Apellin-13 in the blood serum of these patients was determined, the content of which depended on the x-ray stage of the disease and on the indices of algo-functional activity according to the WOMAC index and did not depend on BMI. It is also found that the vast majority of young patients with a sufficient number of deaths and deaths.</w:t>
      </w:r>
    </w:p>
    <w:p w:rsidR="007A7D0A" w:rsidRPr="004C570C" w:rsidRDefault="007A7D0A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7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Conclusions: </w:t>
      </w:r>
      <w:r w:rsidRPr="004C570C">
        <w:rPr>
          <w:rFonts w:ascii="Times New Roman" w:hAnsi="Times New Roman" w:cs="Times New Roman"/>
          <w:sz w:val="24"/>
          <w:szCs w:val="24"/>
          <w:lang w:val="en-US"/>
        </w:rPr>
        <w:t>Among patients with osteoarthr</w:t>
      </w:r>
      <w:r w:rsidR="005667A4" w:rsidRPr="004C570C">
        <w:rPr>
          <w:rFonts w:ascii="Times New Roman" w:hAnsi="Times New Roman" w:cs="Times New Roman"/>
          <w:sz w:val="24"/>
          <w:szCs w:val="24"/>
          <w:lang w:val="en-US"/>
        </w:rPr>
        <w:t>itis</w:t>
      </w:r>
      <w:r w:rsidRPr="004C570C">
        <w:rPr>
          <w:rFonts w:ascii="Times New Roman" w:hAnsi="Times New Roman" w:cs="Times New Roman"/>
          <w:sz w:val="24"/>
          <w:szCs w:val="24"/>
          <w:lang w:val="en-US"/>
        </w:rPr>
        <w:t xml:space="preserve"> and obesity, an unfavorable </w:t>
      </w:r>
      <w:r w:rsidR="00B867E5" w:rsidRPr="004C570C">
        <w:rPr>
          <w:rFonts w:ascii="Times New Roman" w:hAnsi="Times New Roman" w:cs="Times New Roman"/>
          <w:sz w:val="24"/>
          <w:szCs w:val="24"/>
          <w:lang w:val="en-US"/>
        </w:rPr>
        <w:t>polymorphic variant</w:t>
      </w:r>
      <w:r w:rsidR="00B867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67E5">
        <w:rPr>
          <w:rFonts w:ascii="Times New Roman" w:hAnsi="Times New Roman" w:cs="Times New Roman"/>
          <w:sz w:val="24"/>
          <w:szCs w:val="24"/>
          <w:lang w:val="en-US"/>
        </w:rPr>
        <w:t xml:space="preserve">of genotype </w:t>
      </w:r>
      <w:r w:rsidRPr="004C570C">
        <w:rPr>
          <w:rFonts w:ascii="Times New Roman" w:hAnsi="Times New Roman" w:cs="Times New Roman"/>
          <w:sz w:val="24"/>
          <w:szCs w:val="24"/>
          <w:lang w:val="en-US"/>
        </w:rPr>
        <w:t>BB is found quite often (45</w:t>
      </w:r>
      <w:r w:rsidR="00AE289D" w:rsidRPr="004C57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570C">
        <w:rPr>
          <w:rFonts w:ascii="Times New Roman" w:hAnsi="Times New Roman" w:cs="Times New Roman"/>
          <w:sz w:val="24"/>
          <w:szCs w:val="24"/>
          <w:lang w:val="en-US"/>
        </w:rPr>
        <w:t>8%) relative to the control group (11</w:t>
      </w:r>
      <w:r w:rsidR="00AE289D" w:rsidRPr="004C57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570C">
        <w:rPr>
          <w:rFonts w:ascii="Times New Roman" w:hAnsi="Times New Roman" w:cs="Times New Roman"/>
          <w:sz w:val="24"/>
          <w:szCs w:val="24"/>
          <w:lang w:val="en-US"/>
        </w:rPr>
        <w:t>5%), the content of which differs depending on the polymorphic variants of the gene of the G63980A mutant of the vitamin D receptor gene (</w:t>
      </w:r>
      <w:r w:rsidRPr="004C570C">
        <w:rPr>
          <w:rFonts w:ascii="Times New Roman" w:hAnsi="Times New Roman" w:cs="Times New Roman"/>
          <w:i/>
          <w:sz w:val="24"/>
          <w:szCs w:val="24"/>
          <w:lang w:val="en-US"/>
        </w:rPr>
        <w:t>VDR</w:t>
      </w:r>
      <w:r w:rsidRPr="004C570C">
        <w:rPr>
          <w:rFonts w:ascii="Times New Roman" w:hAnsi="Times New Roman" w:cs="Times New Roman"/>
          <w:sz w:val="24"/>
          <w:szCs w:val="24"/>
          <w:lang w:val="en-US"/>
        </w:rPr>
        <w:t>), which is confirmed in such patients expressive radiological progression of joint damage and the formation of osteopenic conditions (75</w:t>
      </w:r>
      <w:r w:rsidR="00AE289D" w:rsidRPr="004C570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570C">
        <w:rPr>
          <w:rFonts w:ascii="Times New Roman" w:hAnsi="Times New Roman" w:cs="Times New Roman"/>
          <w:sz w:val="24"/>
          <w:szCs w:val="24"/>
          <w:lang w:val="en-US"/>
        </w:rPr>
        <w:t>9%). The course of osteoarthritis in young adults with overweight or obesity occurs against the background of an increas</w:t>
      </w:r>
      <w:r w:rsidR="00AE289D" w:rsidRPr="004C570C">
        <w:rPr>
          <w:rFonts w:ascii="Times New Roman" w:hAnsi="Times New Roman" w:cs="Times New Roman"/>
          <w:sz w:val="24"/>
          <w:szCs w:val="24"/>
          <w:lang w:val="en-US"/>
        </w:rPr>
        <w:t>e in the level of adipocytokine</w:t>
      </w:r>
      <w:r w:rsidRPr="004C570C">
        <w:rPr>
          <w:rFonts w:ascii="Times New Roman" w:hAnsi="Times New Roman" w:cs="Times New Roman"/>
          <w:sz w:val="24"/>
          <w:szCs w:val="24"/>
          <w:lang w:val="en-US"/>
        </w:rPr>
        <w:t xml:space="preserve"> apelin-</w:t>
      </w:r>
      <w:proofErr w:type="gramStart"/>
      <w:r w:rsidRPr="004C570C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AE289D" w:rsidRPr="004C570C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AE289D" w:rsidRPr="004C57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570C">
        <w:rPr>
          <w:rFonts w:ascii="Times New Roman" w:hAnsi="Times New Roman" w:cs="Times New Roman"/>
          <w:i/>
          <w:sz w:val="24"/>
          <w:szCs w:val="24"/>
          <w:lang w:val="en-US"/>
        </w:rPr>
        <w:t>VDR</w:t>
      </w:r>
      <w:r w:rsidRPr="004C570C">
        <w:rPr>
          <w:rFonts w:ascii="Times New Roman" w:hAnsi="Times New Roman" w:cs="Times New Roman"/>
          <w:sz w:val="24"/>
          <w:szCs w:val="24"/>
          <w:lang w:val="en-US"/>
        </w:rPr>
        <w:t xml:space="preserve"> does not depend on the degree of obesity, but has a dependence on the x-ray stage of the disease.</w:t>
      </w:r>
    </w:p>
    <w:p w:rsidR="007A7D0A" w:rsidRPr="004C570C" w:rsidRDefault="007A7D0A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70C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4C570C">
        <w:rPr>
          <w:rFonts w:ascii="Times New Roman" w:hAnsi="Times New Roman" w:cs="Times New Roman"/>
          <w:sz w:val="24"/>
          <w:szCs w:val="24"/>
          <w:lang w:val="en-US"/>
        </w:rPr>
        <w:t>: osteoarthr</w:t>
      </w:r>
      <w:r w:rsidR="005667A4" w:rsidRPr="004C570C">
        <w:rPr>
          <w:rFonts w:ascii="Times New Roman" w:hAnsi="Times New Roman" w:cs="Times New Roman"/>
          <w:sz w:val="24"/>
          <w:szCs w:val="24"/>
          <w:lang w:val="en-US"/>
        </w:rPr>
        <w:t>itis</w:t>
      </w:r>
      <w:r w:rsidRPr="004C570C">
        <w:rPr>
          <w:rFonts w:ascii="Times New Roman" w:hAnsi="Times New Roman" w:cs="Times New Roman"/>
          <w:sz w:val="24"/>
          <w:szCs w:val="24"/>
          <w:lang w:val="en-US"/>
        </w:rPr>
        <w:t>, apelin, vitamin D receptor gene, osteoporosis</w:t>
      </w:r>
      <w:r w:rsidR="005667A4" w:rsidRPr="004C57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7D0A" w:rsidRPr="004C570C" w:rsidRDefault="007A7D0A" w:rsidP="004C570C">
      <w:pPr>
        <w:spacing w:line="240" w:lineRule="auto"/>
        <w:jc w:val="both"/>
        <w:rPr>
          <w:b/>
          <w:sz w:val="24"/>
          <w:szCs w:val="24"/>
          <w:lang w:val="en-US"/>
        </w:rPr>
      </w:pPr>
    </w:p>
    <w:p w:rsidR="00107A48" w:rsidRPr="004C570C" w:rsidRDefault="00107A48" w:rsidP="004C5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07A48" w:rsidRPr="004C570C" w:rsidSect="002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AAF"/>
    <w:multiLevelType w:val="hybridMultilevel"/>
    <w:tmpl w:val="7A00F6CA"/>
    <w:lvl w:ilvl="0" w:tplc="31BC5D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EE"/>
    <w:rsid w:val="0004713E"/>
    <w:rsid w:val="000673D2"/>
    <w:rsid w:val="00092F2B"/>
    <w:rsid w:val="000A73C8"/>
    <w:rsid w:val="000C67DC"/>
    <w:rsid w:val="000E3897"/>
    <w:rsid w:val="00107A48"/>
    <w:rsid w:val="00113F51"/>
    <w:rsid w:val="00117738"/>
    <w:rsid w:val="0016461A"/>
    <w:rsid w:val="0018565C"/>
    <w:rsid w:val="001A3555"/>
    <w:rsid w:val="001A3F2A"/>
    <w:rsid w:val="001B4278"/>
    <w:rsid w:val="001D39EB"/>
    <w:rsid w:val="001D4612"/>
    <w:rsid w:val="001E03A7"/>
    <w:rsid w:val="00216E5A"/>
    <w:rsid w:val="0021793B"/>
    <w:rsid w:val="00227B94"/>
    <w:rsid w:val="00282FA7"/>
    <w:rsid w:val="00284084"/>
    <w:rsid w:val="002A0FA4"/>
    <w:rsid w:val="002B0103"/>
    <w:rsid w:val="002B636B"/>
    <w:rsid w:val="002C2154"/>
    <w:rsid w:val="002D5BB1"/>
    <w:rsid w:val="003060EE"/>
    <w:rsid w:val="003155D2"/>
    <w:rsid w:val="00330BF2"/>
    <w:rsid w:val="003420E9"/>
    <w:rsid w:val="00343363"/>
    <w:rsid w:val="00345CDF"/>
    <w:rsid w:val="00384B6A"/>
    <w:rsid w:val="003A39AF"/>
    <w:rsid w:val="004354EC"/>
    <w:rsid w:val="00435F6D"/>
    <w:rsid w:val="00444D41"/>
    <w:rsid w:val="004500AE"/>
    <w:rsid w:val="0045618A"/>
    <w:rsid w:val="00484B44"/>
    <w:rsid w:val="00487ED0"/>
    <w:rsid w:val="00491673"/>
    <w:rsid w:val="004965FD"/>
    <w:rsid w:val="004B17F3"/>
    <w:rsid w:val="004C570C"/>
    <w:rsid w:val="004D5081"/>
    <w:rsid w:val="00511D12"/>
    <w:rsid w:val="005122A9"/>
    <w:rsid w:val="00525D48"/>
    <w:rsid w:val="00526F5B"/>
    <w:rsid w:val="005667A4"/>
    <w:rsid w:val="00581504"/>
    <w:rsid w:val="00584C6C"/>
    <w:rsid w:val="005C33DF"/>
    <w:rsid w:val="005C7FB6"/>
    <w:rsid w:val="005E32DE"/>
    <w:rsid w:val="005E5D5C"/>
    <w:rsid w:val="00640A00"/>
    <w:rsid w:val="0066330B"/>
    <w:rsid w:val="00665EBF"/>
    <w:rsid w:val="00677049"/>
    <w:rsid w:val="00691E96"/>
    <w:rsid w:val="006E4EB0"/>
    <w:rsid w:val="006F0F6F"/>
    <w:rsid w:val="00703AE4"/>
    <w:rsid w:val="00712D67"/>
    <w:rsid w:val="00734736"/>
    <w:rsid w:val="00742862"/>
    <w:rsid w:val="007954E3"/>
    <w:rsid w:val="007A75D4"/>
    <w:rsid w:val="007A7D0A"/>
    <w:rsid w:val="007B75C8"/>
    <w:rsid w:val="007E0BCA"/>
    <w:rsid w:val="00806FFB"/>
    <w:rsid w:val="00815890"/>
    <w:rsid w:val="00866F84"/>
    <w:rsid w:val="00895424"/>
    <w:rsid w:val="008A01A7"/>
    <w:rsid w:val="00907F83"/>
    <w:rsid w:val="009563DF"/>
    <w:rsid w:val="0097736E"/>
    <w:rsid w:val="009828C5"/>
    <w:rsid w:val="009830EA"/>
    <w:rsid w:val="00983A03"/>
    <w:rsid w:val="009C44AD"/>
    <w:rsid w:val="009C522A"/>
    <w:rsid w:val="009E6043"/>
    <w:rsid w:val="00A11EB9"/>
    <w:rsid w:val="00A26A82"/>
    <w:rsid w:val="00A835EE"/>
    <w:rsid w:val="00AA5DB1"/>
    <w:rsid w:val="00AC51C3"/>
    <w:rsid w:val="00AC7DA4"/>
    <w:rsid w:val="00AE289D"/>
    <w:rsid w:val="00B137D9"/>
    <w:rsid w:val="00B20313"/>
    <w:rsid w:val="00B20FE1"/>
    <w:rsid w:val="00B24627"/>
    <w:rsid w:val="00B2778E"/>
    <w:rsid w:val="00B45156"/>
    <w:rsid w:val="00B56BC3"/>
    <w:rsid w:val="00B57669"/>
    <w:rsid w:val="00B6294E"/>
    <w:rsid w:val="00B63139"/>
    <w:rsid w:val="00B867E5"/>
    <w:rsid w:val="00BB7817"/>
    <w:rsid w:val="00BC7CCB"/>
    <w:rsid w:val="00BE01DA"/>
    <w:rsid w:val="00C07B74"/>
    <w:rsid w:val="00C20D5F"/>
    <w:rsid w:val="00C26B3E"/>
    <w:rsid w:val="00C5650E"/>
    <w:rsid w:val="00C57439"/>
    <w:rsid w:val="00CA52A7"/>
    <w:rsid w:val="00CB0D37"/>
    <w:rsid w:val="00CC0285"/>
    <w:rsid w:val="00CD1011"/>
    <w:rsid w:val="00CE2154"/>
    <w:rsid w:val="00D004D0"/>
    <w:rsid w:val="00D0616D"/>
    <w:rsid w:val="00D14DF3"/>
    <w:rsid w:val="00D515E5"/>
    <w:rsid w:val="00D536EA"/>
    <w:rsid w:val="00D648A0"/>
    <w:rsid w:val="00D77B6F"/>
    <w:rsid w:val="00D9795B"/>
    <w:rsid w:val="00DA3DE0"/>
    <w:rsid w:val="00DA3E22"/>
    <w:rsid w:val="00DD634B"/>
    <w:rsid w:val="00DE16A0"/>
    <w:rsid w:val="00E168B7"/>
    <w:rsid w:val="00E27C28"/>
    <w:rsid w:val="00E34C37"/>
    <w:rsid w:val="00E74181"/>
    <w:rsid w:val="00EA017C"/>
    <w:rsid w:val="00EA1F2A"/>
    <w:rsid w:val="00EB46F5"/>
    <w:rsid w:val="00EB7408"/>
    <w:rsid w:val="00EC3154"/>
    <w:rsid w:val="00EE0A78"/>
    <w:rsid w:val="00EE2642"/>
    <w:rsid w:val="00EE7A6F"/>
    <w:rsid w:val="00F00088"/>
    <w:rsid w:val="00F41AE8"/>
    <w:rsid w:val="00F44B66"/>
    <w:rsid w:val="00F76DC0"/>
    <w:rsid w:val="00FD3619"/>
    <w:rsid w:val="00FD495D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D48"/>
    <w:rPr>
      <w:rFonts w:ascii="Tahoma" w:hAnsi="Tahoma" w:cs="Tahoma"/>
      <w:sz w:val="16"/>
      <w:szCs w:val="16"/>
      <w:lang w:val="uk-UA"/>
    </w:rPr>
  </w:style>
  <w:style w:type="character" w:styleId="a5">
    <w:name w:val="Subtle Emphasis"/>
    <w:basedOn w:val="a0"/>
    <w:uiPriority w:val="19"/>
    <w:qFormat/>
    <w:rsid w:val="00435F6D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00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Intense Emphasis"/>
    <w:basedOn w:val="a0"/>
    <w:uiPriority w:val="21"/>
    <w:qFormat/>
    <w:rsid w:val="00AA5DB1"/>
    <w:rPr>
      <w:b/>
      <w:bCs/>
      <w:i/>
      <w:iCs/>
      <w:color w:val="4F81BD" w:themeColor="accent1"/>
    </w:rPr>
  </w:style>
  <w:style w:type="character" w:customStyle="1" w:styleId="normaltextrunscx133561867">
    <w:name w:val="normaltextrun scx133561867"/>
    <w:uiPriority w:val="99"/>
    <w:rsid w:val="00B63139"/>
    <w:rPr>
      <w:rFonts w:cs="Times New Roman"/>
    </w:rPr>
  </w:style>
  <w:style w:type="paragraph" w:styleId="a8">
    <w:name w:val="List Paragraph"/>
    <w:basedOn w:val="a"/>
    <w:uiPriority w:val="99"/>
    <w:qFormat/>
    <w:rsid w:val="002C215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D48"/>
    <w:rPr>
      <w:rFonts w:ascii="Tahoma" w:hAnsi="Tahoma" w:cs="Tahoma"/>
      <w:sz w:val="16"/>
      <w:szCs w:val="16"/>
      <w:lang w:val="uk-UA"/>
    </w:rPr>
  </w:style>
  <w:style w:type="character" w:styleId="a5">
    <w:name w:val="Subtle Emphasis"/>
    <w:basedOn w:val="a0"/>
    <w:uiPriority w:val="19"/>
    <w:qFormat/>
    <w:rsid w:val="00435F6D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F00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Intense Emphasis"/>
    <w:basedOn w:val="a0"/>
    <w:uiPriority w:val="21"/>
    <w:qFormat/>
    <w:rsid w:val="00AA5DB1"/>
    <w:rPr>
      <w:b/>
      <w:bCs/>
      <w:i/>
      <w:iCs/>
      <w:color w:val="4F81BD" w:themeColor="accent1"/>
    </w:rPr>
  </w:style>
  <w:style w:type="character" w:customStyle="1" w:styleId="normaltextrunscx133561867">
    <w:name w:val="normaltextrun scx133561867"/>
    <w:uiPriority w:val="99"/>
    <w:rsid w:val="00B63139"/>
    <w:rPr>
      <w:rFonts w:cs="Times New Roman"/>
    </w:rPr>
  </w:style>
  <w:style w:type="paragraph" w:styleId="a8">
    <w:name w:val="List Paragraph"/>
    <w:basedOn w:val="a"/>
    <w:uiPriority w:val="99"/>
    <w:qFormat/>
    <w:rsid w:val="002C215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Yang%20M%5BAuthor%5D&amp;cauthor=true&amp;cauthor_uid=26136886" TargetMode="External"/><Relationship Id="rId13" Type="http://schemas.openxmlformats.org/officeDocument/2006/relationships/hyperlink" Target="http://www.ncbi.nlm.nih.gov/pubmed/?term=Muraki%20S%5BAuthor%5D&amp;cauthor=true&amp;cauthor_uid=21884812" TargetMode="External"/><Relationship Id="rId18" Type="http://schemas.openxmlformats.org/officeDocument/2006/relationships/hyperlink" Target="http://www.ncbi.nlm.nih.gov/pubmed/?term=Blom%20AB%5BAuthor%5D&amp;cauthor=true&amp;cauthor_uid=1730550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hyperlink" Target="http://www.ncbi.nlm.nih.gov/pubmed/26136886" TargetMode="External"/><Relationship Id="rId17" Type="http://schemas.openxmlformats.org/officeDocument/2006/relationships/hyperlink" Target="http://www.ncbi.nlm.nih.gov/pubmed/218848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Jameson%20K%5BAuthor%5D&amp;cauthor=true&amp;cauthor_uid=21884812" TargetMode="External"/><Relationship Id="rId20" Type="http://schemas.openxmlformats.org/officeDocument/2006/relationships/hyperlink" Target="http://www.ncbi.nlm.nih.gov/pubmed/?term=van%20der%20Kraan%20PM%5BAuthor%5D&amp;cauthor=true&amp;cauthor_uid=1730550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ncbi.nlm.nih.gov/pubmed/?term=Gan%20H%5BAuthor%5D&amp;cauthor=true&amp;cauthor_uid=261368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Dennison%20E%5BAuthor%5D&amp;cauthor=true&amp;cauthor_uid=21884812" TargetMode="External"/><Relationship Id="rId10" Type="http://schemas.openxmlformats.org/officeDocument/2006/relationships/hyperlink" Target="http://www.ncbi.nlm.nih.gov/pubmed/?term=Yang%20BO%5BAuthor%5D&amp;cauthor=true&amp;cauthor_uid=26136886" TargetMode="External"/><Relationship Id="rId19" Type="http://schemas.openxmlformats.org/officeDocument/2006/relationships/hyperlink" Target="http://www.ncbi.nlm.nih.gov/pubmed/?term=Blom%20AB%5BAuthor%5D&amp;cauthor=true&amp;cauthor_uid=173055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Yang%20M%5BAuthor%5D&amp;cauthor=true&amp;cauthor_uid=26136886" TargetMode="External"/><Relationship Id="rId14" Type="http://schemas.openxmlformats.org/officeDocument/2006/relationships/hyperlink" Target="http://www.ncbi.nlm.nih.gov/pubmed/?term=Muraki%20S%5BAuthor%5D&amp;cauthor=true&amp;cauthor_uid=218848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4</cp:revision>
  <dcterms:created xsi:type="dcterms:W3CDTF">2018-10-01T12:46:00Z</dcterms:created>
  <dcterms:modified xsi:type="dcterms:W3CDTF">2018-10-01T13:05:00Z</dcterms:modified>
</cp:coreProperties>
</file>