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8" w:rsidRDefault="001B4FA3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0E1">
        <w:rPr>
          <w:rFonts w:ascii="Times New Roman" w:hAnsi="Times New Roman" w:cs="Times New Roman"/>
          <w:sz w:val="24"/>
          <w:szCs w:val="24"/>
        </w:rPr>
        <w:t>УДК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8B8" w:rsidRPr="00A258B8">
        <w:rPr>
          <w:rFonts w:ascii="Times New Roman" w:hAnsi="Times New Roman" w:cs="Times New Roman"/>
          <w:sz w:val="24"/>
          <w:szCs w:val="24"/>
        </w:rPr>
        <w:t>[616</w:t>
      </w:r>
      <w:r w:rsidR="00A258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58B8" w:rsidRPr="00A258B8">
        <w:rPr>
          <w:rFonts w:ascii="Times New Roman" w:hAnsi="Times New Roman" w:cs="Times New Roman"/>
          <w:sz w:val="24"/>
          <w:szCs w:val="24"/>
        </w:rPr>
        <w:t>314</w:t>
      </w:r>
      <w:r w:rsidR="00A258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58B8" w:rsidRPr="00A258B8">
        <w:rPr>
          <w:rFonts w:ascii="Times New Roman" w:hAnsi="Times New Roman" w:cs="Times New Roman"/>
          <w:sz w:val="24"/>
          <w:szCs w:val="24"/>
        </w:rPr>
        <w:t>17</w:t>
      </w:r>
      <w:r w:rsidR="00A258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258B8" w:rsidRPr="00A258B8">
        <w:rPr>
          <w:rFonts w:ascii="Times New Roman" w:hAnsi="Times New Roman" w:cs="Times New Roman"/>
          <w:sz w:val="24"/>
          <w:szCs w:val="24"/>
        </w:rPr>
        <w:t>616</w:t>
      </w:r>
      <w:r w:rsidR="00A258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58B8" w:rsidRPr="00A258B8">
        <w:rPr>
          <w:rFonts w:ascii="Times New Roman" w:hAnsi="Times New Roman" w:cs="Times New Roman"/>
          <w:sz w:val="24"/>
          <w:szCs w:val="24"/>
        </w:rPr>
        <w:t>313]</w:t>
      </w:r>
      <w:r w:rsidR="00A258B8">
        <w:rPr>
          <w:rFonts w:ascii="Times New Roman" w:hAnsi="Times New Roman" w:cs="Times New Roman"/>
          <w:sz w:val="24"/>
          <w:szCs w:val="24"/>
          <w:lang w:val="uk-UA"/>
        </w:rPr>
        <w:t xml:space="preserve"> – 002 – 078:619.995.1</w:t>
      </w:r>
    </w:p>
    <w:p w:rsidR="001B4FA3" w:rsidRPr="004230E1" w:rsidRDefault="00A258B8" w:rsidP="00A258B8">
      <w:pPr>
        <w:spacing w:after="0" w:line="360" w:lineRule="auto"/>
        <w:ind w:left="5097" w:firstLine="127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1B4FA3" w:rsidRPr="004230E1">
        <w:rPr>
          <w:rFonts w:ascii="Times New Roman" w:hAnsi="Times New Roman" w:cs="Times New Roman"/>
          <w:sz w:val="24"/>
          <w:szCs w:val="24"/>
          <w:lang w:val="uk-UA"/>
        </w:rPr>
        <w:t>М. Савєльєва</w:t>
      </w:r>
    </w:p>
    <w:p w:rsidR="00CA2FB7" w:rsidRDefault="001B4FA3" w:rsidP="002C4DD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0E1">
        <w:rPr>
          <w:rFonts w:ascii="Times New Roman" w:hAnsi="Times New Roman" w:cs="Times New Roman"/>
          <w:b/>
          <w:sz w:val="24"/>
          <w:szCs w:val="24"/>
          <w:lang w:val="uk-UA"/>
        </w:rPr>
        <w:t>Вплив паразитарних інвазій на с</w:t>
      </w:r>
      <w:r w:rsidR="00CA2FB7" w:rsidRPr="00423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тан </w:t>
      </w:r>
      <w:r w:rsidRPr="004230E1">
        <w:rPr>
          <w:rFonts w:ascii="Times New Roman" w:hAnsi="Times New Roman" w:cs="Times New Roman"/>
          <w:b/>
          <w:sz w:val="24"/>
          <w:szCs w:val="24"/>
          <w:lang w:val="uk-UA"/>
        </w:rPr>
        <w:t>тканин пародонта і слизової оболонки ротової порожнини</w:t>
      </w:r>
    </w:p>
    <w:p w:rsidR="00562DDA" w:rsidRPr="00F368B9" w:rsidRDefault="00720503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503">
        <w:rPr>
          <w:rFonts w:ascii="Times New Roman" w:hAnsi="Times New Roman" w:cs="Times New Roman"/>
          <w:sz w:val="24"/>
          <w:szCs w:val="24"/>
          <w:lang w:val="uk-UA"/>
        </w:rPr>
        <w:t>Була вивчена поширеність хронічн</w:t>
      </w:r>
      <w:r w:rsidR="00562DD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20503">
        <w:rPr>
          <w:rFonts w:ascii="Times New Roman" w:hAnsi="Times New Roman" w:cs="Times New Roman"/>
          <w:sz w:val="24"/>
          <w:szCs w:val="24"/>
          <w:lang w:val="uk-UA"/>
        </w:rPr>
        <w:t xml:space="preserve"> генералізован</w:t>
      </w:r>
      <w:r w:rsidR="00562DDA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720503">
        <w:rPr>
          <w:rFonts w:ascii="Times New Roman" w:hAnsi="Times New Roman" w:cs="Times New Roman"/>
          <w:sz w:val="24"/>
          <w:szCs w:val="24"/>
          <w:lang w:val="uk-UA"/>
        </w:rPr>
        <w:t>пародонтит</w:t>
      </w:r>
      <w:r w:rsidR="00562D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368B9">
        <w:rPr>
          <w:rFonts w:ascii="Times New Roman" w:hAnsi="Times New Roman" w:cs="Times New Roman"/>
          <w:sz w:val="24"/>
          <w:szCs w:val="24"/>
          <w:lang w:val="uk-UA"/>
        </w:rPr>
        <w:t xml:space="preserve"> (ХГП) I-II ст. </w:t>
      </w:r>
      <w:r w:rsidRPr="00720503">
        <w:rPr>
          <w:rFonts w:ascii="Times New Roman" w:hAnsi="Times New Roman" w:cs="Times New Roman"/>
          <w:sz w:val="24"/>
          <w:szCs w:val="24"/>
          <w:lang w:val="uk-UA"/>
        </w:rPr>
        <w:t>тяжкості</w:t>
      </w:r>
      <w:r w:rsidR="00562DDA">
        <w:rPr>
          <w:rFonts w:ascii="Times New Roman" w:hAnsi="Times New Roman" w:cs="Times New Roman"/>
          <w:sz w:val="24"/>
          <w:szCs w:val="24"/>
          <w:lang w:val="uk-UA"/>
        </w:rPr>
        <w:t xml:space="preserve"> та захворювань </w:t>
      </w:r>
      <w:r w:rsidR="00562DDA" w:rsidRPr="00F368B9">
        <w:rPr>
          <w:rFonts w:ascii="Times New Roman" w:hAnsi="Times New Roman" w:cs="Times New Roman"/>
          <w:sz w:val="24"/>
          <w:szCs w:val="24"/>
          <w:lang w:val="uk-UA"/>
        </w:rPr>
        <w:t>слизової оболонки ротової порожнини</w:t>
      </w:r>
      <w:r w:rsid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DDA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у пацієнтів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на тлі паразитарних інвазій (ентеробіоз</w:t>
      </w:r>
      <w:r w:rsidR="002C71F3" w:rsidRPr="00F36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, токсокароз</w:t>
      </w:r>
      <w:r w:rsidR="002C71F3" w:rsidRPr="00F36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, лямбліоз</w:t>
      </w:r>
      <w:r w:rsidR="002C71F3" w:rsidRPr="00F36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). Отримані результати свідчать про високу частоту </w:t>
      </w:r>
      <w:r w:rsidR="00562DDA" w:rsidRPr="00F368B9">
        <w:rPr>
          <w:rFonts w:ascii="Times New Roman" w:hAnsi="Times New Roman" w:cs="Times New Roman"/>
          <w:sz w:val="24"/>
          <w:szCs w:val="24"/>
          <w:lang w:val="uk-UA"/>
        </w:rPr>
        <w:t>зустрічаємості ХГП,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десквамативного глосита і глосодініі у ці</w:t>
      </w:r>
      <w:r w:rsidR="003A35C6" w:rsidRPr="00F368B9">
        <w:rPr>
          <w:rFonts w:ascii="Times New Roman" w:hAnsi="Times New Roman" w:cs="Times New Roman"/>
          <w:sz w:val="24"/>
          <w:szCs w:val="24"/>
          <w:lang w:val="uk-UA"/>
        </w:rPr>
        <w:t>єї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хворих.</w:t>
      </w:r>
    </w:p>
    <w:p w:rsidR="00720503" w:rsidRPr="00F368B9" w:rsidRDefault="00720503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Ключові слова: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хронічний генералізований пародонт</w:t>
      </w:r>
      <w:r w:rsidR="0056590E" w:rsidRPr="00F368B9">
        <w:rPr>
          <w:rFonts w:ascii="Times New Roman" w:hAnsi="Times New Roman" w:cs="Times New Roman"/>
          <w:sz w:val="24"/>
          <w:szCs w:val="24"/>
          <w:lang w:val="uk-UA"/>
        </w:rPr>
        <w:t>ит, десквамативний глосит, глосодінія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, паразитарні інвазії, токсокароз, лямбліоз, ентеробіоз.</w:t>
      </w:r>
    </w:p>
    <w:p w:rsidR="0056590E" w:rsidRPr="00F368B9" w:rsidRDefault="0056590E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Незважаючи на сучасні тенденції вдосконалення методів діагностики і лікування, впровадження новітніх медичних технологій, на жаль, на сьогоднішній день суттєвого зниження стоматологічної захворюваності серед дорослого населення України не спостерігається</w:t>
      </w:r>
      <w:r w:rsidR="00D365B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[1]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Як відомо, розвиток стоматологічної патології не є ізольованим локальним процесом. Він узгоджується із загальним соматичним статусом людини, завдяки складним регулюючим, координуючим і корелюючим механізмам, за участю нейрогуморальних чинників до встановлення фізіологічного балансу і динамічної рівноваги процесів життєдіяльності, що забезпечує гомеостаз.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Саме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інтегральний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підхід до визначення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стану організму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хворого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який розглядає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його як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цілісну живу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систему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дозволив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нам встановити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причину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малоуспішного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іноді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безуспішного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лікування захворювань пародонту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за загальноприйнятою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традиційною схемою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у певної категорії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побачивши її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 негативному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впливі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гельмінтозоонозів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людину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68B9" w:rsidRPr="00F368B9" w:rsidRDefault="00CA2FB7" w:rsidP="00F368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Паразитарні захворювання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XXI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столітті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залишаються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одними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з найчастіших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видів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патології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і являють собою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медико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-соціальну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проблему.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Крамарьов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С.О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вказує, що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щорічний показник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гельмінтізаціі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Україні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складає більше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тисячі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випадків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на 100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8B9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тис. населення [2]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патогенез паразитозів уявляється складним динамічним процесом, при якому пошкодження, що виникають під їх впливом, запускають складний каскад. різноманітних реакцій, здатних призводити до функціональних і морфологічних порушень у тканинах та органах.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Відомо, що при паразитарних захворюваннях формується вторинний імунодефіцит</w:t>
      </w:r>
      <w:r w:rsidR="00361488"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1488" w:rsidRPr="00F368B9">
        <w:rPr>
          <w:rFonts w:ascii="Times New Roman" w:hAnsi="Times New Roman" w:cs="Times New Roman"/>
          <w:bCs/>
          <w:sz w:val="24"/>
          <w:szCs w:val="24"/>
        </w:rPr>
        <w:t>[</w:t>
      </w:r>
      <w:r w:rsidR="00361488" w:rsidRPr="00F368B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56590E" w:rsidRPr="00F368B9">
        <w:rPr>
          <w:rFonts w:ascii="Times New Roman" w:hAnsi="Times New Roman" w:cs="Times New Roman"/>
          <w:bCs/>
          <w:sz w:val="24"/>
          <w:szCs w:val="24"/>
          <w:lang w:val="uk-UA"/>
        </w:rPr>
        <w:t>, с. 169</w:t>
      </w:r>
      <w:r w:rsidR="00361488" w:rsidRPr="00F368B9">
        <w:rPr>
          <w:rFonts w:ascii="Times New Roman" w:hAnsi="Times New Roman" w:cs="Times New Roman"/>
          <w:bCs/>
          <w:sz w:val="24"/>
          <w:szCs w:val="24"/>
        </w:rPr>
        <w:t>]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має велике значення як для всього організму в цілому, так і зокрема для 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стану пародонту</w:t>
      </w:r>
      <w:r w:rsidR="003A35C6"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слизової оболонки порожнини рота</w:t>
      </w:r>
      <w:r w:rsidR="003A35C6" w:rsidRPr="00F368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Анатомо-фізіологічна спільність органів порожнини рота і травного тракту (саме він у більшості випадків схильний до патологічної дії паразитів), створює передумови до залучення органів порожнини рота до патологічного процесу при захворюваннях і інвазіях кишкового тракту.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В ході досліджень,</w:t>
      </w:r>
      <w:r w:rsidR="00361488"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 проводилися кафедрою стоматології ХНМУ спільно з кафедрою паразитарних и тропічних захворювань ХМАПО було встановлено, що при паразитарних захворюваннях органи і тканини порожнини рота не залишаються </w:t>
      </w:r>
      <w:r w:rsidRPr="00F368B9">
        <w:rPr>
          <w:rFonts w:ascii="Times New Roman" w:hAnsi="Times New Roman" w:cs="Times New Roman"/>
          <w:bCs/>
          <w:sz w:val="24"/>
          <w:szCs w:val="24"/>
        </w:rPr>
        <w:t>сторонніми, а залучаються до загального патологічного процесу.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8B9">
        <w:rPr>
          <w:rFonts w:ascii="Times New Roman" w:hAnsi="Times New Roman" w:cs="Times New Roman"/>
          <w:bCs/>
          <w:sz w:val="24"/>
          <w:szCs w:val="24"/>
        </w:rPr>
        <w:t>У інвазованих відмічається наявність кровоточивості і хворобливості ясен, слинотечі, болі в жувальних м'язах і язиці, явища галітозу, глосити, бруксизм, хейліти з тріщинами, заїди, лущення пероральної зони, рецидивуючі стоматити тощо.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Нами було обстежено 630 хворих. Основну групу склали 540 пацієнтів, що страждають хронічним генералізованим пародонтитом (ХГП), який перебігає на тлі паразитарної інвазії.</w:t>
      </w:r>
      <w:r w:rsidRPr="00F368B9">
        <w:rPr>
          <w:sz w:val="24"/>
          <w:szCs w:val="24"/>
          <w:lang w:val="uk-UA"/>
        </w:rPr>
        <w:t xml:space="preserve"> 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Хворі були розподілені по окремим групам: по 180 осіб з ентеробіозом, з токсокарозом, з лямбліозом. Групу порівняння склали 90 осіб з ХГП без паразитарної інвазії (2 група). У основну і групу порівняння були включені пацієнти з ХГП </w:t>
      </w:r>
      <w:r w:rsidRPr="00F368B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</w:t>
      </w:r>
      <w:r w:rsidRPr="00F368B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ступеня</w:t>
      </w:r>
      <w:r w:rsidR="00361488"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ми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тяжкості захворювання. 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Контрольну групу склали 30 осіб без патології пародонту і хронічної патології інших органів і систем, які на період обстеження вважа</w:t>
      </w:r>
      <w:r w:rsidR="00361488"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лись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практично здоровими.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</w:rPr>
        <w:t>З метою виключення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множинності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патології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в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досліджені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групи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включалися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особи віком</w:t>
      </w: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bCs/>
          <w:sz w:val="24"/>
          <w:szCs w:val="24"/>
        </w:rPr>
        <w:t>20-40 років.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Пацієнтам було проведено комплексне обстеження, яке включало клінічні, мікробіологічні та імунологічні методи діагностики.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При вивченні стоматологічного статусу хворих на лямбліоз, токсокароз та ентеробіоз було встановлено, що такі ознаки захворювань пародонту, як кровоточивість ясен, висота рецесії ясен, глибина пародонтальних кишень, </w:t>
      </w:r>
      <w:r w:rsidR="00361488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рівень втрати епітеліального прикріплення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, індекси OHI - S (Green - Vermillion), SBI (Muhlemann), РМА, PI (Russels) у хворих першої групи з паразитозами достовірно відрізня</w:t>
      </w:r>
      <w:r w:rsidR="006C374F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ю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ться у бік зростання від хворих 2 групи без паразитозів., як у пацієнтів з І</w:t>
      </w:r>
      <w:r w:rsidR="00482998"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ст. тяжкості, так і з ІІ ступенем тяжкості. 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Style w:val="hps"/>
          <w:rFonts w:ascii="Times New Roman" w:hAnsi="Times New Roman" w:cs="Times New Roman"/>
          <w:sz w:val="24"/>
          <w:szCs w:val="24"/>
          <w:lang w:val="uk-UA"/>
        </w:rPr>
        <w:t>Все це вказує на більш тяжкий перебіг запального процесу у тканинах пародонту у хворих з паразитозами, ніж у хворих без паразитарної інвазії.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Вивчення мікрофлори пародонтальних кишень хворих на ХГП з паразитозами показало, що вона представлена безліччю видів, що відносяться до різних таксономічних груп. У хворих на ХГП з паразитозами в порівнянні з хворими ХГП без паразитозів висівалися у більшому відсотку випадків патогенна і умовно-патогенна мікрофлора, яка містилася в значно більшій кількості, а мікробні асоціації включали більше число мікробів. Звертає увагу, що у хворих на ХГП </w:t>
      </w:r>
      <w:r w:rsidR="00482998" w:rsidRPr="00F368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482998" w:rsidRPr="00F368B9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ступенів тяжкості з паразитозами в порівнянні з хворими на ХГП без паразитозів значно у більшого числа хворих вилучались анаеробні грамнегативні бактерії, які відносяться або до патогенних, або до умовно-патогенних штамів. </w:t>
      </w:r>
    </w:p>
    <w:p w:rsidR="00CA2FB7" w:rsidRPr="00F368B9" w:rsidRDefault="00CA2FB7" w:rsidP="001B4FA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Отримані дані вказують на те, що запальний процес в пародонті у осіб з паразитозами супроводжується збільшенням видової кількості мікроорганізмів у пародонтальних кишенях аж до появи 7-компонентних асоціацій. Такий мікробний склад, на нашу думку, є чинником посилення запальних процесів в пародонті, змін</w:t>
      </w:r>
      <w:r w:rsidR="002460CD" w:rsidRPr="00F368B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функціональних і антигенних властивостей тканин пародонту, а також чинником модуляції місцевих і системних імунних реакцій. </w:t>
      </w:r>
    </w:p>
    <w:p w:rsidR="00CA2FB7" w:rsidRPr="00F368B9" w:rsidRDefault="00CA2FB7" w:rsidP="001B4FA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Проведені дослідження показали, що розвиток ХГП у осіб з паразитозами і осіб без паразитарної інвазії відбувається на тлі зниження місцевого і системного імунітету</w:t>
      </w:r>
      <w:r w:rsidR="003A35C6" w:rsidRPr="00F36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7192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2FB7" w:rsidRPr="00F368B9" w:rsidRDefault="003A35C6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A2FB7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яжкість перебігу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стоматологічного </w:t>
      </w:r>
      <w:r w:rsidR="00CA2FB7" w:rsidRPr="00F368B9">
        <w:rPr>
          <w:rFonts w:ascii="Times New Roman" w:hAnsi="Times New Roman" w:cs="Times New Roman"/>
          <w:sz w:val="24"/>
          <w:szCs w:val="24"/>
          <w:lang w:val="uk-UA"/>
        </w:rPr>
        <w:t>тісно корелює з вмістом у ротовому секреті sIgA, лізоциму, аф</w:t>
      </w:r>
      <w:r w:rsidR="002460CD" w:rsidRPr="00F368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2FB7" w:rsidRPr="00F368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21654" w:rsidRPr="00F368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A2FB7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істю антимікробних IgG-антитіл, фагоцитарною і біоцидною активністю лейкоцитів крові. </w:t>
      </w:r>
    </w:p>
    <w:p w:rsidR="00CA2FB7" w:rsidRPr="00F368B9" w:rsidRDefault="00237192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В ході досліджень було доведено,що с</w:t>
      </w:r>
      <w:r w:rsidR="00CA2FB7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тупінь імунних розладів у місцевому і системному імунітеті у хворих на ХГП з паразитозами глибше, ніж у хворих на ХГП без паразитозів, і торкається зміни більшої кількості імунних параметрів. </w:t>
      </w:r>
    </w:p>
    <w:p w:rsidR="00CA2FB7" w:rsidRPr="00F368B9" w:rsidRDefault="00CA2FB7" w:rsidP="00CA2FB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bCs/>
          <w:sz w:val="24"/>
          <w:szCs w:val="24"/>
          <w:lang w:val="uk-UA"/>
        </w:rPr>
        <w:t>Проведені нами дослідження показали, що паразитарні інвазії ентеробіоз, токсокароз, лямбліоз як найбільш поширені гельмінтози в Україні, є чинником, який сприяє розвитку генералізованого пародонтиту і обтяжує його течію, надає пародонтиту прогресуючий характер, сприяють розвитку пародонтиту у молодому віці (20-30 років).</w:t>
      </w:r>
    </w:p>
    <w:p w:rsidR="00CA2FB7" w:rsidRPr="00F368B9" w:rsidRDefault="00CA2FB7" w:rsidP="00CA2F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Клінічний огляд хворих на ХГП І і ІІ ст. тяжкості</w:t>
      </w:r>
      <w:r w:rsidR="00237192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з паразитозами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виявив також </w:t>
      </w:r>
      <w:r w:rsidR="00237192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237192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у них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змін у зовнішньому вигляді язика: ерозії, тріщини, виразки, ділянки ураження, які змінюють форм</w:t>
      </w:r>
      <w:r w:rsidR="00237192" w:rsidRPr="00F36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і місце розташування, відбитки зубів на боковій поверхні язика, складчастість язика, наліт (різного забарвлення і щільності). </w:t>
      </w:r>
    </w:p>
    <w:p w:rsidR="00CA2FB7" w:rsidRPr="00F368B9" w:rsidRDefault="00CA2FB7" w:rsidP="00CA2F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При опитуванні хворих було встановлено, що у них є скарги щодо больових і неприродніх відчуттів в язиці, печіння язика, фібрилярні посмикування язика, повзання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мурашок по язику, відчуття волосся на язиці, поколювання, оніміння, поява свербежу в язиці, сухості в роті, парестезії. </w:t>
      </w:r>
    </w:p>
    <w:p w:rsidR="00CA2FB7" w:rsidRPr="00F368B9" w:rsidRDefault="00CA2FB7" w:rsidP="00CA2F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Проведені дослідження показали, що у 46% (251 </w:t>
      </w:r>
      <w:r w:rsidR="00B734D9" w:rsidRPr="00F368B9">
        <w:rPr>
          <w:rFonts w:ascii="Times New Roman" w:hAnsi="Times New Roman" w:cs="Times New Roman"/>
          <w:sz w:val="24"/>
          <w:szCs w:val="24"/>
          <w:lang w:val="uk-UA"/>
        </w:rPr>
        <w:t>хворий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 обтяжених хронічним генералізованим пародонтитом на тлі паразитарних хвороб, відзначалися захворювання язика: десквамативний глосит, ромбоподібний глосит, складчастий язик,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</w:t>
      </w:r>
      <w:r w:rsidR="002E20DA" w:rsidRPr="00F368B9">
        <w:rPr>
          <w:rFonts w:ascii="Times New Roman" w:hAnsi="Times New Roman" w:cs="Times New Roman"/>
          <w:sz w:val="24"/>
          <w:szCs w:val="24"/>
          <w:lang w:val="uk-UA"/>
        </w:rPr>
        <w:t>одінія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тоді як в осіб без паразитозів ці захворювання склали 41% (23 </w:t>
      </w:r>
      <w:r w:rsidR="00B734D9" w:rsidRPr="00F368B9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D670F6" w:rsidRPr="00F368B9" w:rsidRDefault="00CA2FB7" w:rsidP="00D670F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Найбільшого поширення у хворих ХГП з паразитозами набули десквамативн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ий глосит </w:t>
      </w:r>
      <w:r w:rsidR="00DE1255" w:rsidRPr="00F368B9">
        <w:rPr>
          <w:rFonts w:ascii="Times New Roman" w:hAnsi="Times New Roman" w:cs="Times New Roman"/>
          <w:sz w:val="24"/>
          <w:szCs w:val="24"/>
        </w:rPr>
        <w:t>–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125 </w:t>
      </w:r>
      <w:r w:rsidR="00B734D9" w:rsidRPr="00F368B9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(23%) </w:t>
      </w:r>
      <w:r w:rsidR="00D670F6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глосодінія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255" w:rsidRPr="00F368B9">
        <w:rPr>
          <w:rFonts w:ascii="Times New Roman" w:hAnsi="Times New Roman" w:cs="Times New Roman"/>
          <w:sz w:val="24"/>
          <w:szCs w:val="24"/>
        </w:rPr>
        <w:t>–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B734D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(14%). </w:t>
      </w:r>
      <w:r w:rsidR="00D670F6" w:rsidRPr="00F368B9">
        <w:rPr>
          <w:rFonts w:ascii="Times New Roman" w:hAnsi="Times New Roman" w:cs="Times New Roman"/>
          <w:sz w:val="24"/>
          <w:szCs w:val="24"/>
          <w:lang w:val="uk-UA"/>
        </w:rPr>
        <w:t>Дос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татньо </w:t>
      </w:r>
      <w:r w:rsidR="00D670F6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показовим є те,що після проведеної антипаразитарної терапії у значного відсотка хворих на десквамативний глосит (63%)</w:t>
      </w:r>
      <w:r w:rsidR="00A8027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F6" w:rsidRPr="00F368B9">
        <w:rPr>
          <w:rFonts w:ascii="Times New Roman" w:hAnsi="Times New Roman" w:cs="Times New Roman"/>
          <w:sz w:val="24"/>
          <w:szCs w:val="24"/>
          <w:lang w:val="uk-UA"/>
        </w:rPr>
        <w:t>ознаки стоматологічної патології</w:t>
      </w:r>
      <w:r w:rsidR="00A80279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поступово</w:t>
      </w:r>
      <w:r w:rsidR="00D670F6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зникли,що дозволяє  говорити про безумовний зв'язок між захворюванням язика і паразитозами, на який, до речі, вказують Данилевський Н.Ф., Банченко Г.В., Цвєткова-Оксамит Л.А. [4-6] зазначаючи, що у виникненні десквамативного глоситу чимала роль відводиться глистяній інвазії.</w:t>
      </w:r>
    </w:p>
    <w:p w:rsidR="00CA2FB7" w:rsidRPr="00F368B9" w:rsidRDefault="00CA2FB7" w:rsidP="00CA2FB7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Наші дослідження показали, що значний відсоток у захворюваності язика у хворих на ХГП с паразитозами має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одінія, що супроводжується болем, часом нестерпним</w:t>
      </w:r>
      <w:r w:rsidR="00A9272B" w:rsidRPr="00F368B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, неприємними відчуттями в різних ділянках язика, а іноді і всієї слизової оболонки порожнини рота без наявних місцевих змін. Частота поширення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содіні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у хворих ХГП з паразитозами склала 14% (74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), при цьому, у хворих ХГП з ентеробіозом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14% (25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), токсокарозом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11% (20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), лямбліоз</w:t>
      </w:r>
      <w:r w:rsidR="00F368B9" w:rsidRPr="00F368B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16% (29</w:t>
      </w:r>
      <w:r w:rsidR="00482998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80279" w:rsidRPr="00F368B9" w:rsidRDefault="00CA2FB7" w:rsidP="00CA2FB7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Так само як і десквамативний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глосит, гло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содінія мала найбільшу зустрічальність у хворих ХГП з лямб</w:t>
      </w:r>
      <w:r w:rsidR="00482998" w:rsidRPr="00F368B9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озною інвазією.</w:t>
      </w:r>
    </w:p>
    <w:p w:rsidR="00CA2FB7" w:rsidRPr="00F368B9" w:rsidRDefault="00CA2FB7" w:rsidP="00CA2FB7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До теперішнього часу питання етіології, патогенезу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одінії залишаються недостатньо вивченими.</w:t>
      </w:r>
      <w:r w:rsidR="00DE1255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Цікаво, що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6C2" w:rsidRPr="00F368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ричину виникнення даного захворювання дехто з вчених </w:t>
      </w:r>
      <w:r w:rsidR="0053403D"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[4; 7-8] </w:t>
      </w:r>
      <w:r w:rsidR="00A80279" w:rsidRPr="00F368B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бач</w:t>
      </w:r>
      <w:r w:rsidR="00A80279" w:rsidRPr="00F368B9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>, в тому числі, і в наявності гельмінтної інвазії в організмі хворого.</w:t>
      </w:r>
    </w:p>
    <w:p w:rsidR="00CA2FB7" w:rsidRPr="00F368B9" w:rsidRDefault="00CA2FB7" w:rsidP="00CA2FB7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8B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6178" w:rsidRPr="00F368B9">
        <w:rPr>
          <w:rFonts w:ascii="Times New Roman" w:hAnsi="Times New Roman" w:cs="Times New Roman"/>
          <w:sz w:val="24"/>
          <w:szCs w:val="24"/>
          <w:lang w:val="uk-UA"/>
        </w:rPr>
        <w:t>тже, проведені нами дослідження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 ще раз доводять, що «гельмінтоз не можна вважати місцевим патологічним явищем, цей процес лежить в основі захворювання всього організму», в якому поряд з високою поширеністю ХГП відзначається і широке поширення захворювань язика- десквамативного </w:t>
      </w:r>
      <w:r w:rsidR="002C4DDC" w:rsidRPr="00F368B9">
        <w:rPr>
          <w:rFonts w:ascii="Times New Roman" w:hAnsi="Times New Roman" w:cs="Times New Roman"/>
          <w:sz w:val="24"/>
          <w:szCs w:val="24"/>
          <w:lang w:val="uk-UA"/>
        </w:rPr>
        <w:t>глосита і глосодінії</w:t>
      </w:r>
      <w:r w:rsidRPr="00F368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3557" w:rsidRDefault="00733557" w:rsidP="00D365B5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65B5" w:rsidRPr="00D365B5" w:rsidRDefault="00D365B5" w:rsidP="00D365B5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65B5">
        <w:rPr>
          <w:rFonts w:ascii="Times New Roman" w:hAnsi="Times New Roman" w:cs="Times New Roman"/>
          <w:sz w:val="24"/>
          <w:szCs w:val="24"/>
          <w:lang w:val="uk-UA"/>
        </w:rPr>
        <w:t>Список використаних</w:t>
      </w:r>
      <w:r w:rsidRPr="0042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5B5">
        <w:rPr>
          <w:rFonts w:ascii="Times New Roman" w:hAnsi="Times New Roman" w:cs="Times New Roman"/>
          <w:sz w:val="24"/>
          <w:szCs w:val="24"/>
          <w:lang w:val="uk-UA"/>
        </w:rPr>
        <w:t>джерел</w:t>
      </w:r>
    </w:p>
    <w:p w:rsidR="00D365B5" w:rsidRPr="004230E1" w:rsidRDefault="00D365B5" w:rsidP="002E20D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</w:rPr>
        <w:t>Зайков С. В. Гельминтозы и аллергические заболевания [Текст] / Зайков С. В. // Клиническая иммунология. Аллергология. Инфектология. – 2009. − № 2/3. − С. 45.</w:t>
      </w:r>
    </w:p>
    <w:p w:rsidR="00D365B5" w:rsidRPr="004230E1" w:rsidRDefault="00D365B5" w:rsidP="002E20DA">
      <w:pPr>
        <w:pStyle w:val="ab"/>
        <w:numPr>
          <w:ilvl w:val="0"/>
          <w:numId w:val="3"/>
        </w:num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</w:rPr>
        <w:lastRenderedPageBreak/>
        <w:t xml:space="preserve">Крамарьов С.О. Сучасні підходи до лікування гельмінтозів / С.О. Крамарьов // </w:t>
      </w:r>
      <w:hyperlink r:id="rId7" w:tooltip="Періодичне видання" w:history="1">
        <w:r w:rsidRPr="004230E1">
          <w:rPr>
            <w:rFonts w:ascii="Times New Roman" w:hAnsi="Times New Roman" w:cs="Times New Roman"/>
            <w:sz w:val="24"/>
            <w:szCs w:val="24"/>
          </w:rPr>
          <w:t>Современная педиатрия</w:t>
        </w:r>
      </w:hyperlink>
      <w:r w:rsidRPr="004230E1">
        <w:rPr>
          <w:rFonts w:ascii="Times New Roman" w:hAnsi="Times New Roman" w:cs="Times New Roman"/>
          <w:sz w:val="24"/>
          <w:szCs w:val="24"/>
        </w:rPr>
        <w:t>. – 2016. – № 5. – С. 25-29.</w:t>
      </w:r>
    </w:p>
    <w:p w:rsidR="00E31D4F" w:rsidRPr="004230E1" w:rsidRDefault="00361488" w:rsidP="002E20D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  <w:lang w:val="uk-UA"/>
        </w:rPr>
        <w:t>Драник Г.Н.</w:t>
      </w:r>
      <w:r w:rsidRPr="004230E1">
        <w:rPr>
          <w:rFonts w:ascii="Times New Roman" w:hAnsi="Times New Roman" w:cs="Times New Roman"/>
          <w:sz w:val="24"/>
          <w:szCs w:val="24"/>
        </w:rPr>
        <w:t xml:space="preserve"> Клиническая аллергология и иммунология / Г.Н. Драник. – М.: АстроПринт, 1999. – 603с. </w:t>
      </w:r>
    </w:p>
    <w:p w:rsidR="00A20D69" w:rsidRPr="004230E1" w:rsidRDefault="00A20D69" w:rsidP="002E20D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</w:rPr>
        <w:t>Заболевание слизистой оболочки полости рта</w:t>
      </w:r>
      <w:r w:rsidR="002E20DA" w:rsidRPr="004230E1">
        <w:rPr>
          <w:rFonts w:ascii="Times New Roman" w:hAnsi="Times New Roman" w:cs="Times New Roman"/>
          <w:sz w:val="24"/>
          <w:szCs w:val="24"/>
        </w:rPr>
        <w:t xml:space="preserve"> / Н.Ф Данилевский, В.К. Леонтьев, А.Ф. Несин, Ж.И. Рахний – М.: «Стоматология», 2001 – 272 с.</w:t>
      </w:r>
    </w:p>
    <w:p w:rsidR="002E20DA" w:rsidRPr="004230E1" w:rsidRDefault="002E20DA" w:rsidP="002E20D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</w:rPr>
        <w:t>Банченко Г.В.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Язык - зеркало организма (Клиническое руководство для врачей)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4230E1">
        <w:rPr>
          <w:rFonts w:ascii="Times New Roman" w:hAnsi="Times New Roman" w:cs="Times New Roman"/>
          <w:sz w:val="24"/>
          <w:szCs w:val="24"/>
        </w:rPr>
        <w:t xml:space="preserve"> Г.В.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Банченко, Ю.М.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Максимовский, В.М.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Гринин. – М.: Бизнес Центр "Стоматология", 2000. – 408 с.</w:t>
      </w:r>
    </w:p>
    <w:p w:rsidR="00E31D4F" w:rsidRPr="0053403D" w:rsidRDefault="00E31D4F" w:rsidP="004230E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E1">
        <w:rPr>
          <w:rFonts w:ascii="Times New Roman" w:hAnsi="Times New Roman" w:cs="Times New Roman"/>
          <w:sz w:val="24"/>
          <w:szCs w:val="24"/>
        </w:rPr>
        <w:t>Заболевания слизистой оболочки рта и губ : Учебное пособие / Л.А.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Цветкова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230E1">
        <w:rPr>
          <w:rFonts w:ascii="Times New Roman" w:hAnsi="Times New Roman" w:cs="Times New Roman"/>
          <w:sz w:val="24"/>
          <w:szCs w:val="24"/>
        </w:rPr>
        <w:t>Аксамит, С.Д.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Арутюнов, Л.В.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>Петрова, Ю.Н.</w:t>
      </w:r>
      <w:r w:rsidRPr="00423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0E1">
        <w:rPr>
          <w:rFonts w:ascii="Times New Roman" w:hAnsi="Times New Roman" w:cs="Times New Roman"/>
          <w:sz w:val="24"/>
          <w:szCs w:val="24"/>
        </w:rPr>
        <w:t xml:space="preserve">Перламутров. – 3 е изд. – М. : МЕДпресс информ, 2009. – 208 с. </w:t>
      </w:r>
    </w:p>
    <w:p w:rsidR="0053403D" w:rsidRPr="0053403D" w:rsidRDefault="0053403D" w:rsidP="0053403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03D">
        <w:rPr>
          <w:rFonts w:ascii="Times New Roman" w:hAnsi="Times New Roman" w:cs="Times New Roman"/>
          <w:sz w:val="24"/>
          <w:szCs w:val="24"/>
        </w:rPr>
        <w:t>Шкильна М.И. Клинико-патогенетическое обоснование некоторых форм крапивницы: автореф.на соискание научной степени канд. мед.наук: спец. 14.01.20 «Кожные и венерические болезни» / М.И.Шкильна – Харьков . – 2010. – 26с.</w:t>
      </w:r>
    </w:p>
    <w:p w:rsidR="0053403D" w:rsidRPr="0053403D" w:rsidRDefault="0053403D" w:rsidP="0053403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03D">
        <w:rPr>
          <w:rFonts w:ascii="Times New Roman" w:hAnsi="Times New Roman" w:cs="Times New Roman"/>
          <w:sz w:val="24"/>
          <w:szCs w:val="24"/>
        </w:rPr>
        <w:t>Пути улучшения качества лабораторной диагностики гельминтозов / Долбин Д.А., Агафонова Е.В., Смирнова Л.Р., Хазиева С.М. // Казанский медицинский журнал. – 2007. – №4. – С. 398-401.</w:t>
      </w:r>
    </w:p>
    <w:sectPr w:rsidR="0053403D" w:rsidRPr="0053403D" w:rsidSect="00482998">
      <w:footerReference w:type="default" r:id="rId8"/>
      <w:pgSz w:w="11906" w:h="16838"/>
      <w:pgMar w:top="1134" w:right="1418" w:bottom="1134" w:left="1418" w:header="709" w:footer="709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71" w:rsidRDefault="00BF3771" w:rsidP="00D139A7">
      <w:pPr>
        <w:spacing w:after="0" w:line="240" w:lineRule="auto"/>
      </w:pPr>
      <w:r>
        <w:separator/>
      </w:r>
    </w:p>
  </w:endnote>
  <w:endnote w:type="continuationSeparator" w:id="0">
    <w:p w:rsidR="00BF3771" w:rsidRDefault="00BF3771" w:rsidP="00D1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4829"/>
      <w:docPartObj>
        <w:docPartGallery w:val="Page Numbers (Bottom of Page)"/>
        <w:docPartUnique/>
      </w:docPartObj>
    </w:sdtPr>
    <w:sdtContent>
      <w:p w:rsidR="00D139A7" w:rsidRDefault="006507C3">
        <w:pPr>
          <w:pStyle w:val="a5"/>
          <w:jc w:val="right"/>
        </w:pPr>
        <w:fldSimple w:instr=" PAGE   \* MERGEFORMAT ">
          <w:r w:rsidR="00F368B9">
            <w:rPr>
              <w:noProof/>
            </w:rPr>
            <w:t>5</w:t>
          </w:r>
        </w:fldSimple>
      </w:p>
    </w:sdtContent>
  </w:sdt>
  <w:p w:rsidR="00D139A7" w:rsidRDefault="00D13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71" w:rsidRDefault="00BF3771" w:rsidP="00D139A7">
      <w:pPr>
        <w:spacing w:after="0" w:line="240" w:lineRule="auto"/>
      </w:pPr>
      <w:r>
        <w:separator/>
      </w:r>
    </w:p>
  </w:footnote>
  <w:footnote w:type="continuationSeparator" w:id="0">
    <w:p w:rsidR="00BF3771" w:rsidRDefault="00BF3771" w:rsidP="00D1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B9"/>
    <w:multiLevelType w:val="hybridMultilevel"/>
    <w:tmpl w:val="DE5E7734"/>
    <w:lvl w:ilvl="0" w:tplc="8B42D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526C2"/>
    <w:multiLevelType w:val="hybridMultilevel"/>
    <w:tmpl w:val="3280A924"/>
    <w:lvl w:ilvl="0" w:tplc="CB003B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0805EED"/>
    <w:multiLevelType w:val="hybridMultilevel"/>
    <w:tmpl w:val="EA4AD43A"/>
    <w:lvl w:ilvl="0" w:tplc="2DD6D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76E9"/>
    <w:multiLevelType w:val="hybridMultilevel"/>
    <w:tmpl w:val="3C40F006"/>
    <w:lvl w:ilvl="0" w:tplc="CF6AC6B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B7"/>
    <w:rsid w:val="00061025"/>
    <w:rsid w:val="000768E3"/>
    <w:rsid w:val="000A7862"/>
    <w:rsid w:val="000D7055"/>
    <w:rsid w:val="001B4FA3"/>
    <w:rsid w:val="00237192"/>
    <w:rsid w:val="002460CD"/>
    <w:rsid w:val="002C4DDC"/>
    <w:rsid w:val="002C71F3"/>
    <w:rsid w:val="002E20DA"/>
    <w:rsid w:val="0033719E"/>
    <w:rsid w:val="003464C9"/>
    <w:rsid w:val="00361488"/>
    <w:rsid w:val="003A35C6"/>
    <w:rsid w:val="00400098"/>
    <w:rsid w:val="004230E1"/>
    <w:rsid w:val="00461E92"/>
    <w:rsid w:val="00482998"/>
    <w:rsid w:val="0053403D"/>
    <w:rsid w:val="00562DDA"/>
    <w:rsid w:val="0056590E"/>
    <w:rsid w:val="006250AA"/>
    <w:rsid w:val="006507C3"/>
    <w:rsid w:val="006C374F"/>
    <w:rsid w:val="00720503"/>
    <w:rsid w:val="00733557"/>
    <w:rsid w:val="00821654"/>
    <w:rsid w:val="00840415"/>
    <w:rsid w:val="00843DD5"/>
    <w:rsid w:val="00917C98"/>
    <w:rsid w:val="00981E4E"/>
    <w:rsid w:val="00A20D69"/>
    <w:rsid w:val="00A246C2"/>
    <w:rsid w:val="00A258B8"/>
    <w:rsid w:val="00A32916"/>
    <w:rsid w:val="00A80279"/>
    <w:rsid w:val="00A9272B"/>
    <w:rsid w:val="00B14E8B"/>
    <w:rsid w:val="00B734D9"/>
    <w:rsid w:val="00BF3771"/>
    <w:rsid w:val="00C62354"/>
    <w:rsid w:val="00CA2FB7"/>
    <w:rsid w:val="00D06972"/>
    <w:rsid w:val="00D139A7"/>
    <w:rsid w:val="00D365B5"/>
    <w:rsid w:val="00D670F6"/>
    <w:rsid w:val="00DC07E9"/>
    <w:rsid w:val="00DE1255"/>
    <w:rsid w:val="00E31D4F"/>
    <w:rsid w:val="00E66178"/>
    <w:rsid w:val="00F3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7"/>
  </w:style>
  <w:style w:type="paragraph" w:styleId="1">
    <w:name w:val="heading 1"/>
    <w:basedOn w:val="a"/>
    <w:link w:val="10"/>
    <w:uiPriority w:val="9"/>
    <w:qFormat/>
    <w:rsid w:val="00A3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FB7"/>
  </w:style>
  <w:style w:type="paragraph" w:styleId="a5">
    <w:name w:val="footer"/>
    <w:basedOn w:val="a"/>
    <w:link w:val="a6"/>
    <w:uiPriority w:val="99"/>
    <w:unhideWhenUsed/>
    <w:rsid w:val="00CA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FB7"/>
  </w:style>
  <w:style w:type="paragraph" w:styleId="a7">
    <w:name w:val="Normal (Web)"/>
    <w:basedOn w:val="a"/>
    <w:uiPriority w:val="99"/>
    <w:unhideWhenUsed/>
    <w:rsid w:val="00CA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A2FB7"/>
  </w:style>
  <w:style w:type="character" w:customStyle="1" w:styleId="atn">
    <w:name w:val="atn"/>
    <w:basedOn w:val="a0"/>
    <w:rsid w:val="00CA2FB7"/>
  </w:style>
  <w:style w:type="character" w:styleId="a8">
    <w:name w:val="Hyperlink"/>
    <w:basedOn w:val="a0"/>
    <w:uiPriority w:val="99"/>
    <w:semiHidden/>
    <w:unhideWhenUsed/>
    <w:rsid w:val="00CA2FB7"/>
    <w:rPr>
      <w:color w:val="0000FF"/>
      <w:u w:val="single"/>
    </w:rPr>
  </w:style>
  <w:style w:type="character" w:customStyle="1" w:styleId="hl">
    <w:name w:val="hl"/>
    <w:basedOn w:val="a0"/>
    <w:rsid w:val="00CA2FB7"/>
  </w:style>
  <w:style w:type="table" w:styleId="a9">
    <w:name w:val="Table Grid"/>
    <w:basedOn w:val="a1"/>
    <w:rsid w:val="00CA2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A2FB7"/>
  </w:style>
  <w:style w:type="character" w:styleId="aa">
    <w:name w:val="Emphasis"/>
    <w:basedOn w:val="a0"/>
    <w:uiPriority w:val="20"/>
    <w:qFormat/>
    <w:rsid w:val="00CA2FB7"/>
    <w:rPr>
      <w:i/>
      <w:iCs/>
    </w:rPr>
  </w:style>
  <w:style w:type="paragraph" w:styleId="ab">
    <w:name w:val="List Paragraph"/>
    <w:basedOn w:val="a"/>
    <w:uiPriority w:val="34"/>
    <w:qFormat/>
    <w:rsid w:val="00D365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2018-05-03T16:26:00Z</dcterms:created>
  <dcterms:modified xsi:type="dcterms:W3CDTF">2018-05-04T18:29:00Z</dcterms:modified>
</cp:coreProperties>
</file>