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58" w:rsidRPr="00FB5C2E" w:rsidRDefault="00314958" w:rsidP="0031495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УДК: 616.36 – 008 – 092. 9: 613. 24</w:t>
      </w:r>
    </w:p>
    <w:p w:rsidR="00314958" w:rsidRDefault="00314958" w:rsidP="0031495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М.А. Кузнецова</w:t>
      </w:r>
    </w:p>
    <w:p w:rsidR="00314958" w:rsidRPr="00123373" w:rsidRDefault="00314958" w:rsidP="0031495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Харьковский Национальный Медицинский Университет</w:t>
      </w:r>
    </w:p>
    <w:p w:rsidR="00314958" w:rsidRPr="00591525" w:rsidRDefault="00314958" w:rsidP="003149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ВЛИЯНИЕ</w:t>
      </w:r>
      <w:r w:rsidRPr="005915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ВЫСОКОКАЛОРИЙНОГО</w:t>
      </w:r>
      <w:r w:rsidRPr="005915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ПИТАНИЯ</w:t>
      </w:r>
      <w:r w:rsidRPr="005915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САМОК КРЫС ВО ВРЕМЯ</w:t>
      </w:r>
      <w:r w:rsidRPr="005915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БЕРЕМЕННОСТИ НА МОРФОФУНКЦИОНАЛЬНОЕ</w:t>
      </w:r>
      <w:r w:rsidRPr="005915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СОСТОЯНИЕ ПЕЧЕНИ ИХ</w:t>
      </w:r>
      <w:r w:rsidRPr="005915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ПОТОМСТВА</w:t>
      </w:r>
      <w:r w:rsidRPr="00591525">
        <w:rPr>
          <w:b/>
          <w:sz w:val="28"/>
          <w:szCs w:val="28"/>
        </w:rPr>
        <w:t xml:space="preserve"> </w:t>
      </w:r>
    </w:p>
    <w:p w:rsidR="00314958" w:rsidRPr="00591525" w:rsidRDefault="00314958" w:rsidP="003149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314958" w:rsidRPr="00591525" w:rsidRDefault="00314958" w:rsidP="00314958">
      <w:pPr>
        <w:spacing w:line="360" w:lineRule="auto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 </w:t>
      </w:r>
      <w:r w:rsidRPr="00591525">
        <w:rPr>
          <w:sz w:val="28"/>
          <w:szCs w:val="28"/>
        </w:rPr>
        <w:tab/>
        <w:t>За последнее время заболевания печени стали занимать одно из ведущих ме</w:t>
      </w:r>
      <w:proofErr w:type="gramStart"/>
      <w:r w:rsidRPr="00591525">
        <w:rPr>
          <w:sz w:val="28"/>
          <w:szCs w:val="28"/>
        </w:rPr>
        <w:t>ст в стр</w:t>
      </w:r>
      <w:proofErr w:type="gramEnd"/>
      <w:r w:rsidRPr="00591525">
        <w:rPr>
          <w:sz w:val="28"/>
          <w:szCs w:val="28"/>
        </w:rPr>
        <w:t xml:space="preserve">уктуре заболеваемости и смертности населения. Так, по данным зарубежных авторов, от 10 до 15% людей в промышленно развитых странах страдают заболеваниями </w:t>
      </w:r>
      <w:proofErr w:type="spellStart"/>
      <w:r w:rsidRPr="00591525">
        <w:rPr>
          <w:sz w:val="28"/>
          <w:szCs w:val="28"/>
        </w:rPr>
        <w:t>гепатобилиарной</w:t>
      </w:r>
      <w:proofErr w:type="spellEnd"/>
      <w:r w:rsidRPr="00591525">
        <w:rPr>
          <w:sz w:val="28"/>
          <w:szCs w:val="28"/>
        </w:rPr>
        <w:t xml:space="preserve"> системы [1], а неуклонно растущее число детей с заболеваниями печени заставляет обратить внимание на факторы риска развития патологии печени и разработку мер профилактики. Так по статистическим данным за последние годы в странах Европейского Союза (ЕС), одной из наиболее часто встречающихся патологий печени в детском и подростковом возрасте является неалкогольная жировая болезнь печени [4]. В США ее распространенность у детей и подростков составила 9,6% при этом отмечено увеличение с возрастом (от 0,7% в возрасте от 2 - 4 лет до 17,3% в возрастной группе от 15 до 19 лет) [4,5]. Второе место в структуре заболеваемости детей занимает ожирение и избыточная масса тела, в странах ЕС избыток веса наблюдается у 20% детей, в том числе у трети из них – ожирение [6,18]. В Украине средний показатель распространенности гастроэнтерологических заболеваний среди детей за период с 2005 до 2012 годы стабилизировался на уровне 140 - 150‰, а заболеваемость за этот же период – на уровне 50 - 55‰. Зафиксирован стремительный рост функциональных нарушений желудочно-кишечного </w:t>
      </w:r>
      <w:proofErr w:type="gramStart"/>
      <w:r w:rsidRPr="00591525">
        <w:rPr>
          <w:sz w:val="28"/>
          <w:szCs w:val="28"/>
        </w:rPr>
        <w:t>тракта</w:t>
      </w:r>
      <w:proofErr w:type="gramEnd"/>
      <w:r w:rsidRPr="00591525">
        <w:rPr>
          <w:sz w:val="28"/>
          <w:szCs w:val="28"/>
        </w:rPr>
        <w:t xml:space="preserve"> у детей начиная с раннего возраста [10]. Таким образом, приведенные статистические данные, свидетельствуют о возрастании удельного веса патологии </w:t>
      </w:r>
      <w:proofErr w:type="spellStart"/>
      <w:r w:rsidRPr="00591525">
        <w:rPr>
          <w:sz w:val="28"/>
          <w:szCs w:val="28"/>
        </w:rPr>
        <w:t>гепатобилиарной</w:t>
      </w:r>
      <w:proofErr w:type="spellEnd"/>
      <w:r w:rsidRPr="00591525">
        <w:rPr>
          <w:sz w:val="28"/>
          <w:szCs w:val="28"/>
        </w:rPr>
        <w:t xml:space="preserve"> системы в структуре заболеваемости детей и </w:t>
      </w:r>
      <w:r w:rsidRPr="00591525">
        <w:rPr>
          <w:sz w:val="28"/>
          <w:szCs w:val="28"/>
        </w:rPr>
        <w:lastRenderedPageBreak/>
        <w:t>обусловливают необходимость изучения механизмов повреждения печени, вызванного действием экзогенных факторов.</w:t>
      </w:r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Среди многочисленных причин повреждения печени одно из ведущих мест занимают несбалансированное питание с избытком жиров и углеводов в рационе, стресс и низкая физическая активность. Доказано, что </w:t>
      </w:r>
      <w:proofErr w:type="spellStart"/>
      <w:r w:rsidRPr="00591525">
        <w:rPr>
          <w:sz w:val="28"/>
          <w:szCs w:val="28"/>
        </w:rPr>
        <w:t>нутритивный</w:t>
      </w:r>
      <w:proofErr w:type="spellEnd"/>
      <w:r w:rsidRPr="00591525">
        <w:rPr>
          <w:sz w:val="28"/>
          <w:szCs w:val="28"/>
        </w:rPr>
        <w:t xml:space="preserve"> статус матери во время внутриутробного и младенческого развития ее ребенка влияет на его рост и развитие путем эпигенетического программирования, что отражается на восприимчивости ребенка к факторам среды, предопределяющей развитие хронических заболеваний [2,8,11]. Дети, матери которых имели избыточную массу тела или «переедали» во время беременности, как правило, при рождении имеют большой вес, а в последующем страдают различными метаболическими нарушениями [3]. </w:t>
      </w:r>
      <w:proofErr w:type="gramStart"/>
      <w:r w:rsidRPr="00591525">
        <w:rPr>
          <w:sz w:val="28"/>
          <w:szCs w:val="28"/>
        </w:rPr>
        <w:t xml:space="preserve">Также установлено, что ожирение и избыточное питание беременной женщины увеличивают уровень глюкозы и инсулина у плода, далее увеличиваются синтез лептина и его секреция </w:t>
      </w:r>
      <w:proofErr w:type="spellStart"/>
      <w:r w:rsidRPr="00591525">
        <w:rPr>
          <w:sz w:val="28"/>
          <w:szCs w:val="28"/>
        </w:rPr>
        <w:t>адипоцитами</w:t>
      </w:r>
      <w:proofErr w:type="spellEnd"/>
      <w:r w:rsidRPr="00591525">
        <w:rPr>
          <w:sz w:val="28"/>
          <w:szCs w:val="28"/>
        </w:rPr>
        <w:t xml:space="preserve"> плода, что, в свою очередь, еще больше повышает уровень глюкозы, инсулина, лептина и модулирует метаболический ответ нейронов гипоталамуса с развитием </w:t>
      </w:r>
      <w:proofErr w:type="spellStart"/>
      <w:r w:rsidRPr="00591525">
        <w:rPr>
          <w:sz w:val="28"/>
          <w:szCs w:val="28"/>
        </w:rPr>
        <w:t>макросомии</w:t>
      </w:r>
      <w:proofErr w:type="spellEnd"/>
      <w:r w:rsidRPr="00591525">
        <w:rPr>
          <w:sz w:val="28"/>
          <w:szCs w:val="28"/>
        </w:rPr>
        <w:t xml:space="preserve"> плода и новорожденного и программирует рост индекса массы тела (ИМТ) у потомства [4]. </w:t>
      </w:r>
      <w:proofErr w:type="gramEnd"/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sz w:val="28"/>
          <w:szCs w:val="28"/>
        </w:rPr>
        <w:t>В ряде экспериментальных работ выявлены данные, указывающие на связь нарушений питания матерей во время беременности с повышенным риском развития ишемической болезни, артериальной гипертензии, сахарного диабета II типа и ожирения у потомства в зрелом возрасте [7,9,12,13,14].</w:t>
      </w:r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Особенности влияния алиментарного фактора на морфофункциональное состояние печени потомства, полученного от </w:t>
      </w:r>
      <w:proofErr w:type="gramStart"/>
      <w:r w:rsidRPr="00591525">
        <w:rPr>
          <w:sz w:val="28"/>
          <w:szCs w:val="28"/>
        </w:rPr>
        <w:t xml:space="preserve">матерей, находившихся на </w:t>
      </w:r>
      <w:proofErr w:type="spellStart"/>
      <w:r w:rsidRPr="00591525">
        <w:rPr>
          <w:sz w:val="28"/>
          <w:szCs w:val="28"/>
        </w:rPr>
        <w:t>гиперкалорийном</w:t>
      </w:r>
      <w:proofErr w:type="spellEnd"/>
      <w:r w:rsidRPr="00591525">
        <w:rPr>
          <w:sz w:val="28"/>
          <w:szCs w:val="28"/>
        </w:rPr>
        <w:t xml:space="preserve"> рационе питания остаются</w:t>
      </w:r>
      <w:proofErr w:type="gramEnd"/>
      <w:r w:rsidRPr="00591525">
        <w:rPr>
          <w:sz w:val="28"/>
          <w:szCs w:val="28"/>
        </w:rPr>
        <w:t xml:space="preserve"> недостаточно изученными.   </w:t>
      </w:r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Целью нашего исследования является изучение морфофункционального состояния печени потомства крыс, рожденных от </w:t>
      </w:r>
      <w:r w:rsidRPr="00591525">
        <w:rPr>
          <w:sz w:val="28"/>
          <w:szCs w:val="28"/>
        </w:rPr>
        <w:lastRenderedPageBreak/>
        <w:t xml:space="preserve">самок, получавших на протяжении беременности несбалансированное питание с избытком жиров и углеводов.  </w:t>
      </w:r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b/>
          <w:sz w:val="28"/>
          <w:szCs w:val="28"/>
        </w:rPr>
        <w:t xml:space="preserve">Материалы и методы. </w:t>
      </w:r>
      <w:r w:rsidRPr="00591525">
        <w:rPr>
          <w:sz w:val="28"/>
          <w:szCs w:val="28"/>
        </w:rPr>
        <w:t xml:space="preserve">Эксперименты проведены на крысах – потомках </w:t>
      </w:r>
      <w:proofErr w:type="spellStart"/>
      <w:r w:rsidRPr="00591525">
        <w:rPr>
          <w:sz w:val="28"/>
          <w:szCs w:val="28"/>
        </w:rPr>
        <w:t>рандомбредных</w:t>
      </w:r>
      <w:proofErr w:type="spellEnd"/>
      <w:r w:rsidRPr="00591525">
        <w:rPr>
          <w:sz w:val="28"/>
          <w:szCs w:val="28"/>
        </w:rPr>
        <w:t xml:space="preserve"> 13 самок популяции WAG/G </w:t>
      </w:r>
      <w:proofErr w:type="spellStart"/>
      <w:r w:rsidRPr="00591525">
        <w:rPr>
          <w:sz w:val="28"/>
          <w:szCs w:val="28"/>
        </w:rPr>
        <w:t>Sto</w:t>
      </w:r>
      <w:proofErr w:type="spellEnd"/>
      <w:r w:rsidRPr="00591525">
        <w:rPr>
          <w:sz w:val="28"/>
          <w:szCs w:val="28"/>
        </w:rPr>
        <w:t xml:space="preserve">, 7 из которых получали во время беременности рациональное питание и составили 1-ю (контрольную) группу; 6 </w:t>
      </w:r>
      <w:proofErr w:type="gramStart"/>
      <w:r w:rsidRPr="00591525">
        <w:rPr>
          <w:sz w:val="28"/>
          <w:szCs w:val="28"/>
        </w:rPr>
        <w:t xml:space="preserve">самок, получавших на протяжении беременности </w:t>
      </w:r>
      <w:proofErr w:type="spellStart"/>
      <w:r w:rsidRPr="00591525">
        <w:rPr>
          <w:sz w:val="28"/>
          <w:szCs w:val="28"/>
        </w:rPr>
        <w:t>гиперкалорийный</w:t>
      </w:r>
      <w:proofErr w:type="spellEnd"/>
      <w:r w:rsidRPr="00591525">
        <w:rPr>
          <w:sz w:val="28"/>
          <w:szCs w:val="28"/>
        </w:rPr>
        <w:t xml:space="preserve"> рацион составили</w:t>
      </w:r>
      <w:proofErr w:type="gramEnd"/>
      <w:r w:rsidRPr="00591525">
        <w:rPr>
          <w:sz w:val="28"/>
          <w:szCs w:val="28"/>
        </w:rPr>
        <w:t xml:space="preserve"> 2-ю группу. Моделирование влияния алиментарного фактора на крыс осуществляли с использованием экспериментальной модели, разработанной на кафедре патологической физиологии им. Д.Е. </w:t>
      </w:r>
      <w:proofErr w:type="spellStart"/>
      <w:r w:rsidRPr="00591525">
        <w:rPr>
          <w:sz w:val="28"/>
          <w:szCs w:val="28"/>
        </w:rPr>
        <w:t>Альперна</w:t>
      </w:r>
      <w:proofErr w:type="spellEnd"/>
      <w:r w:rsidRPr="00591525">
        <w:rPr>
          <w:sz w:val="28"/>
          <w:szCs w:val="28"/>
        </w:rPr>
        <w:t xml:space="preserve"> Харьковского национального медицинского университета [16]. Потомки крыс обеих групп были выведены из эксперимента в разном возрасте: новорожденные (22 особи) – группа 2.1, 1-месячные (40 особей) </w:t>
      </w:r>
      <w:proofErr w:type="gramStart"/>
      <w:r w:rsidRPr="00591525">
        <w:rPr>
          <w:sz w:val="28"/>
          <w:szCs w:val="28"/>
        </w:rPr>
        <w:t>–г</w:t>
      </w:r>
      <w:proofErr w:type="gramEnd"/>
      <w:r w:rsidRPr="00591525">
        <w:rPr>
          <w:sz w:val="28"/>
          <w:szCs w:val="28"/>
        </w:rPr>
        <w:t xml:space="preserve">руппа 2.2 и 2х-месячные (52 особи) – группа 2.3. Из них 50% в каждом возрастном периоде составляли крысы группы контроля. Морфологическое исследование ткани печени проведено согласно общепринятым методикам [15]. Препараты окрашивались гематоксилином и эозином, по методу </w:t>
      </w:r>
      <w:proofErr w:type="spellStart"/>
      <w:r w:rsidRPr="00591525">
        <w:rPr>
          <w:sz w:val="28"/>
          <w:szCs w:val="28"/>
        </w:rPr>
        <w:t>ван</w:t>
      </w:r>
      <w:proofErr w:type="spell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Гизона</w:t>
      </w:r>
      <w:proofErr w:type="spellEnd"/>
      <w:r w:rsidRPr="00591525">
        <w:rPr>
          <w:sz w:val="28"/>
          <w:szCs w:val="28"/>
        </w:rPr>
        <w:t xml:space="preserve"> и по методу </w:t>
      </w:r>
      <w:proofErr w:type="spellStart"/>
      <w:r w:rsidRPr="00591525">
        <w:rPr>
          <w:sz w:val="28"/>
          <w:szCs w:val="28"/>
        </w:rPr>
        <w:t>Маллори</w:t>
      </w:r>
      <w:proofErr w:type="spellEnd"/>
      <w:r w:rsidRPr="00591525">
        <w:rPr>
          <w:sz w:val="28"/>
          <w:szCs w:val="28"/>
        </w:rPr>
        <w:t xml:space="preserve">. Для оценки эндотелиальной дисфункции печени </w:t>
      </w:r>
      <w:proofErr w:type="spellStart"/>
      <w:r w:rsidRPr="00591525">
        <w:rPr>
          <w:sz w:val="28"/>
          <w:szCs w:val="28"/>
        </w:rPr>
        <w:t>иммуногистохимическим</w:t>
      </w:r>
      <w:proofErr w:type="spellEnd"/>
      <w:r w:rsidRPr="00591525">
        <w:rPr>
          <w:sz w:val="28"/>
          <w:szCs w:val="28"/>
        </w:rPr>
        <w:t xml:space="preserve"> методом выявляли экспрессию маркеров обмена оксида азота: эндотелиальной </w:t>
      </w:r>
      <w:proofErr w:type="spellStart"/>
      <w:r w:rsidRPr="00591525">
        <w:rPr>
          <w:sz w:val="28"/>
          <w:szCs w:val="28"/>
        </w:rPr>
        <w:t>синтазы</w:t>
      </w:r>
      <w:proofErr w:type="spellEnd"/>
      <w:r w:rsidRPr="00591525">
        <w:rPr>
          <w:sz w:val="28"/>
          <w:szCs w:val="28"/>
        </w:rPr>
        <w:t xml:space="preserve"> оксида азота (</w:t>
      </w:r>
      <w:proofErr w:type="spellStart"/>
      <w:r w:rsidRPr="00591525">
        <w:rPr>
          <w:sz w:val="28"/>
          <w:szCs w:val="28"/>
        </w:rPr>
        <w:t>eNOS</w:t>
      </w:r>
      <w:proofErr w:type="spellEnd"/>
      <w:r w:rsidRPr="00591525">
        <w:rPr>
          <w:sz w:val="28"/>
          <w:szCs w:val="28"/>
        </w:rPr>
        <w:t xml:space="preserve">) и </w:t>
      </w:r>
      <w:proofErr w:type="spellStart"/>
      <w:r w:rsidRPr="00591525">
        <w:rPr>
          <w:sz w:val="28"/>
          <w:szCs w:val="28"/>
        </w:rPr>
        <w:t>индуцибельной</w:t>
      </w:r>
      <w:proofErr w:type="spell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синтазы</w:t>
      </w:r>
      <w:proofErr w:type="spellEnd"/>
      <w:r w:rsidRPr="00591525">
        <w:rPr>
          <w:sz w:val="28"/>
          <w:szCs w:val="28"/>
        </w:rPr>
        <w:t xml:space="preserve"> оксида азота (</w:t>
      </w:r>
      <w:proofErr w:type="spellStart"/>
      <w:r w:rsidRPr="00591525">
        <w:rPr>
          <w:sz w:val="28"/>
          <w:szCs w:val="28"/>
        </w:rPr>
        <w:t>iNOS</w:t>
      </w:r>
      <w:proofErr w:type="spellEnd"/>
      <w:r w:rsidRPr="00591525">
        <w:rPr>
          <w:sz w:val="28"/>
          <w:szCs w:val="28"/>
        </w:rPr>
        <w:t xml:space="preserve">). Использовались концентрированные </w:t>
      </w:r>
      <w:proofErr w:type="spellStart"/>
      <w:r w:rsidRPr="00591525">
        <w:rPr>
          <w:sz w:val="28"/>
          <w:szCs w:val="28"/>
        </w:rPr>
        <w:t>поликлональные</w:t>
      </w:r>
      <w:proofErr w:type="spellEnd"/>
      <w:r w:rsidRPr="00591525">
        <w:rPr>
          <w:sz w:val="28"/>
          <w:szCs w:val="28"/>
        </w:rPr>
        <w:t xml:space="preserve"> кроличьи антитела (ПКАТ) фирмы </w:t>
      </w:r>
      <w:proofErr w:type="spellStart"/>
      <w:r w:rsidRPr="00591525">
        <w:rPr>
          <w:sz w:val="28"/>
          <w:szCs w:val="28"/>
        </w:rPr>
        <w:t>Thermo</w:t>
      </w:r>
      <w:proofErr w:type="spell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scientific</w:t>
      </w:r>
      <w:proofErr w:type="spellEnd"/>
      <w:r w:rsidRPr="00591525">
        <w:rPr>
          <w:sz w:val="28"/>
          <w:szCs w:val="28"/>
        </w:rPr>
        <w:t xml:space="preserve"> (Германия), </w:t>
      </w:r>
      <w:proofErr w:type="spellStart"/>
      <w:r w:rsidRPr="00591525">
        <w:rPr>
          <w:sz w:val="28"/>
          <w:szCs w:val="28"/>
        </w:rPr>
        <w:t>Nitric</w:t>
      </w:r>
      <w:proofErr w:type="spell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Oxide</w:t>
      </w:r>
      <w:proofErr w:type="spell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Synthase</w:t>
      </w:r>
      <w:proofErr w:type="spell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inducible</w:t>
      </w:r>
      <w:proofErr w:type="spellEnd"/>
      <w:r w:rsidRPr="00591525">
        <w:rPr>
          <w:sz w:val="28"/>
          <w:szCs w:val="28"/>
        </w:rPr>
        <w:t xml:space="preserve"> (</w:t>
      </w:r>
      <w:proofErr w:type="spellStart"/>
      <w:r w:rsidRPr="00591525">
        <w:rPr>
          <w:sz w:val="28"/>
          <w:szCs w:val="28"/>
        </w:rPr>
        <w:t>iNOS</w:t>
      </w:r>
      <w:proofErr w:type="spellEnd"/>
      <w:r w:rsidRPr="00591525">
        <w:rPr>
          <w:sz w:val="28"/>
          <w:szCs w:val="28"/>
        </w:rPr>
        <w:t xml:space="preserve">) </w:t>
      </w:r>
      <w:proofErr w:type="spellStart"/>
      <w:r w:rsidRPr="00591525">
        <w:rPr>
          <w:sz w:val="28"/>
          <w:szCs w:val="28"/>
        </w:rPr>
        <w:t>Rabbit</w:t>
      </w:r>
      <w:proofErr w:type="spell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Polyclonal</w:t>
      </w:r>
      <w:proofErr w:type="spell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Antibody</w:t>
      </w:r>
      <w:proofErr w:type="spellEnd"/>
      <w:r w:rsidRPr="00591525">
        <w:rPr>
          <w:sz w:val="28"/>
          <w:szCs w:val="28"/>
        </w:rPr>
        <w:t xml:space="preserve"> в разведении 1:100, </w:t>
      </w:r>
      <w:proofErr w:type="spellStart"/>
      <w:r w:rsidRPr="00591525">
        <w:rPr>
          <w:sz w:val="28"/>
          <w:szCs w:val="28"/>
        </w:rPr>
        <w:t>Nitric</w:t>
      </w:r>
      <w:proofErr w:type="spell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Oxide</w:t>
      </w:r>
      <w:proofErr w:type="spell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Synthase</w:t>
      </w:r>
      <w:proofErr w:type="spell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endothelial</w:t>
      </w:r>
      <w:proofErr w:type="spellEnd"/>
      <w:r w:rsidRPr="00591525">
        <w:rPr>
          <w:sz w:val="28"/>
          <w:szCs w:val="28"/>
        </w:rPr>
        <w:t xml:space="preserve"> (</w:t>
      </w:r>
      <w:proofErr w:type="spellStart"/>
      <w:r w:rsidRPr="00591525">
        <w:rPr>
          <w:sz w:val="28"/>
          <w:szCs w:val="28"/>
        </w:rPr>
        <w:t>eNOS</w:t>
      </w:r>
      <w:proofErr w:type="spellEnd"/>
      <w:r w:rsidRPr="00591525">
        <w:rPr>
          <w:sz w:val="28"/>
          <w:szCs w:val="28"/>
        </w:rPr>
        <w:t xml:space="preserve">) </w:t>
      </w:r>
      <w:proofErr w:type="spellStart"/>
      <w:r w:rsidRPr="00591525">
        <w:rPr>
          <w:sz w:val="28"/>
          <w:szCs w:val="28"/>
        </w:rPr>
        <w:t>Rabbit</w:t>
      </w:r>
      <w:proofErr w:type="spell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Polyclonal</w:t>
      </w:r>
      <w:proofErr w:type="spell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Antibody</w:t>
      </w:r>
      <w:proofErr w:type="spellEnd"/>
      <w:r w:rsidRPr="00591525">
        <w:rPr>
          <w:sz w:val="28"/>
          <w:szCs w:val="28"/>
        </w:rPr>
        <w:t xml:space="preserve"> в разведении 1:50. В ткани печени изучали фракционный состав липидов (холестерина </w:t>
      </w:r>
      <w:proofErr w:type="gramStart"/>
      <w:r w:rsidRPr="00591525">
        <w:rPr>
          <w:sz w:val="28"/>
          <w:szCs w:val="28"/>
        </w:rPr>
        <w:t>-Х</w:t>
      </w:r>
      <w:proofErr w:type="gramEnd"/>
      <w:r w:rsidRPr="00591525">
        <w:rPr>
          <w:sz w:val="28"/>
          <w:szCs w:val="28"/>
        </w:rPr>
        <w:t xml:space="preserve">С, фосфолипидов - ФЛ, триглицеридов – ТГ, неэстерифицированных жирных кислот – НЭЖК) методом тонкослойной хроматографии на пластинах </w:t>
      </w:r>
      <w:proofErr w:type="spellStart"/>
      <w:r w:rsidRPr="00591525">
        <w:rPr>
          <w:sz w:val="28"/>
          <w:szCs w:val="28"/>
        </w:rPr>
        <w:t>Silufol</w:t>
      </w:r>
      <w:proofErr w:type="spellEnd"/>
      <w:r w:rsidRPr="00591525">
        <w:rPr>
          <w:sz w:val="28"/>
          <w:szCs w:val="28"/>
        </w:rPr>
        <w:t xml:space="preserve"> и содержание гликогена (ГГ) спектрофотометрическим методом по В. Г. </w:t>
      </w:r>
      <w:proofErr w:type="spellStart"/>
      <w:r w:rsidRPr="00591525">
        <w:rPr>
          <w:sz w:val="28"/>
          <w:szCs w:val="28"/>
        </w:rPr>
        <w:t>Асатиани</w:t>
      </w:r>
      <w:proofErr w:type="spellEnd"/>
      <w:r w:rsidRPr="00591525">
        <w:rPr>
          <w:sz w:val="28"/>
          <w:szCs w:val="28"/>
        </w:rPr>
        <w:t xml:space="preserve"> [17, С.]. В сыворотке крови определялся уровень </w:t>
      </w:r>
      <w:proofErr w:type="spellStart"/>
      <w:r w:rsidRPr="00591525">
        <w:rPr>
          <w:sz w:val="28"/>
          <w:szCs w:val="28"/>
        </w:rPr>
        <w:t>алани</w:t>
      </w:r>
      <w:proofErr w:type="gramStart"/>
      <w:r w:rsidRPr="00591525">
        <w:rPr>
          <w:sz w:val="28"/>
          <w:szCs w:val="28"/>
        </w:rPr>
        <w:t>н</w:t>
      </w:r>
      <w:proofErr w:type="spellEnd"/>
      <w:r w:rsidRPr="00591525">
        <w:rPr>
          <w:sz w:val="28"/>
          <w:szCs w:val="28"/>
        </w:rPr>
        <w:t>-</w:t>
      </w:r>
      <w:proofErr w:type="gramEnd"/>
      <w:r w:rsidRPr="00591525">
        <w:rPr>
          <w:sz w:val="28"/>
          <w:szCs w:val="28"/>
        </w:rPr>
        <w:t xml:space="preserve"> и </w:t>
      </w:r>
      <w:proofErr w:type="spellStart"/>
      <w:r w:rsidRPr="00591525">
        <w:rPr>
          <w:sz w:val="28"/>
          <w:szCs w:val="28"/>
        </w:rPr>
        <w:t>аспартатаминотрансферазы</w:t>
      </w:r>
      <w:proofErr w:type="spellEnd"/>
      <w:r w:rsidRPr="00591525">
        <w:rPr>
          <w:sz w:val="28"/>
          <w:szCs w:val="28"/>
        </w:rPr>
        <w:t xml:space="preserve"> (</w:t>
      </w:r>
      <w:proofErr w:type="spellStart"/>
      <w:r w:rsidRPr="00591525">
        <w:rPr>
          <w:sz w:val="28"/>
          <w:szCs w:val="28"/>
        </w:rPr>
        <w:t>АлАТ</w:t>
      </w:r>
      <w:proofErr w:type="spellEnd"/>
      <w:r w:rsidRPr="00591525">
        <w:rPr>
          <w:sz w:val="28"/>
          <w:szCs w:val="28"/>
        </w:rPr>
        <w:t xml:space="preserve">, </w:t>
      </w:r>
      <w:proofErr w:type="spellStart"/>
      <w:r w:rsidRPr="00591525">
        <w:rPr>
          <w:sz w:val="28"/>
          <w:szCs w:val="28"/>
        </w:rPr>
        <w:t>АсАТ</w:t>
      </w:r>
      <w:proofErr w:type="spellEnd"/>
      <w:r w:rsidRPr="00591525">
        <w:rPr>
          <w:sz w:val="28"/>
          <w:szCs w:val="28"/>
        </w:rPr>
        <w:t xml:space="preserve">), γ – </w:t>
      </w:r>
      <w:proofErr w:type="spellStart"/>
      <w:r w:rsidRPr="00591525">
        <w:rPr>
          <w:sz w:val="28"/>
          <w:szCs w:val="28"/>
        </w:rPr>
        <w:t>глутамилтрансферазы</w:t>
      </w:r>
      <w:proofErr w:type="spellEnd"/>
      <w:r w:rsidRPr="00591525">
        <w:rPr>
          <w:sz w:val="28"/>
          <w:szCs w:val="28"/>
        </w:rPr>
        <w:t xml:space="preserve"> (ГГТ), </w:t>
      </w:r>
      <w:proofErr w:type="spellStart"/>
      <w:r w:rsidRPr="00591525">
        <w:rPr>
          <w:sz w:val="28"/>
          <w:szCs w:val="28"/>
        </w:rPr>
        <w:lastRenderedPageBreak/>
        <w:t>сорбитолдегидрогеназы</w:t>
      </w:r>
      <w:proofErr w:type="spellEnd"/>
      <w:r w:rsidRPr="00591525">
        <w:rPr>
          <w:sz w:val="28"/>
          <w:szCs w:val="28"/>
        </w:rPr>
        <w:t xml:space="preserve"> (СДГ), общего белка и его фракций (альбуминов, α</w:t>
      </w:r>
      <w:r w:rsidRPr="00591525">
        <w:rPr>
          <w:sz w:val="28"/>
          <w:szCs w:val="28"/>
          <w:vertAlign w:val="subscript"/>
        </w:rPr>
        <w:t>1</w:t>
      </w:r>
      <w:r w:rsidRPr="00591525">
        <w:rPr>
          <w:sz w:val="28"/>
          <w:szCs w:val="28"/>
        </w:rPr>
        <w:t xml:space="preserve"> - α</w:t>
      </w:r>
      <w:r w:rsidRPr="00591525">
        <w:rPr>
          <w:sz w:val="28"/>
          <w:szCs w:val="28"/>
          <w:vertAlign w:val="subscript"/>
        </w:rPr>
        <w:t xml:space="preserve">2 </w:t>
      </w:r>
      <w:r w:rsidRPr="00591525">
        <w:rPr>
          <w:sz w:val="28"/>
          <w:szCs w:val="28"/>
        </w:rPr>
        <w:t>-, β -, γ – глобулинов), мочевины и глюкозы спектрофотометрическим методом с помощью наборов реактивов «</w:t>
      </w:r>
      <w:proofErr w:type="spellStart"/>
      <w:r w:rsidRPr="00591525">
        <w:rPr>
          <w:sz w:val="28"/>
          <w:szCs w:val="28"/>
        </w:rPr>
        <w:t>Филисит</w:t>
      </w:r>
      <w:proofErr w:type="spell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Диагностикум</w:t>
      </w:r>
      <w:proofErr w:type="spellEnd"/>
      <w:r w:rsidRPr="00591525">
        <w:rPr>
          <w:sz w:val="28"/>
          <w:szCs w:val="28"/>
        </w:rPr>
        <w:t>» (Днепр, Украина), ХС, ТГ, липопротеидов высокой плотности (ЛПВП) с помощью наборов реактивов фирмы «</w:t>
      </w:r>
      <w:proofErr w:type="spellStart"/>
      <w:r w:rsidRPr="00591525">
        <w:rPr>
          <w:sz w:val="28"/>
          <w:szCs w:val="28"/>
        </w:rPr>
        <w:t>Ольвекс</w:t>
      </w:r>
      <w:proofErr w:type="spellEnd"/>
      <w:r w:rsidRPr="00591525">
        <w:rPr>
          <w:sz w:val="28"/>
          <w:szCs w:val="28"/>
        </w:rPr>
        <w:t>» (Россия), липопротеидов низкой и очень низкой плотности (ЛПНП, ЛПОНП) расчётным методом [17]. Исследования выполнены с соблюдением правил и международных рекомендаций Европейской конвенции по защите позвоночных животных, используемых для экспериментов или в иных научных целях (Страсбург, 1986). Выведение животных из эксперимента проводилось сразу после рождения, в 1 и 2 месяца с использованием высоких концентраций диоксида углерода (CO</w:t>
      </w:r>
      <w:r w:rsidRPr="00591525">
        <w:rPr>
          <w:sz w:val="28"/>
          <w:szCs w:val="28"/>
          <w:vertAlign w:val="subscript"/>
        </w:rPr>
        <w:t>2</w:t>
      </w:r>
      <w:r w:rsidRPr="00591525">
        <w:rPr>
          <w:sz w:val="28"/>
          <w:szCs w:val="28"/>
        </w:rPr>
        <w:t xml:space="preserve">) с последующей декапитацией.  Статистическую обработку результатов проводили с использованием программы STATISTICA – 10. Для определения достоверности отличий использовали U критерий Манна – Уитни. Отличия считали достоверными при p &lt;0,05. </w:t>
      </w:r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b/>
          <w:sz w:val="28"/>
          <w:szCs w:val="28"/>
        </w:rPr>
        <w:t xml:space="preserve">Результаты и обсуждение.  </w:t>
      </w:r>
      <w:proofErr w:type="spellStart"/>
      <w:r w:rsidRPr="00591525">
        <w:rPr>
          <w:sz w:val="28"/>
          <w:szCs w:val="28"/>
        </w:rPr>
        <w:t>Макроскопически</w:t>
      </w:r>
      <w:proofErr w:type="spellEnd"/>
      <w:r w:rsidRPr="00591525">
        <w:rPr>
          <w:sz w:val="28"/>
          <w:szCs w:val="28"/>
        </w:rPr>
        <w:t xml:space="preserve">, в ткани печени потомства, полученного от самок крыс, находившихся на высококалорийном рационе питания во время беременности, существенных отличий от группы контроля не обнаружено. Однако, микроскопически в ткани печени новорождённых, 1-месячных и 2-х месячных крысят выявлены незначительные отличия от контроля в виде умеренной </w:t>
      </w:r>
      <w:proofErr w:type="spellStart"/>
      <w:r w:rsidRPr="00591525">
        <w:rPr>
          <w:sz w:val="28"/>
          <w:szCs w:val="28"/>
        </w:rPr>
        <w:t>дискомплексации</w:t>
      </w:r>
      <w:proofErr w:type="spellEnd"/>
      <w:r w:rsidRPr="00591525">
        <w:rPr>
          <w:sz w:val="28"/>
          <w:szCs w:val="28"/>
        </w:rPr>
        <w:t xml:space="preserve"> балочно-</w:t>
      </w:r>
      <w:proofErr w:type="spellStart"/>
      <w:r w:rsidRPr="00591525">
        <w:rPr>
          <w:sz w:val="28"/>
          <w:szCs w:val="28"/>
        </w:rPr>
        <w:t>радиарного</w:t>
      </w:r>
      <w:proofErr w:type="spellEnd"/>
      <w:r w:rsidRPr="00591525">
        <w:rPr>
          <w:sz w:val="28"/>
          <w:szCs w:val="28"/>
        </w:rPr>
        <w:t xml:space="preserve"> строения, синусоиды расширены, преимущественно вокруг зоны портальных трактов мелкие очаги экстрамедуллярного кроветворения (группа новорожденных). </w:t>
      </w:r>
      <w:proofErr w:type="spellStart"/>
      <w:r w:rsidRPr="00591525">
        <w:rPr>
          <w:sz w:val="28"/>
          <w:szCs w:val="28"/>
        </w:rPr>
        <w:t>Гепатоциты</w:t>
      </w:r>
      <w:proofErr w:type="spellEnd"/>
      <w:r w:rsidRPr="00591525">
        <w:rPr>
          <w:sz w:val="28"/>
          <w:szCs w:val="28"/>
        </w:rPr>
        <w:t xml:space="preserve"> имели светлую зернистую цитоплазму (новорождённые), а у 1-месячных и 2-х месячных крысят цитоплазма была пенистой, также наблюдался </w:t>
      </w:r>
      <w:proofErr w:type="gramStart"/>
      <w:r w:rsidRPr="00591525">
        <w:rPr>
          <w:sz w:val="28"/>
          <w:szCs w:val="28"/>
        </w:rPr>
        <w:t>неравномерный</w:t>
      </w:r>
      <w:proofErr w:type="gram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пикноз</w:t>
      </w:r>
      <w:proofErr w:type="spellEnd"/>
      <w:r w:rsidRPr="00591525">
        <w:rPr>
          <w:sz w:val="28"/>
          <w:szCs w:val="28"/>
        </w:rPr>
        <w:t xml:space="preserve"> ядер, что свидетельствует об умеренном повреждении паренхимы печени во всех группах. </w:t>
      </w:r>
    </w:p>
    <w:p w:rsidR="00314958" w:rsidRPr="00CA35F6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sz w:val="28"/>
          <w:szCs w:val="28"/>
        </w:rPr>
        <w:lastRenderedPageBreak/>
        <w:t xml:space="preserve">Регенераторная активность печени, отражающая степень повреждения паренхиматозного компонента, оценивалась по количеству </w:t>
      </w:r>
      <w:proofErr w:type="gramStart"/>
      <w:r w:rsidRPr="00591525">
        <w:rPr>
          <w:sz w:val="28"/>
          <w:szCs w:val="28"/>
        </w:rPr>
        <w:t>двуядерных</w:t>
      </w:r>
      <w:proofErr w:type="gram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гепатоцитов</w:t>
      </w:r>
      <w:proofErr w:type="spellEnd"/>
      <w:r w:rsidRPr="00591525">
        <w:rPr>
          <w:sz w:val="28"/>
          <w:szCs w:val="28"/>
        </w:rPr>
        <w:t xml:space="preserve"> по отношению к их </w:t>
      </w:r>
      <w:r>
        <w:rPr>
          <w:sz w:val="28"/>
          <w:szCs w:val="28"/>
        </w:rPr>
        <w:t xml:space="preserve">одноядерным формам (табл. 1). </w:t>
      </w:r>
    </w:p>
    <w:p w:rsidR="00314958" w:rsidRPr="00591525" w:rsidRDefault="00314958" w:rsidP="00314958">
      <w:pPr>
        <w:spacing w:line="360" w:lineRule="auto"/>
        <w:jc w:val="right"/>
        <w:rPr>
          <w:i/>
          <w:sz w:val="28"/>
          <w:szCs w:val="28"/>
        </w:rPr>
      </w:pPr>
    </w:p>
    <w:p w:rsidR="00314958" w:rsidRPr="00591525" w:rsidRDefault="00314958" w:rsidP="00314958">
      <w:pPr>
        <w:spacing w:line="360" w:lineRule="auto"/>
        <w:jc w:val="right"/>
        <w:rPr>
          <w:i/>
          <w:sz w:val="28"/>
          <w:szCs w:val="28"/>
        </w:rPr>
      </w:pPr>
      <w:r w:rsidRPr="00591525">
        <w:rPr>
          <w:i/>
          <w:sz w:val="28"/>
          <w:szCs w:val="28"/>
        </w:rPr>
        <w:t>Таблица 1</w:t>
      </w:r>
    </w:p>
    <w:p w:rsidR="00314958" w:rsidRPr="00591525" w:rsidRDefault="00314958" w:rsidP="00314958">
      <w:pPr>
        <w:spacing w:line="360" w:lineRule="auto"/>
        <w:jc w:val="center"/>
        <w:rPr>
          <w:b/>
          <w:sz w:val="28"/>
          <w:szCs w:val="28"/>
        </w:rPr>
      </w:pPr>
      <w:r w:rsidRPr="00591525">
        <w:rPr>
          <w:b/>
          <w:sz w:val="28"/>
          <w:szCs w:val="28"/>
        </w:rPr>
        <w:t xml:space="preserve">Количество двуядерных форм </w:t>
      </w:r>
      <w:proofErr w:type="spellStart"/>
      <w:r w:rsidRPr="00591525">
        <w:rPr>
          <w:b/>
          <w:sz w:val="28"/>
          <w:szCs w:val="28"/>
        </w:rPr>
        <w:t>гепатоцитов</w:t>
      </w:r>
      <w:proofErr w:type="spellEnd"/>
      <w:r w:rsidRPr="00591525">
        <w:rPr>
          <w:b/>
          <w:sz w:val="28"/>
          <w:szCs w:val="28"/>
        </w:rPr>
        <w:t xml:space="preserve"> в печени потомства крыс, рожденных от самок, получавших на протяжении беременности высококалорийное питание (</w:t>
      </w:r>
      <w:proofErr w:type="spellStart"/>
      <w:r w:rsidRPr="00591525">
        <w:rPr>
          <w:b/>
          <w:sz w:val="28"/>
          <w:szCs w:val="28"/>
        </w:rPr>
        <w:t>M±m</w:t>
      </w:r>
      <w:proofErr w:type="spellEnd"/>
      <w:r w:rsidRPr="00591525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843"/>
        <w:gridCol w:w="1984"/>
        <w:gridCol w:w="1843"/>
        <w:gridCol w:w="1808"/>
      </w:tblGrid>
      <w:tr w:rsidR="00314958" w:rsidRPr="00591525" w:rsidTr="00B942BE">
        <w:tc>
          <w:tcPr>
            <w:tcW w:w="2093" w:type="dxa"/>
            <w:vMerge w:val="restart"/>
          </w:tcPr>
          <w:p w:rsidR="00314958" w:rsidRPr="00CA35F6" w:rsidRDefault="00314958" w:rsidP="00B942B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478" w:type="dxa"/>
            <w:gridSpan w:val="4"/>
          </w:tcPr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  <w:r w:rsidRPr="00CA35F6">
              <w:rPr>
                <w:b/>
              </w:rPr>
              <w:t>Группа исследования</w:t>
            </w:r>
          </w:p>
        </w:tc>
      </w:tr>
      <w:tr w:rsidR="00314958" w:rsidRPr="00591525" w:rsidTr="00B942BE">
        <w:tc>
          <w:tcPr>
            <w:tcW w:w="2093" w:type="dxa"/>
            <w:vMerge/>
          </w:tcPr>
          <w:p w:rsidR="00314958" w:rsidRPr="00CA35F6" w:rsidRDefault="00314958" w:rsidP="00B942B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  <w:r w:rsidRPr="00CA35F6">
              <w:rPr>
                <w:b/>
              </w:rPr>
              <w:t>Контроль</w:t>
            </w:r>
          </w:p>
        </w:tc>
        <w:tc>
          <w:tcPr>
            <w:tcW w:w="1984" w:type="dxa"/>
          </w:tcPr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  <w:r w:rsidRPr="00CA35F6">
              <w:rPr>
                <w:b/>
              </w:rPr>
              <w:t xml:space="preserve">Группа 2.1 </w:t>
            </w:r>
          </w:p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n=11</w:t>
            </w:r>
          </w:p>
        </w:tc>
        <w:tc>
          <w:tcPr>
            <w:tcW w:w="1843" w:type="dxa"/>
          </w:tcPr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  <w:r w:rsidRPr="00CA35F6">
              <w:rPr>
                <w:b/>
              </w:rPr>
              <w:t xml:space="preserve">Группа 2.2 </w:t>
            </w:r>
          </w:p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  <w:r w:rsidRPr="00CA35F6">
              <w:t>n=20</w:t>
            </w:r>
          </w:p>
        </w:tc>
        <w:tc>
          <w:tcPr>
            <w:tcW w:w="1808" w:type="dxa"/>
          </w:tcPr>
          <w:p w:rsidR="00314958" w:rsidRPr="00CA35F6" w:rsidRDefault="00314958" w:rsidP="00B942B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5F6">
              <w:rPr>
                <w:rFonts w:ascii="Times New Roman" w:hAnsi="Times New Roman"/>
                <w:b/>
                <w:sz w:val="24"/>
                <w:szCs w:val="24"/>
              </w:rPr>
              <w:t xml:space="preserve">Группа 2.3 </w:t>
            </w:r>
          </w:p>
          <w:p w:rsidR="00314958" w:rsidRPr="00CA35F6" w:rsidRDefault="00314958" w:rsidP="00B942B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5F6">
              <w:rPr>
                <w:rFonts w:ascii="Times New Roman" w:hAnsi="Times New Roman"/>
                <w:sz w:val="24"/>
                <w:szCs w:val="24"/>
              </w:rPr>
              <w:t>n=26</w:t>
            </w:r>
          </w:p>
        </w:tc>
      </w:tr>
      <w:tr w:rsidR="00314958" w:rsidRPr="00591525" w:rsidTr="00B942BE">
        <w:tc>
          <w:tcPr>
            <w:tcW w:w="2093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 xml:space="preserve">Количество </w:t>
            </w:r>
            <w:proofErr w:type="gramStart"/>
            <w:r w:rsidRPr="00CA35F6">
              <w:t>двуядерных</w:t>
            </w:r>
            <w:proofErr w:type="gramEnd"/>
            <w:r w:rsidRPr="00CA35F6">
              <w:t xml:space="preserve"> </w:t>
            </w:r>
            <w:proofErr w:type="spellStart"/>
            <w:r w:rsidRPr="00CA35F6">
              <w:t>гепатоцитов</w:t>
            </w:r>
            <w:proofErr w:type="spellEnd"/>
            <w:r w:rsidRPr="00CA35F6">
              <w:t>, %</w:t>
            </w:r>
          </w:p>
        </w:tc>
        <w:tc>
          <w:tcPr>
            <w:tcW w:w="1843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</w:p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3,01±0,11</w:t>
            </w:r>
          </w:p>
        </w:tc>
        <w:tc>
          <w:tcPr>
            <w:tcW w:w="198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</w:p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3,41±0,03*</w:t>
            </w:r>
          </w:p>
          <w:p w:rsidR="00314958" w:rsidRPr="00CA35F6" w:rsidRDefault="00314958" w:rsidP="00B942BE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</w:p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3,27±0,07*</w:t>
            </w:r>
          </w:p>
          <w:p w:rsidR="00314958" w:rsidRPr="00CA35F6" w:rsidRDefault="00314958" w:rsidP="00B942BE">
            <w:pPr>
              <w:spacing w:line="360" w:lineRule="auto"/>
              <w:jc w:val="center"/>
            </w:pPr>
          </w:p>
        </w:tc>
        <w:tc>
          <w:tcPr>
            <w:tcW w:w="1808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</w:p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3,22±0,03</w:t>
            </w:r>
          </w:p>
        </w:tc>
      </w:tr>
    </w:tbl>
    <w:p w:rsidR="00314958" w:rsidRPr="00591525" w:rsidRDefault="00314958" w:rsidP="00314958">
      <w:pPr>
        <w:spacing w:line="360" w:lineRule="auto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Примечание: * p &lt;0,05 сравнение с группой контроля </w:t>
      </w:r>
    </w:p>
    <w:p w:rsidR="00314958" w:rsidRPr="00591525" w:rsidRDefault="00314958" w:rsidP="00314958">
      <w:pPr>
        <w:spacing w:line="360" w:lineRule="auto"/>
        <w:jc w:val="both"/>
        <w:rPr>
          <w:sz w:val="28"/>
          <w:szCs w:val="28"/>
        </w:rPr>
      </w:pPr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Как видно из таблицы 1, у новорожденных и 1-месячных крыс отмечается достоверное относительно небольшое увеличение количества двуядерных форм </w:t>
      </w:r>
      <w:proofErr w:type="spellStart"/>
      <w:r w:rsidRPr="00591525">
        <w:rPr>
          <w:sz w:val="28"/>
          <w:szCs w:val="28"/>
        </w:rPr>
        <w:t>гепатоцитов</w:t>
      </w:r>
      <w:proofErr w:type="spellEnd"/>
      <w:r w:rsidRPr="00591525">
        <w:rPr>
          <w:sz w:val="28"/>
          <w:szCs w:val="28"/>
        </w:rPr>
        <w:t xml:space="preserve"> по сравнению с контролем, что указывает на то, что избыток жиров и углеводов в рационе матери не оказывает выраженного влияния на морфологию печени их плодов. Вероятнее всего, печень матери берет на себя основную метаболическую нагрузку и орган плода страдает в наименьшей степени. </w:t>
      </w:r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Также степень повреждения паренхимы печени оценивалась при подсчете процентного соотношения элементов стромы и паренхимы печени и вычисления </w:t>
      </w:r>
      <w:proofErr w:type="spellStart"/>
      <w:r w:rsidRPr="00591525">
        <w:rPr>
          <w:sz w:val="28"/>
          <w:szCs w:val="28"/>
        </w:rPr>
        <w:t>стромально</w:t>
      </w:r>
      <w:proofErr w:type="spellEnd"/>
      <w:r w:rsidRPr="00591525">
        <w:rPr>
          <w:sz w:val="28"/>
          <w:szCs w:val="28"/>
        </w:rPr>
        <w:t>-паренхиматозного индекса (табл.2). Чем выше СПИ, тем выше паренхиматозные потери в ткани печени и это свидетельствует о снижении функциональной активности печени.</w:t>
      </w:r>
    </w:p>
    <w:p w:rsidR="00314958" w:rsidRPr="00591525" w:rsidRDefault="00314958" w:rsidP="00314958">
      <w:pPr>
        <w:spacing w:line="360" w:lineRule="auto"/>
        <w:jc w:val="right"/>
        <w:rPr>
          <w:i/>
          <w:sz w:val="28"/>
          <w:szCs w:val="28"/>
        </w:rPr>
      </w:pPr>
      <w:r w:rsidRPr="00591525">
        <w:rPr>
          <w:i/>
          <w:sz w:val="28"/>
          <w:szCs w:val="28"/>
        </w:rPr>
        <w:t xml:space="preserve">Таблица 2 </w:t>
      </w:r>
    </w:p>
    <w:p w:rsidR="00314958" w:rsidRPr="00591525" w:rsidRDefault="00314958" w:rsidP="00314958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591525">
        <w:rPr>
          <w:b/>
          <w:sz w:val="28"/>
          <w:szCs w:val="28"/>
        </w:rPr>
        <w:lastRenderedPageBreak/>
        <w:t>Стромально</w:t>
      </w:r>
      <w:proofErr w:type="spellEnd"/>
      <w:r w:rsidRPr="00591525">
        <w:rPr>
          <w:b/>
          <w:sz w:val="28"/>
          <w:szCs w:val="28"/>
        </w:rPr>
        <w:t>-паренхиматозный индекс в печени крыс-потомков самок, получавших на протяжении беременности высококалорийное питание (</w:t>
      </w:r>
      <w:proofErr w:type="spellStart"/>
      <w:r w:rsidRPr="00591525">
        <w:rPr>
          <w:b/>
          <w:sz w:val="28"/>
          <w:szCs w:val="28"/>
        </w:rPr>
        <w:t>M±m</w:t>
      </w:r>
      <w:proofErr w:type="spellEnd"/>
      <w:r w:rsidRPr="00591525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1869"/>
        <w:gridCol w:w="1869"/>
        <w:gridCol w:w="1869"/>
        <w:gridCol w:w="1869"/>
      </w:tblGrid>
      <w:tr w:rsidR="00314958" w:rsidRPr="00591525" w:rsidTr="00B942BE">
        <w:tc>
          <w:tcPr>
            <w:tcW w:w="1869" w:type="dxa"/>
            <w:vMerge w:val="restart"/>
          </w:tcPr>
          <w:p w:rsidR="00314958" w:rsidRPr="00CA35F6" w:rsidRDefault="00314958" w:rsidP="00B942BE">
            <w:pPr>
              <w:spacing w:line="360" w:lineRule="auto"/>
              <w:jc w:val="both"/>
            </w:pPr>
          </w:p>
        </w:tc>
        <w:tc>
          <w:tcPr>
            <w:tcW w:w="7476" w:type="dxa"/>
            <w:gridSpan w:val="4"/>
          </w:tcPr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  <w:r w:rsidRPr="00CA35F6">
              <w:rPr>
                <w:b/>
              </w:rPr>
              <w:t>Группа исследования</w:t>
            </w:r>
          </w:p>
        </w:tc>
      </w:tr>
      <w:tr w:rsidR="00314958" w:rsidRPr="00591525" w:rsidTr="00B942BE">
        <w:tc>
          <w:tcPr>
            <w:tcW w:w="1869" w:type="dxa"/>
            <w:vMerge/>
          </w:tcPr>
          <w:p w:rsidR="00314958" w:rsidRPr="00CA35F6" w:rsidRDefault="00314958" w:rsidP="00B942BE">
            <w:pPr>
              <w:spacing w:line="360" w:lineRule="auto"/>
              <w:jc w:val="both"/>
            </w:pPr>
          </w:p>
        </w:tc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  <w:r w:rsidRPr="00CA35F6">
              <w:rPr>
                <w:b/>
              </w:rPr>
              <w:t>Контроль</w:t>
            </w:r>
          </w:p>
        </w:tc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  <w:r w:rsidRPr="00CA35F6">
              <w:rPr>
                <w:b/>
              </w:rPr>
              <w:t xml:space="preserve">Группа 2.1 </w:t>
            </w:r>
          </w:p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n=11</w:t>
            </w:r>
          </w:p>
        </w:tc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  <w:r w:rsidRPr="00CA35F6">
              <w:rPr>
                <w:b/>
              </w:rPr>
              <w:t xml:space="preserve">Группа 2.2 </w:t>
            </w:r>
          </w:p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  <w:r w:rsidRPr="00CA35F6">
              <w:t>n=20</w:t>
            </w:r>
          </w:p>
        </w:tc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  <w:r w:rsidRPr="00CA35F6">
              <w:rPr>
                <w:b/>
              </w:rPr>
              <w:t xml:space="preserve">Группа.2.3 </w:t>
            </w:r>
          </w:p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n=26</w:t>
            </w:r>
          </w:p>
        </w:tc>
      </w:tr>
      <w:tr w:rsidR="00314958" w:rsidRPr="00591525" w:rsidTr="00B942BE"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>Строма, %</w:t>
            </w:r>
          </w:p>
        </w:tc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25,6±0,7</w:t>
            </w:r>
          </w:p>
        </w:tc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25,9±0,3</w:t>
            </w:r>
          </w:p>
          <w:p w:rsidR="00314958" w:rsidRPr="00CA35F6" w:rsidRDefault="00314958" w:rsidP="00B942BE">
            <w:pPr>
              <w:spacing w:line="360" w:lineRule="auto"/>
              <w:jc w:val="center"/>
            </w:pPr>
          </w:p>
        </w:tc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25,2±0,2</w:t>
            </w:r>
          </w:p>
          <w:p w:rsidR="00314958" w:rsidRPr="00CA35F6" w:rsidRDefault="00314958" w:rsidP="00B942BE">
            <w:pPr>
              <w:spacing w:line="360" w:lineRule="auto"/>
              <w:jc w:val="center"/>
            </w:pPr>
          </w:p>
        </w:tc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25,5±0,6</w:t>
            </w:r>
          </w:p>
        </w:tc>
      </w:tr>
      <w:tr w:rsidR="00314958" w:rsidRPr="00591525" w:rsidTr="00B942BE"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>Паренхима, %</w:t>
            </w:r>
          </w:p>
        </w:tc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74,4±0,3</w:t>
            </w:r>
          </w:p>
        </w:tc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74,1±0,7</w:t>
            </w:r>
          </w:p>
          <w:p w:rsidR="00314958" w:rsidRPr="00CA35F6" w:rsidRDefault="00314958" w:rsidP="00B942BE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74,8±0,8</w:t>
            </w:r>
          </w:p>
          <w:p w:rsidR="00314958" w:rsidRPr="00CA35F6" w:rsidRDefault="00314958" w:rsidP="00B942BE">
            <w:pPr>
              <w:spacing w:line="360" w:lineRule="auto"/>
              <w:jc w:val="center"/>
            </w:pPr>
          </w:p>
        </w:tc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74,5±0,4</w:t>
            </w:r>
          </w:p>
        </w:tc>
      </w:tr>
      <w:tr w:rsidR="00314958" w:rsidRPr="00591525" w:rsidTr="00B942BE"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proofErr w:type="spellStart"/>
            <w:r w:rsidRPr="00CA35F6">
              <w:t>Стромально</w:t>
            </w:r>
            <w:proofErr w:type="spellEnd"/>
            <w:r w:rsidRPr="00CA35F6">
              <w:t>-паренхиматозный индекс (СПИ)</w:t>
            </w:r>
          </w:p>
        </w:tc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</w:p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0,34±0,01</w:t>
            </w:r>
          </w:p>
        </w:tc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</w:p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0,34±0,01</w:t>
            </w:r>
          </w:p>
          <w:p w:rsidR="00314958" w:rsidRPr="00CA35F6" w:rsidRDefault="00314958" w:rsidP="00B942BE">
            <w:pPr>
              <w:spacing w:line="360" w:lineRule="auto"/>
              <w:jc w:val="center"/>
            </w:pPr>
          </w:p>
        </w:tc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</w:p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0,34±0,01</w:t>
            </w:r>
          </w:p>
          <w:p w:rsidR="00314958" w:rsidRPr="00CA35F6" w:rsidRDefault="00314958" w:rsidP="00B942BE">
            <w:pPr>
              <w:spacing w:line="360" w:lineRule="auto"/>
              <w:jc w:val="center"/>
            </w:pPr>
          </w:p>
        </w:tc>
        <w:tc>
          <w:tcPr>
            <w:tcW w:w="186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</w:p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0,34±0,01</w:t>
            </w:r>
          </w:p>
        </w:tc>
      </w:tr>
    </w:tbl>
    <w:p w:rsidR="00314958" w:rsidRPr="00591525" w:rsidRDefault="00314958" w:rsidP="00314958">
      <w:pPr>
        <w:spacing w:line="360" w:lineRule="auto"/>
        <w:jc w:val="both"/>
        <w:rPr>
          <w:sz w:val="28"/>
          <w:szCs w:val="28"/>
        </w:rPr>
      </w:pPr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Как видно из таблицы 2, показатели элементов стромы и паренхимы, а также </w:t>
      </w:r>
      <w:proofErr w:type="gramStart"/>
      <w:r w:rsidRPr="00591525">
        <w:rPr>
          <w:sz w:val="28"/>
          <w:szCs w:val="28"/>
        </w:rPr>
        <w:t>СПИ</w:t>
      </w:r>
      <w:proofErr w:type="gramEnd"/>
      <w:r w:rsidRPr="00591525">
        <w:rPr>
          <w:sz w:val="28"/>
          <w:szCs w:val="28"/>
        </w:rPr>
        <w:t xml:space="preserve"> были такими же как в контрольной группе, что подтверждает сделанное ранее заключение о том, что паренхима печени потомства крыс, рожденных от самок, получавших на протяжении беременности высококалорийное питание (с избытком жиров и углеводов) практически не страдает. </w:t>
      </w:r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591525">
        <w:rPr>
          <w:sz w:val="28"/>
          <w:szCs w:val="28"/>
        </w:rPr>
        <w:t>Иммуногистохимическое</w:t>
      </w:r>
      <w:proofErr w:type="spellEnd"/>
      <w:r w:rsidRPr="00591525">
        <w:rPr>
          <w:sz w:val="28"/>
          <w:szCs w:val="28"/>
        </w:rPr>
        <w:t xml:space="preserve"> исследование маркеров эндотелиальной дисфункции показало минимальное снижение уровня экспрессии эндотелиальной </w:t>
      </w:r>
      <w:proofErr w:type="spellStart"/>
      <w:r w:rsidRPr="00591525">
        <w:rPr>
          <w:sz w:val="28"/>
          <w:szCs w:val="28"/>
        </w:rPr>
        <w:t>синтазы</w:t>
      </w:r>
      <w:proofErr w:type="spellEnd"/>
      <w:r w:rsidRPr="00591525">
        <w:rPr>
          <w:sz w:val="28"/>
          <w:szCs w:val="28"/>
        </w:rPr>
        <w:t xml:space="preserve"> оксида азота во всех образцах печени потомства крыс основной группы, по сравнению с контролем, что свидетельствует о высоких компенсаторных возможностях организма матери, получавшей высококалорийное питание во время беременности и отсутствии выраженного органического повреждения печени крысят в разных возрастных группах. </w:t>
      </w:r>
      <w:proofErr w:type="gramEnd"/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Функциональное состояние печени потомства крыс оценивали по данным биохимического анализа компонентов сыворотки крови и </w:t>
      </w:r>
      <w:proofErr w:type="spellStart"/>
      <w:r w:rsidRPr="00591525">
        <w:rPr>
          <w:sz w:val="28"/>
          <w:szCs w:val="28"/>
        </w:rPr>
        <w:t>гомогенатов</w:t>
      </w:r>
      <w:proofErr w:type="spellEnd"/>
      <w:r w:rsidRPr="00591525">
        <w:rPr>
          <w:sz w:val="28"/>
          <w:szCs w:val="28"/>
        </w:rPr>
        <w:t xml:space="preserve"> печени, результаты которого </w:t>
      </w:r>
      <w:r>
        <w:rPr>
          <w:sz w:val="28"/>
          <w:szCs w:val="28"/>
        </w:rPr>
        <w:t xml:space="preserve">представлены в таблицах 3 – 4. </w:t>
      </w:r>
    </w:p>
    <w:p w:rsidR="00314958" w:rsidRPr="00591525" w:rsidRDefault="00314958" w:rsidP="00314958">
      <w:pPr>
        <w:spacing w:line="360" w:lineRule="auto"/>
        <w:jc w:val="right"/>
        <w:rPr>
          <w:i/>
          <w:sz w:val="28"/>
          <w:szCs w:val="28"/>
        </w:rPr>
      </w:pPr>
      <w:r w:rsidRPr="00591525">
        <w:rPr>
          <w:i/>
          <w:sz w:val="28"/>
          <w:szCs w:val="28"/>
        </w:rPr>
        <w:lastRenderedPageBreak/>
        <w:t xml:space="preserve">Таблица 3 </w:t>
      </w:r>
    </w:p>
    <w:p w:rsidR="00314958" w:rsidRPr="00591525" w:rsidRDefault="00314958" w:rsidP="00314958">
      <w:pPr>
        <w:spacing w:line="360" w:lineRule="auto"/>
        <w:jc w:val="center"/>
        <w:rPr>
          <w:b/>
          <w:sz w:val="28"/>
          <w:szCs w:val="28"/>
        </w:rPr>
      </w:pPr>
      <w:r w:rsidRPr="00591525">
        <w:rPr>
          <w:b/>
          <w:sz w:val="28"/>
          <w:szCs w:val="28"/>
        </w:rPr>
        <w:t xml:space="preserve">Биохимические показатели сыворотки крови, характеризующие </w:t>
      </w:r>
      <w:proofErr w:type="gramStart"/>
      <w:r w:rsidRPr="00591525">
        <w:rPr>
          <w:b/>
          <w:sz w:val="28"/>
          <w:szCs w:val="28"/>
        </w:rPr>
        <w:t>функциональное</w:t>
      </w:r>
      <w:proofErr w:type="gramEnd"/>
      <w:r w:rsidRPr="00591525">
        <w:rPr>
          <w:b/>
          <w:sz w:val="28"/>
          <w:szCs w:val="28"/>
        </w:rPr>
        <w:t xml:space="preserve"> состояния печени крыс-потомков разного возраста (</w:t>
      </w:r>
      <w:proofErr w:type="spellStart"/>
      <w:r w:rsidRPr="00591525">
        <w:rPr>
          <w:b/>
          <w:sz w:val="28"/>
          <w:szCs w:val="28"/>
        </w:rPr>
        <w:t>M±m</w:t>
      </w:r>
      <w:proofErr w:type="spellEnd"/>
      <w:r w:rsidRPr="00591525">
        <w:rPr>
          <w:b/>
          <w:sz w:val="28"/>
          <w:szCs w:val="28"/>
        </w:rPr>
        <w:t>)</w:t>
      </w:r>
    </w:p>
    <w:p w:rsidR="00314958" w:rsidRPr="00591525" w:rsidRDefault="00314958" w:rsidP="00314958">
      <w:pPr>
        <w:spacing w:line="360" w:lineRule="auto"/>
        <w:jc w:val="right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1754"/>
        <w:gridCol w:w="1839"/>
        <w:gridCol w:w="1796"/>
        <w:gridCol w:w="1910"/>
      </w:tblGrid>
      <w:tr w:rsidR="00314958" w:rsidRPr="00591525" w:rsidTr="00B942BE">
        <w:tc>
          <w:tcPr>
            <w:tcW w:w="2046" w:type="dxa"/>
            <w:vMerge w:val="restart"/>
          </w:tcPr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  <w:r w:rsidRPr="00CA35F6">
              <w:rPr>
                <w:b/>
              </w:rPr>
              <w:t>Показатели</w:t>
            </w:r>
          </w:p>
        </w:tc>
        <w:tc>
          <w:tcPr>
            <w:tcW w:w="7299" w:type="dxa"/>
            <w:gridSpan w:val="4"/>
          </w:tcPr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  <w:r w:rsidRPr="00CA35F6">
              <w:rPr>
                <w:b/>
              </w:rPr>
              <w:t>Группа исследования</w:t>
            </w:r>
          </w:p>
        </w:tc>
      </w:tr>
      <w:tr w:rsidR="00314958" w:rsidRPr="00591525" w:rsidTr="00B942BE">
        <w:tc>
          <w:tcPr>
            <w:tcW w:w="2046" w:type="dxa"/>
            <w:vMerge/>
          </w:tcPr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  <w:r w:rsidRPr="00CA35F6">
              <w:rPr>
                <w:b/>
              </w:rPr>
              <w:t>Контроль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  <w:r w:rsidRPr="00CA35F6">
              <w:rPr>
                <w:b/>
              </w:rPr>
              <w:t xml:space="preserve">Группа 2.2 </w:t>
            </w:r>
          </w:p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  <w:r w:rsidRPr="00CA35F6">
              <w:t>n=20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  <w:rPr>
                <w:b/>
              </w:rPr>
            </w:pPr>
            <w:r w:rsidRPr="00CA35F6">
              <w:rPr>
                <w:b/>
              </w:rPr>
              <w:t>Контроль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rPr>
                <w:b/>
              </w:rPr>
              <w:t>Группа.2.3</w:t>
            </w:r>
            <w:r w:rsidRPr="00CA35F6">
              <w:t xml:space="preserve"> </w:t>
            </w:r>
          </w:p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n=26</w:t>
            </w:r>
          </w:p>
        </w:tc>
      </w:tr>
      <w:tr w:rsidR="00314958" w:rsidRPr="00591525" w:rsidTr="00B942BE">
        <w:tc>
          <w:tcPr>
            <w:tcW w:w="2046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 xml:space="preserve">ГГТ, </w:t>
            </w:r>
            <w:proofErr w:type="spellStart"/>
            <w:r w:rsidRPr="00CA35F6">
              <w:t>нмоль</w:t>
            </w:r>
            <w:proofErr w:type="spellEnd"/>
            <w:r w:rsidRPr="00CA35F6">
              <w:t>/</w:t>
            </w:r>
            <w:proofErr w:type="spellStart"/>
            <w:r w:rsidRPr="00CA35F6">
              <w:t>с·</w:t>
            </w:r>
            <w:proofErr w:type="gramStart"/>
            <w:r w:rsidRPr="00CA35F6">
              <w:t>л</w:t>
            </w:r>
            <w:proofErr w:type="spellEnd"/>
            <w:proofErr w:type="gramEnd"/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127,74±2,3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125,2±0,83•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151,96±0,43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196,27±0,65**</w:t>
            </w:r>
          </w:p>
        </w:tc>
      </w:tr>
      <w:tr w:rsidR="00314958" w:rsidRPr="00591525" w:rsidTr="00B942BE">
        <w:tc>
          <w:tcPr>
            <w:tcW w:w="2046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 xml:space="preserve">СДГ, </w:t>
            </w:r>
            <w:proofErr w:type="spellStart"/>
            <w:r w:rsidRPr="00CA35F6">
              <w:t>нмоль</w:t>
            </w:r>
            <w:proofErr w:type="spellEnd"/>
            <w:r w:rsidRPr="00CA35F6">
              <w:t>/</w:t>
            </w:r>
            <w:proofErr w:type="spellStart"/>
            <w:r w:rsidRPr="00CA35F6">
              <w:t>с·</w:t>
            </w:r>
            <w:proofErr w:type="gramStart"/>
            <w:r w:rsidRPr="00CA35F6">
              <w:t>л</w:t>
            </w:r>
            <w:proofErr w:type="spellEnd"/>
            <w:proofErr w:type="gramEnd"/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3,01±0.05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5,11±0,05**•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3,96±0,02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6,38±0,04**</w:t>
            </w:r>
          </w:p>
        </w:tc>
      </w:tr>
      <w:tr w:rsidR="00314958" w:rsidRPr="00591525" w:rsidTr="00B942BE">
        <w:tc>
          <w:tcPr>
            <w:tcW w:w="2046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 xml:space="preserve">Общий белок, </w:t>
            </w:r>
            <w:proofErr w:type="gramStart"/>
            <w:r w:rsidRPr="00CA35F6">
              <w:t>г</w:t>
            </w:r>
            <w:proofErr w:type="gramEnd"/>
            <w:r w:rsidRPr="00CA35F6">
              <w:t>/л</w:t>
            </w:r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65,47±0,33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68,51±0,33**•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64,43±0,14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64,37±0,11</w:t>
            </w:r>
          </w:p>
        </w:tc>
      </w:tr>
      <w:tr w:rsidR="00314958" w:rsidRPr="00591525" w:rsidTr="00B942BE">
        <w:tc>
          <w:tcPr>
            <w:tcW w:w="2046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>Альбумин, %</w:t>
            </w:r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51,33±0,29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51,5±0,17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53,14±0,25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51,71±0,19</w:t>
            </w:r>
          </w:p>
        </w:tc>
      </w:tr>
      <w:tr w:rsidR="00314958" w:rsidRPr="00591525" w:rsidTr="00B942BE">
        <w:tc>
          <w:tcPr>
            <w:tcW w:w="2046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>α</w:t>
            </w:r>
            <w:r w:rsidRPr="00CA35F6">
              <w:rPr>
                <w:vertAlign w:val="subscript"/>
              </w:rPr>
              <w:t xml:space="preserve">1 </w:t>
            </w:r>
            <w:r w:rsidRPr="00CA35F6">
              <w:t>– глобулин, %</w:t>
            </w:r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6,72±0,1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5,69±0,1**•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5,33±0,06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5,32±0,06</w:t>
            </w:r>
          </w:p>
        </w:tc>
      </w:tr>
      <w:tr w:rsidR="00314958" w:rsidRPr="00591525" w:rsidTr="00B942BE">
        <w:tc>
          <w:tcPr>
            <w:tcW w:w="2046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>α</w:t>
            </w:r>
            <w:r w:rsidRPr="00CA35F6">
              <w:rPr>
                <w:vertAlign w:val="subscript"/>
              </w:rPr>
              <w:t>2</w:t>
            </w:r>
            <w:r w:rsidRPr="00CA35F6">
              <w:t xml:space="preserve"> – глобулин, %</w:t>
            </w:r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9,15±0,13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7,17±0,1**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7,34±0,09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6,87±0,1**</w:t>
            </w:r>
          </w:p>
        </w:tc>
      </w:tr>
      <w:tr w:rsidR="00314958" w:rsidRPr="00591525" w:rsidTr="00B942BE">
        <w:tc>
          <w:tcPr>
            <w:tcW w:w="2046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>β – глобулин, %</w:t>
            </w:r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10,87±0,1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13,46±0,17**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9,66±0,09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13,52±0,31**</w:t>
            </w:r>
          </w:p>
        </w:tc>
      </w:tr>
      <w:tr w:rsidR="00314958" w:rsidRPr="00591525" w:rsidTr="00B942BE">
        <w:tc>
          <w:tcPr>
            <w:tcW w:w="2046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>γ – глобулин, %</w:t>
            </w:r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21,61±0,29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22,15±0,28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24,44±0,27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22,54±0,42*</w:t>
            </w:r>
          </w:p>
        </w:tc>
      </w:tr>
      <w:tr w:rsidR="00314958" w:rsidRPr="00591525" w:rsidTr="00B942BE">
        <w:tc>
          <w:tcPr>
            <w:tcW w:w="2046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>Холестерин,</w:t>
            </w:r>
          </w:p>
          <w:p w:rsidR="00314958" w:rsidRPr="00CA35F6" w:rsidRDefault="00314958" w:rsidP="00B942BE">
            <w:pPr>
              <w:spacing w:line="360" w:lineRule="auto"/>
              <w:jc w:val="both"/>
            </w:pPr>
            <w:proofErr w:type="spellStart"/>
            <w:r w:rsidRPr="00CA35F6">
              <w:t>ммоль</w:t>
            </w:r>
            <w:proofErr w:type="spellEnd"/>
            <w:r w:rsidRPr="00CA35F6">
              <w:t>/л</w:t>
            </w:r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3,93±0,05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3,53±0,04**•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5,12±0,02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4,95±0,09</w:t>
            </w:r>
          </w:p>
        </w:tc>
      </w:tr>
      <w:tr w:rsidR="00314958" w:rsidRPr="00591525" w:rsidTr="00B942BE">
        <w:tc>
          <w:tcPr>
            <w:tcW w:w="2046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 xml:space="preserve">ЛПНП, </w:t>
            </w:r>
            <w:proofErr w:type="spellStart"/>
            <w:r w:rsidRPr="00CA35F6">
              <w:t>ммоль</w:t>
            </w:r>
            <w:proofErr w:type="spellEnd"/>
            <w:r w:rsidRPr="00CA35F6">
              <w:t>/л</w:t>
            </w:r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1,07±0,03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1,89±0,03**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1,41±0,02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2,11±0,08**</w:t>
            </w:r>
          </w:p>
        </w:tc>
      </w:tr>
      <w:tr w:rsidR="00314958" w:rsidRPr="00591525" w:rsidTr="00B942BE">
        <w:tc>
          <w:tcPr>
            <w:tcW w:w="2046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 xml:space="preserve">ЛПОНП, </w:t>
            </w:r>
            <w:proofErr w:type="spellStart"/>
            <w:r w:rsidRPr="00CA35F6">
              <w:t>ммоль</w:t>
            </w:r>
            <w:proofErr w:type="spellEnd"/>
            <w:r w:rsidRPr="00CA35F6">
              <w:t>/л</w:t>
            </w:r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0,27±0,006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0,22±0,004**•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0,49±0,009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0,65±0,01**</w:t>
            </w:r>
          </w:p>
        </w:tc>
      </w:tr>
      <w:tr w:rsidR="00314958" w:rsidRPr="00591525" w:rsidTr="00B942BE">
        <w:tc>
          <w:tcPr>
            <w:tcW w:w="2046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 xml:space="preserve">ЛПВП, </w:t>
            </w:r>
            <w:proofErr w:type="spellStart"/>
            <w:r w:rsidRPr="00CA35F6">
              <w:t>ммоль</w:t>
            </w:r>
            <w:proofErr w:type="spellEnd"/>
            <w:r w:rsidRPr="00CA35F6">
              <w:t>/л</w:t>
            </w:r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2,59±0,05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1,42±0,03**•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3,22±0,02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2,18±0,15**</w:t>
            </w:r>
          </w:p>
        </w:tc>
      </w:tr>
      <w:tr w:rsidR="00314958" w:rsidRPr="00591525" w:rsidTr="00B942BE">
        <w:tc>
          <w:tcPr>
            <w:tcW w:w="2046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 xml:space="preserve">Триглицериды, </w:t>
            </w:r>
            <w:proofErr w:type="spellStart"/>
            <w:r w:rsidRPr="00CA35F6">
              <w:t>ммоль</w:t>
            </w:r>
            <w:proofErr w:type="spellEnd"/>
            <w:r w:rsidRPr="00CA35F6">
              <w:t>/л</w:t>
            </w:r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0,58±0,02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0,49±0,01**•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1,09±0,02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1,45±0,02**</w:t>
            </w:r>
          </w:p>
        </w:tc>
      </w:tr>
      <w:tr w:rsidR="00314958" w:rsidRPr="00591525" w:rsidTr="00B942BE">
        <w:tc>
          <w:tcPr>
            <w:tcW w:w="2046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 xml:space="preserve">Индекс </w:t>
            </w:r>
            <w:proofErr w:type="spellStart"/>
            <w:r w:rsidRPr="00CA35F6">
              <w:t>атерогенности</w:t>
            </w:r>
            <w:proofErr w:type="spellEnd"/>
            <w:r w:rsidRPr="00CA35F6">
              <w:t xml:space="preserve"> (ИА)</w:t>
            </w:r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0,52±0,02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1,51±0,04**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0,59±0,009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1,42±0,11**</w:t>
            </w:r>
          </w:p>
        </w:tc>
      </w:tr>
      <w:tr w:rsidR="00314958" w:rsidRPr="00591525" w:rsidTr="00B942BE">
        <w:tc>
          <w:tcPr>
            <w:tcW w:w="2046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 xml:space="preserve">Кетоновые тела, </w:t>
            </w:r>
            <w:proofErr w:type="spellStart"/>
            <w:r w:rsidRPr="00CA35F6">
              <w:t>ммоль</w:t>
            </w:r>
            <w:proofErr w:type="spellEnd"/>
            <w:r w:rsidRPr="00CA35F6">
              <w:t>/л</w:t>
            </w:r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1,17±0,02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1,08±0,02**•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2,45±0,02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1,96±0,07**</w:t>
            </w:r>
          </w:p>
        </w:tc>
      </w:tr>
      <w:tr w:rsidR="00314958" w:rsidRPr="00591525" w:rsidTr="00B942BE">
        <w:tc>
          <w:tcPr>
            <w:tcW w:w="2046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 xml:space="preserve">Глюкоза, </w:t>
            </w:r>
            <w:proofErr w:type="spellStart"/>
            <w:r w:rsidRPr="00CA35F6">
              <w:t>ммоль</w:t>
            </w:r>
            <w:proofErr w:type="spellEnd"/>
            <w:r w:rsidRPr="00CA35F6">
              <w:t>/л</w:t>
            </w:r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4,06±0,05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4,96±0,07**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3,96±0,03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4,84±0,09**</w:t>
            </w:r>
          </w:p>
        </w:tc>
      </w:tr>
      <w:tr w:rsidR="00314958" w:rsidRPr="00591525" w:rsidTr="00B942BE">
        <w:tc>
          <w:tcPr>
            <w:tcW w:w="2046" w:type="dxa"/>
          </w:tcPr>
          <w:p w:rsidR="00314958" w:rsidRPr="00CA35F6" w:rsidRDefault="00314958" w:rsidP="00B942BE">
            <w:pPr>
              <w:spacing w:line="360" w:lineRule="auto"/>
              <w:jc w:val="both"/>
            </w:pPr>
            <w:r w:rsidRPr="00CA35F6">
              <w:t xml:space="preserve">Мочевина, </w:t>
            </w:r>
            <w:proofErr w:type="spellStart"/>
            <w:r w:rsidRPr="00CA35F6">
              <w:t>ммоль</w:t>
            </w:r>
            <w:proofErr w:type="spellEnd"/>
            <w:r w:rsidRPr="00CA35F6">
              <w:t>/л</w:t>
            </w:r>
          </w:p>
        </w:tc>
        <w:tc>
          <w:tcPr>
            <w:tcW w:w="1754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5,78±0,16</w:t>
            </w:r>
          </w:p>
        </w:tc>
        <w:tc>
          <w:tcPr>
            <w:tcW w:w="1839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6±0,04</w:t>
            </w:r>
          </w:p>
        </w:tc>
        <w:tc>
          <w:tcPr>
            <w:tcW w:w="1796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6,1±0,04</w:t>
            </w:r>
          </w:p>
        </w:tc>
        <w:tc>
          <w:tcPr>
            <w:tcW w:w="1910" w:type="dxa"/>
          </w:tcPr>
          <w:p w:rsidR="00314958" w:rsidRPr="00CA35F6" w:rsidRDefault="00314958" w:rsidP="00B942BE">
            <w:pPr>
              <w:spacing w:line="360" w:lineRule="auto"/>
              <w:jc w:val="center"/>
            </w:pPr>
            <w:r w:rsidRPr="00CA35F6">
              <w:t>6,8±0,28</w:t>
            </w:r>
          </w:p>
        </w:tc>
      </w:tr>
    </w:tbl>
    <w:p w:rsidR="00314958" w:rsidRPr="00591525" w:rsidRDefault="00314958" w:rsidP="00314958">
      <w:pPr>
        <w:spacing w:line="360" w:lineRule="auto"/>
        <w:jc w:val="both"/>
        <w:rPr>
          <w:sz w:val="28"/>
          <w:szCs w:val="28"/>
        </w:rPr>
      </w:pPr>
      <w:r w:rsidRPr="00591525">
        <w:rPr>
          <w:sz w:val="28"/>
          <w:szCs w:val="28"/>
        </w:rPr>
        <w:lastRenderedPageBreak/>
        <w:t>Примечание: ** p &lt;0,01 по сравнению с группой контроля; * p &lt;0,05 по сравнению с группой контроля; • p &lt;0,01 по сравнению с 2х-месячными крысятами основной группы</w:t>
      </w:r>
      <w:r>
        <w:rPr>
          <w:sz w:val="28"/>
          <w:szCs w:val="28"/>
        </w:rPr>
        <w:t xml:space="preserve"> </w:t>
      </w:r>
    </w:p>
    <w:p w:rsidR="00314958" w:rsidRPr="00591525" w:rsidRDefault="00314958" w:rsidP="00314958">
      <w:pPr>
        <w:spacing w:line="360" w:lineRule="auto"/>
        <w:ind w:left="1605"/>
        <w:jc w:val="right"/>
        <w:rPr>
          <w:i/>
          <w:sz w:val="28"/>
          <w:szCs w:val="28"/>
        </w:rPr>
      </w:pPr>
      <w:r w:rsidRPr="00591525">
        <w:rPr>
          <w:i/>
          <w:sz w:val="28"/>
          <w:szCs w:val="28"/>
        </w:rPr>
        <w:t>Таблица 4</w:t>
      </w:r>
    </w:p>
    <w:p w:rsidR="00314958" w:rsidRPr="00591525" w:rsidRDefault="00314958" w:rsidP="00314958">
      <w:pPr>
        <w:spacing w:line="360" w:lineRule="auto"/>
        <w:ind w:left="1605"/>
        <w:jc w:val="center"/>
        <w:rPr>
          <w:b/>
          <w:i/>
          <w:sz w:val="28"/>
          <w:szCs w:val="28"/>
        </w:rPr>
      </w:pPr>
      <w:r w:rsidRPr="00591525">
        <w:rPr>
          <w:b/>
          <w:sz w:val="28"/>
          <w:szCs w:val="28"/>
        </w:rPr>
        <w:t xml:space="preserve">Содержание липидов и гликогена в </w:t>
      </w:r>
      <w:proofErr w:type="spellStart"/>
      <w:r w:rsidRPr="00591525">
        <w:rPr>
          <w:b/>
          <w:sz w:val="28"/>
          <w:szCs w:val="28"/>
        </w:rPr>
        <w:t>гомогенате</w:t>
      </w:r>
      <w:proofErr w:type="spellEnd"/>
      <w:r w:rsidRPr="00591525">
        <w:rPr>
          <w:b/>
          <w:sz w:val="28"/>
          <w:szCs w:val="28"/>
        </w:rPr>
        <w:t xml:space="preserve"> печени потомства крыс(</w:t>
      </w:r>
      <w:proofErr w:type="spellStart"/>
      <w:r w:rsidRPr="00591525">
        <w:rPr>
          <w:b/>
          <w:sz w:val="28"/>
          <w:szCs w:val="28"/>
        </w:rPr>
        <w:t>M±m</w:t>
      </w:r>
      <w:proofErr w:type="spellEnd"/>
      <w:r w:rsidRPr="00591525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1304"/>
        <w:gridCol w:w="1276"/>
        <w:gridCol w:w="1389"/>
        <w:gridCol w:w="1275"/>
        <w:gridCol w:w="1299"/>
      </w:tblGrid>
      <w:tr w:rsidR="00314958" w:rsidRPr="00591525" w:rsidTr="00B942BE">
        <w:tc>
          <w:tcPr>
            <w:tcW w:w="1526" w:type="dxa"/>
            <w:vMerge w:val="restart"/>
          </w:tcPr>
          <w:p w:rsidR="00314958" w:rsidRPr="00591525" w:rsidRDefault="00314958" w:rsidP="00B942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1525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7819" w:type="dxa"/>
            <w:gridSpan w:val="6"/>
          </w:tcPr>
          <w:p w:rsidR="00314958" w:rsidRPr="00591525" w:rsidRDefault="00314958" w:rsidP="00B942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1525">
              <w:rPr>
                <w:b/>
                <w:sz w:val="20"/>
                <w:szCs w:val="20"/>
              </w:rPr>
              <w:t>Группа исследования</w:t>
            </w:r>
          </w:p>
        </w:tc>
      </w:tr>
      <w:tr w:rsidR="00314958" w:rsidRPr="00591525" w:rsidTr="00B942BE">
        <w:tc>
          <w:tcPr>
            <w:tcW w:w="1526" w:type="dxa"/>
            <w:vMerge/>
          </w:tcPr>
          <w:p w:rsidR="00314958" w:rsidRPr="00591525" w:rsidRDefault="00314958" w:rsidP="00B942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4958" w:rsidRPr="00591525" w:rsidRDefault="00314958" w:rsidP="00B942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1525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1304" w:type="dxa"/>
          </w:tcPr>
          <w:p w:rsidR="00314958" w:rsidRPr="00591525" w:rsidRDefault="00314958" w:rsidP="00B942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1525">
              <w:rPr>
                <w:b/>
                <w:sz w:val="20"/>
                <w:szCs w:val="20"/>
              </w:rPr>
              <w:t xml:space="preserve">Группа 2.1 </w:t>
            </w:r>
            <w:r w:rsidRPr="00591525">
              <w:rPr>
                <w:sz w:val="20"/>
                <w:szCs w:val="20"/>
              </w:rPr>
              <w:t>n=11</w:t>
            </w:r>
          </w:p>
          <w:p w:rsidR="00314958" w:rsidRPr="00591525" w:rsidRDefault="00314958" w:rsidP="00B942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4958" w:rsidRPr="00591525" w:rsidRDefault="00314958" w:rsidP="00B942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1525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1389" w:type="dxa"/>
          </w:tcPr>
          <w:p w:rsidR="00314958" w:rsidRPr="00591525" w:rsidRDefault="00314958" w:rsidP="00B942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1525">
              <w:rPr>
                <w:b/>
                <w:sz w:val="20"/>
                <w:szCs w:val="20"/>
              </w:rPr>
              <w:t>Группа 2.2</w:t>
            </w:r>
          </w:p>
          <w:p w:rsidR="00314958" w:rsidRPr="00591525" w:rsidRDefault="00314958" w:rsidP="00B942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n=20</w:t>
            </w:r>
          </w:p>
        </w:tc>
        <w:tc>
          <w:tcPr>
            <w:tcW w:w="1275" w:type="dxa"/>
          </w:tcPr>
          <w:p w:rsidR="00314958" w:rsidRPr="00591525" w:rsidRDefault="00314958" w:rsidP="00B942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1525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1299" w:type="dxa"/>
          </w:tcPr>
          <w:p w:rsidR="00314958" w:rsidRPr="00591525" w:rsidRDefault="00314958" w:rsidP="00B942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1525">
              <w:rPr>
                <w:b/>
                <w:sz w:val="20"/>
                <w:szCs w:val="20"/>
              </w:rPr>
              <w:t>Группа 2.3</w:t>
            </w:r>
          </w:p>
          <w:p w:rsidR="00314958" w:rsidRPr="00591525" w:rsidRDefault="00314958" w:rsidP="00B942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n=26</w:t>
            </w:r>
          </w:p>
        </w:tc>
      </w:tr>
      <w:tr w:rsidR="00314958" w:rsidRPr="00591525" w:rsidTr="00B942BE">
        <w:trPr>
          <w:trHeight w:val="944"/>
        </w:trPr>
        <w:tc>
          <w:tcPr>
            <w:tcW w:w="1526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ХС, мг/г</w:t>
            </w:r>
          </w:p>
        </w:tc>
        <w:tc>
          <w:tcPr>
            <w:tcW w:w="1276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0,21±0,007</w:t>
            </w:r>
          </w:p>
        </w:tc>
        <w:tc>
          <w:tcPr>
            <w:tcW w:w="1304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 xml:space="preserve">0,24±0,009* </w:t>
            </w: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p</w:t>
            </w:r>
            <w:r w:rsidRPr="00591525">
              <w:rPr>
                <w:sz w:val="20"/>
                <w:szCs w:val="20"/>
                <w:vertAlign w:val="subscript"/>
              </w:rPr>
              <w:t>1,2</w:t>
            </w:r>
            <w:r w:rsidRPr="00591525">
              <w:rPr>
                <w:sz w:val="20"/>
                <w:szCs w:val="20"/>
              </w:rPr>
              <w:t>&lt;0,01</w:t>
            </w: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0,26±0,02</w:t>
            </w:r>
          </w:p>
        </w:tc>
        <w:tc>
          <w:tcPr>
            <w:tcW w:w="1389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0,3±0,009*</w:t>
            </w: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p</w:t>
            </w:r>
            <w:r w:rsidRPr="00591525">
              <w:rPr>
                <w:sz w:val="20"/>
                <w:szCs w:val="20"/>
                <w:vertAlign w:val="subscript"/>
              </w:rPr>
              <w:t>2</w:t>
            </w:r>
            <w:r w:rsidRPr="00591525">
              <w:rPr>
                <w:sz w:val="20"/>
                <w:szCs w:val="20"/>
              </w:rPr>
              <w:t>&lt;0,01</w:t>
            </w:r>
          </w:p>
        </w:tc>
        <w:tc>
          <w:tcPr>
            <w:tcW w:w="1275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0,51±0,008</w:t>
            </w:r>
          </w:p>
        </w:tc>
        <w:tc>
          <w:tcPr>
            <w:tcW w:w="1299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0,54±0,01</w:t>
            </w:r>
          </w:p>
        </w:tc>
      </w:tr>
      <w:tr w:rsidR="00314958" w:rsidRPr="00591525" w:rsidTr="00B942BE">
        <w:tc>
          <w:tcPr>
            <w:tcW w:w="1526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Фосфолипиды, мг/г</w:t>
            </w:r>
          </w:p>
        </w:tc>
        <w:tc>
          <w:tcPr>
            <w:tcW w:w="1276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18,84±0,31</w:t>
            </w:r>
          </w:p>
        </w:tc>
        <w:tc>
          <w:tcPr>
            <w:tcW w:w="1304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17,23±0,12</w:t>
            </w: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**</w:t>
            </w: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p</w:t>
            </w:r>
            <w:r w:rsidRPr="00591525">
              <w:rPr>
                <w:sz w:val="20"/>
                <w:szCs w:val="20"/>
                <w:vertAlign w:val="subscript"/>
              </w:rPr>
              <w:t>1,2</w:t>
            </w:r>
            <w:r w:rsidRPr="00591525">
              <w:rPr>
                <w:sz w:val="20"/>
                <w:szCs w:val="20"/>
              </w:rPr>
              <w:t>&lt;0,01</w:t>
            </w:r>
          </w:p>
        </w:tc>
        <w:tc>
          <w:tcPr>
            <w:tcW w:w="1276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17,36±0,77</w:t>
            </w:r>
          </w:p>
        </w:tc>
        <w:tc>
          <w:tcPr>
            <w:tcW w:w="1389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17,55±0,13*</w:t>
            </w: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p</w:t>
            </w:r>
            <w:r w:rsidRPr="00591525">
              <w:rPr>
                <w:sz w:val="20"/>
                <w:szCs w:val="20"/>
                <w:vertAlign w:val="subscript"/>
              </w:rPr>
              <w:t>2</w:t>
            </w:r>
            <w:r w:rsidRPr="00591525">
              <w:rPr>
                <w:sz w:val="20"/>
                <w:szCs w:val="20"/>
              </w:rPr>
              <w:t>&lt;0,01</w:t>
            </w:r>
          </w:p>
        </w:tc>
        <w:tc>
          <w:tcPr>
            <w:tcW w:w="1275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14,86±0,15</w:t>
            </w:r>
          </w:p>
        </w:tc>
        <w:tc>
          <w:tcPr>
            <w:tcW w:w="1299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10,54±0,12</w:t>
            </w: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**</w:t>
            </w:r>
          </w:p>
        </w:tc>
      </w:tr>
      <w:tr w:rsidR="00314958" w:rsidRPr="00591525" w:rsidTr="00B942BE">
        <w:tc>
          <w:tcPr>
            <w:tcW w:w="1526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Триглицериды, мг/г</w:t>
            </w:r>
          </w:p>
        </w:tc>
        <w:tc>
          <w:tcPr>
            <w:tcW w:w="1276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3,67±0,13</w:t>
            </w:r>
          </w:p>
        </w:tc>
        <w:tc>
          <w:tcPr>
            <w:tcW w:w="1304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3,76±0,14 p</w:t>
            </w:r>
            <w:r w:rsidRPr="00591525">
              <w:rPr>
                <w:sz w:val="20"/>
                <w:szCs w:val="20"/>
                <w:vertAlign w:val="subscript"/>
              </w:rPr>
              <w:t>1,2</w:t>
            </w:r>
            <w:r w:rsidRPr="00591525">
              <w:rPr>
                <w:sz w:val="20"/>
                <w:szCs w:val="20"/>
              </w:rPr>
              <w:t>&lt;0,01</w:t>
            </w: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4,87±0,3</w:t>
            </w:r>
          </w:p>
        </w:tc>
        <w:tc>
          <w:tcPr>
            <w:tcW w:w="1389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 xml:space="preserve">5,1±0,08* </w:t>
            </w: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p</w:t>
            </w:r>
            <w:r w:rsidRPr="00591525">
              <w:rPr>
                <w:sz w:val="20"/>
                <w:szCs w:val="20"/>
                <w:vertAlign w:val="subscript"/>
              </w:rPr>
              <w:t>2</w:t>
            </w:r>
            <w:r w:rsidRPr="00591525">
              <w:rPr>
                <w:sz w:val="20"/>
                <w:szCs w:val="20"/>
              </w:rPr>
              <w:t>&lt;0,01</w:t>
            </w: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7,64±01</w:t>
            </w:r>
          </w:p>
        </w:tc>
        <w:tc>
          <w:tcPr>
            <w:tcW w:w="1299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8,03±0,04**</w:t>
            </w:r>
          </w:p>
        </w:tc>
      </w:tr>
      <w:tr w:rsidR="00314958" w:rsidRPr="00591525" w:rsidTr="00B942BE">
        <w:trPr>
          <w:trHeight w:val="842"/>
        </w:trPr>
        <w:tc>
          <w:tcPr>
            <w:tcW w:w="1526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НЭЖК, мг/г</w:t>
            </w:r>
          </w:p>
        </w:tc>
        <w:tc>
          <w:tcPr>
            <w:tcW w:w="1276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7,65±0,25</w:t>
            </w:r>
          </w:p>
        </w:tc>
        <w:tc>
          <w:tcPr>
            <w:tcW w:w="1304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6,93±0,12* p</w:t>
            </w:r>
            <w:r w:rsidRPr="00591525">
              <w:rPr>
                <w:sz w:val="20"/>
                <w:szCs w:val="20"/>
                <w:vertAlign w:val="subscript"/>
              </w:rPr>
              <w:t>1,2</w:t>
            </w:r>
            <w:r w:rsidRPr="00591525">
              <w:rPr>
                <w:sz w:val="20"/>
                <w:szCs w:val="20"/>
              </w:rPr>
              <w:t>&lt;0,01</w:t>
            </w: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5,7±0,19</w:t>
            </w:r>
          </w:p>
        </w:tc>
        <w:tc>
          <w:tcPr>
            <w:tcW w:w="1389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7,74±0,08**</w:t>
            </w: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p</w:t>
            </w:r>
            <w:r w:rsidRPr="00591525">
              <w:rPr>
                <w:sz w:val="20"/>
                <w:szCs w:val="20"/>
                <w:vertAlign w:val="subscript"/>
              </w:rPr>
              <w:t>2</w:t>
            </w:r>
            <w:r w:rsidRPr="00591525">
              <w:rPr>
                <w:sz w:val="20"/>
                <w:szCs w:val="20"/>
              </w:rPr>
              <w:t>&lt;0,01</w:t>
            </w: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3,83±0,08</w:t>
            </w:r>
          </w:p>
        </w:tc>
        <w:tc>
          <w:tcPr>
            <w:tcW w:w="1299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5,76±0,07**</w:t>
            </w:r>
          </w:p>
        </w:tc>
      </w:tr>
      <w:tr w:rsidR="00314958" w:rsidRPr="00591525" w:rsidTr="00B942BE">
        <w:tc>
          <w:tcPr>
            <w:tcW w:w="1526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Гликоген, мг/г</w:t>
            </w:r>
          </w:p>
        </w:tc>
        <w:tc>
          <w:tcPr>
            <w:tcW w:w="1276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14,5±0,23</w:t>
            </w:r>
          </w:p>
        </w:tc>
        <w:tc>
          <w:tcPr>
            <w:tcW w:w="1304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14,93±0,11 p</w:t>
            </w:r>
            <w:r w:rsidRPr="00591525">
              <w:rPr>
                <w:sz w:val="20"/>
                <w:szCs w:val="20"/>
                <w:vertAlign w:val="subscript"/>
              </w:rPr>
              <w:t>1,2</w:t>
            </w:r>
            <w:r w:rsidRPr="00591525">
              <w:rPr>
                <w:sz w:val="20"/>
                <w:szCs w:val="20"/>
              </w:rPr>
              <w:t>&lt;0,01</w:t>
            </w: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19,62±1,08</w:t>
            </w:r>
          </w:p>
        </w:tc>
        <w:tc>
          <w:tcPr>
            <w:tcW w:w="1389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19,84±0,13*</w:t>
            </w: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p</w:t>
            </w:r>
            <w:r w:rsidRPr="00591525">
              <w:rPr>
                <w:sz w:val="20"/>
                <w:szCs w:val="20"/>
                <w:vertAlign w:val="subscript"/>
              </w:rPr>
              <w:t>2</w:t>
            </w:r>
            <w:r w:rsidRPr="00591525">
              <w:rPr>
                <w:sz w:val="20"/>
                <w:szCs w:val="20"/>
              </w:rPr>
              <w:t>&lt;0,01</w:t>
            </w:r>
          </w:p>
        </w:tc>
        <w:tc>
          <w:tcPr>
            <w:tcW w:w="1275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15,77±0,14</w:t>
            </w:r>
          </w:p>
        </w:tc>
        <w:tc>
          <w:tcPr>
            <w:tcW w:w="1299" w:type="dxa"/>
          </w:tcPr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14,87±0,13</w:t>
            </w:r>
          </w:p>
          <w:p w:rsidR="00314958" w:rsidRPr="00591525" w:rsidRDefault="00314958" w:rsidP="00B942B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525">
              <w:rPr>
                <w:sz w:val="20"/>
                <w:szCs w:val="20"/>
              </w:rPr>
              <w:t>**</w:t>
            </w:r>
          </w:p>
        </w:tc>
      </w:tr>
    </w:tbl>
    <w:p w:rsidR="00314958" w:rsidRPr="00591525" w:rsidRDefault="00314958" w:rsidP="00314958">
      <w:pPr>
        <w:spacing w:line="360" w:lineRule="auto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Примечание: ** p &lt;0,01 по сравнению с группой контроля; * p &lt;0,05 по сравнению с группой контроля </w:t>
      </w:r>
    </w:p>
    <w:p w:rsidR="00314958" w:rsidRPr="00591525" w:rsidRDefault="00314958" w:rsidP="00314958">
      <w:pPr>
        <w:spacing w:line="360" w:lineRule="auto"/>
        <w:jc w:val="both"/>
        <w:rPr>
          <w:sz w:val="28"/>
          <w:szCs w:val="28"/>
        </w:rPr>
      </w:pPr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Как видно из полученных нами данных, в сыворотке крови 1месячных крысят достоверно повышалась активность органоспецифического «печеночного» фермента - СДГ (на 69,84%), по сравнению с животными контрольной группы. В тоже время активность другого органоспецифического фермента ГГТ практически не отличалась от уровня у </w:t>
      </w:r>
      <w:r w:rsidRPr="00591525">
        <w:rPr>
          <w:sz w:val="28"/>
          <w:szCs w:val="28"/>
        </w:rPr>
        <w:lastRenderedPageBreak/>
        <w:t xml:space="preserve">крыс контрольной группы. Эти данные свидетельствуют об умеренно выраженной дестабилизации мембран </w:t>
      </w:r>
      <w:proofErr w:type="spellStart"/>
      <w:r w:rsidRPr="00591525">
        <w:rPr>
          <w:sz w:val="28"/>
          <w:szCs w:val="28"/>
        </w:rPr>
        <w:t>гепатоцитов</w:t>
      </w:r>
      <w:proofErr w:type="spellEnd"/>
      <w:r w:rsidRPr="00591525">
        <w:rPr>
          <w:sz w:val="28"/>
          <w:szCs w:val="28"/>
        </w:rPr>
        <w:t>.</w:t>
      </w:r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У 1мес. крысят гр. 2.2 </w:t>
      </w:r>
      <w:proofErr w:type="gramStart"/>
      <w:r w:rsidRPr="00591525">
        <w:rPr>
          <w:sz w:val="28"/>
          <w:szCs w:val="28"/>
        </w:rPr>
        <w:t>выявлена</w:t>
      </w:r>
      <w:proofErr w:type="gram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диспротеинемия</w:t>
      </w:r>
      <w:proofErr w:type="spellEnd"/>
      <w:r w:rsidRPr="00591525">
        <w:rPr>
          <w:sz w:val="28"/>
          <w:szCs w:val="28"/>
        </w:rPr>
        <w:t xml:space="preserve"> выражающаяся в повышение β- глобулинов - на 23,86%, по сравнению с контролем, а также в снижении уровня α</w:t>
      </w:r>
      <w:r w:rsidRPr="00591525">
        <w:rPr>
          <w:sz w:val="28"/>
          <w:szCs w:val="28"/>
          <w:vertAlign w:val="subscript"/>
        </w:rPr>
        <w:t xml:space="preserve">1 </w:t>
      </w:r>
      <w:r w:rsidRPr="00591525">
        <w:rPr>
          <w:sz w:val="28"/>
          <w:szCs w:val="28"/>
        </w:rPr>
        <w:t>- глобулина на 15,25% и α</w:t>
      </w:r>
      <w:r w:rsidRPr="00591525">
        <w:rPr>
          <w:sz w:val="28"/>
          <w:szCs w:val="28"/>
          <w:vertAlign w:val="subscript"/>
        </w:rPr>
        <w:t>2</w:t>
      </w:r>
      <w:r w:rsidRPr="00591525">
        <w:rPr>
          <w:sz w:val="28"/>
          <w:szCs w:val="28"/>
        </w:rPr>
        <w:t xml:space="preserve"> – глобулина на 21,74%, по сравнению с контролем, что может быть связано со снижением уровня липопротеидов высокой плотности (ЛПВП), с дефицитом транспортных белков. Учитывая, что практически все белки крови синтезируются в печени, можно предположить, что выявленные изменения связаны с особенностями функционального состояния печени.</w:t>
      </w:r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В </w:t>
      </w:r>
      <w:proofErr w:type="spellStart"/>
      <w:r w:rsidRPr="00591525">
        <w:rPr>
          <w:sz w:val="28"/>
          <w:szCs w:val="28"/>
        </w:rPr>
        <w:t>липидограмме</w:t>
      </w:r>
      <w:proofErr w:type="spellEnd"/>
      <w:r w:rsidRPr="00591525">
        <w:rPr>
          <w:sz w:val="28"/>
          <w:szCs w:val="28"/>
        </w:rPr>
        <w:t xml:space="preserve"> сыворотки крови 1мес крысят гр. 2.2 выявлено достоверное повышение уровня ЛПНП на 76,49 %, небольшое понижение уровня общего ХС, ЛПОНП, ЛПВП и ТГ (на 10,39%, 17,73%, 45,21% и 14,79% соответственно, по сравнению с контролем). По-видимому, снижение </w:t>
      </w:r>
      <w:proofErr w:type="gramStart"/>
      <w:r w:rsidRPr="00591525">
        <w:rPr>
          <w:sz w:val="28"/>
          <w:szCs w:val="28"/>
        </w:rPr>
        <w:t>об</w:t>
      </w:r>
      <w:proofErr w:type="gramEnd"/>
      <w:r w:rsidRPr="00591525">
        <w:rPr>
          <w:sz w:val="28"/>
          <w:szCs w:val="28"/>
        </w:rPr>
        <w:t xml:space="preserve">. ХС связано с уменьшением ЛПВП и ЛПОНП. ХС необходим для обновления клеточных мембран, синтеза стероидных гормонов и </w:t>
      </w:r>
      <w:proofErr w:type="spellStart"/>
      <w:r w:rsidRPr="00591525">
        <w:rPr>
          <w:sz w:val="28"/>
          <w:szCs w:val="28"/>
        </w:rPr>
        <w:t>кальцитриола</w:t>
      </w:r>
      <w:proofErr w:type="spellEnd"/>
      <w:r w:rsidRPr="00591525">
        <w:rPr>
          <w:sz w:val="28"/>
          <w:szCs w:val="28"/>
        </w:rPr>
        <w:t xml:space="preserve">, а снижение его уровня может привести к нарушениям протекания вышеперечисленных процессов. Также в сыворотке крови установлено повышение уровня глюкозы на 22,05% по сравнению с контролем без повышения уровня кетоновых тел (снижены на 8,01%), что свидетельствует о нарушении толерантности к глюкозе. </w:t>
      </w:r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В </w:t>
      </w:r>
      <w:proofErr w:type="spellStart"/>
      <w:r w:rsidRPr="00591525">
        <w:rPr>
          <w:sz w:val="28"/>
          <w:szCs w:val="28"/>
        </w:rPr>
        <w:t>сывор</w:t>
      </w:r>
      <w:proofErr w:type="spellEnd"/>
      <w:r>
        <w:rPr>
          <w:sz w:val="28"/>
          <w:szCs w:val="28"/>
          <w:lang w:val="uk-UA"/>
        </w:rPr>
        <w:t>о</w:t>
      </w:r>
      <w:proofErr w:type="spellStart"/>
      <w:r w:rsidRPr="00591525">
        <w:rPr>
          <w:sz w:val="28"/>
          <w:szCs w:val="28"/>
        </w:rPr>
        <w:t>тке</w:t>
      </w:r>
      <w:proofErr w:type="spellEnd"/>
      <w:r w:rsidRPr="00591525">
        <w:rPr>
          <w:sz w:val="28"/>
          <w:szCs w:val="28"/>
        </w:rPr>
        <w:t xml:space="preserve"> крови 2-хмесячных крыс (гр. 2.3) выявлен более выраженный, по сравнению с одномесячными крысятами, характер изменений показателей метаболизма. Обнаружено повышение активности СДГ -  на 61,02% и ГГТ – на 29,26% (p&lt;0,01). Полученные данные свидетельствуют о дестабилизации мембран </w:t>
      </w:r>
      <w:proofErr w:type="spellStart"/>
      <w:r w:rsidRPr="00591525">
        <w:rPr>
          <w:sz w:val="28"/>
          <w:szCs w:val="28"/>
        </w:rPr>
        <w:t>гепатоцитов</w:t>
      </w:r>
      <w:proofErr w:type="spellEnd"/>
      <w:r w:rsidRPr="00591525">
        <w:rPr>
          <w:sz w:val="28"/>
          <w:szCs w:val="28"/>
        </w:rPr>
        <w:t xml:space="preserve"> и «утечке» фермента из </w:t>
      </w:r>
      <w:proofErr w:type="spellStart"/>
      <w:r w:rsidRPr="00591525">
        <w:rPr>
          <w:sz w:val="28"/>
          <w:szCs w:val="28"/>
        </w:rPr>
        <w:t>цитозоля</w:t>
      </w:r>
      <w:proofErr w:type="spellEnd"/>
      <w:r w:rsidRPr="00591525">
        <w:rPr>
          <w:sz w:val="28"/>
          <w:szCs w:val="28"/>
        </w:rPr>
        <w:t xml:space="preserve">, более выраженной у двухмесячных крыс. </w:t>
      </w:r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В </w:t>
      </w:r>
      <w:proofErr w:type="spellStart"/>
      <w:r w:rsidRPr="00591525">
        <w:rPr>
          <w:sz w:val="28"/>
          <w:szCs w:val="28"/>
        </w:rPr>
        <w:t>протеинограмме</w:t>
      </w:r>
      <w:proofErr w:type="spellEnd"/>
      <w:r w:rsidRPr="00591525">
        <w:rPr>
          <w:sz w:val="28"/>
          <w:szCs w:val="28"/>
        </w:rPr>
        <w:t xml:space="preserve"> 2х-месячных крыс на фоне содержания общего белка и альбумина, не отличавшихся от уровня в контроле, снижается содержание α</w:t>
      </w:r>
      <w:r w:rsidRPr="00591525">
        <w:rPr>
          <w:sz w:val="28"/>
          <w:szCs w:val="28"/>
          <w:vertAlign w:val="subscript"/>
        </w:rPr>
        <w:t>2</w:t>
      </w:r>
      <w:r w:rsidRPr="00591525">
        <w:rPr>
          <w:sz w:val="28"/>
          <w:szCs w:val="28"/>
        </w:rPr>
        <w:t xml:space="preserve">-глобулинов на 6,37%, γ-глобулина – на 7,76%) и повышается </w:t>
      </w:r>
      <w:r w:rsidRPr="00591525">
        <w:rPr>
          <w:sz w:val="28"/>
          <w:szCs w:val="28"/>
        </w:rPr>
        <w:lastRenderedPageBreak/>
        <w:t xml:space="preserve">уровень </w:t>
      </w:r>
      <w:proofErr w:type="gramStart"/>
      <w:r w:rsidRPr="00591525">
        <w:rPr>
          <w:sz w:val="28"/>
          <w:szCs w:val="28"/>
        </w:rPr>
        <w:t>β-</w:t>
      </w:r>
      <w:proofErr w:type="gramEnd"/>
      <w:r w:rsidRPr="00591525">
        <w:rPr>
          <w:sz w:val="28"/>
          <w:szCs w:val="28"/>
        </w:rPr>
        <w:t>глобулинов на 40%, что может быть связано с более выраженными, по сравнению с 1-месячными крысятами, нарушениями функции печени, а также с изменением состояния иммунной системы.</w:t>
      </w:r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591525">
        <w:rPr>
          <w:sz w:val="28"/>
          <w:szCs w:val="28"/>
        </w:rPr>
        <w:t>Липидидный</w:t>
      </w:r>
      <w:proofErr w:type="spellEnd"/>
      <w:r w:rsidRPr="00591525">
        <w:rPr>
          <w:sz w:val="28"/>
          <w:szCs w:val="28"/>
        </w:rPr>
        <w:t xml:space="preserve"> спектр сыворотки крови 2х-месячных крыс (гр. 2.3) существенно отличался от такового в других группах: выявлено повышение ЛПНП – на 49,9%, (по сравнению с контролем), ЛПОНП и ТГ (на 32,57% и 32,66% соответственно), а также достоверное понижение ХС и ЛПВП – на 3,16% и 32,29%, что свидетельствует о </w:t>
      </w:r>
      <w:proofErr w:type="spellStart"/>
      <w:r w:rsidRPr="00591525">
        <w:rPr>
          <w:sz w:val="28"/>
          <w:szCs w:val="28"/>
        </w:rPr>
        <w:t>дислипидемии</w:t>
      </w:r>
      <w:proofErr w:type="spellEnd"/>
      <w:r w:rsidRPr="00591525">
        <w:rPr>
          <w:sz w:val="28"/>
          <w:szCs w:val="28"/>
        </w:rPr>
        <w:t xml:space="preserve"> связанной с нарушением активности </w:t>
      </w:r>
      <w:proofErr w:type="spellStart"/>
      <w:r w:rsidRPr="00591525">
        <w:rPr>
          <w:sz w:val="28"/>
          <w:szCs w:val="28"/>
        </w:rPr>
        <w:t>липопротеинлипазы</w:t>
      </w:r>
      <w:proofErr w:type="spellEnd"/>
      <w:r w:rsidRPr="00591525">
        <w:rPr>
          <w:sz w:val="28"/>
          <w:szCs w:val="28"/>
        </w:rPr>
        <w:t>.</w:t>
      </w:r>
      <w:proofErr w:type="gramEnd"/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Выявлено достоверное повышение уровня глюкозы на 22,1% без повышения КТ (их уровень снижен на 21,06%), что свидетельствует о нарушении толерантности к глюкозе и развитии </w:t>
      </w:r>
      <w:proofErr w:type="spellStart"/>
      <w:r w:rsidRPr="00591525">
        <w:rPr>
          <w:sz w:val="28"/>
          <w:szCs w:val="28"/>
        </w:rPr>
        <w:t>инсулинорезистентности</w:t>
      </w:r>
      <w:proofErr w:type="spellEnd"/>
      <w:r w:rsidRPr="00591525">
        <w:rPr>
          <w:sz w:val="28"/>
          <w:szCs w:val="28"/>
        </w:rPr>
        <w:t xml:space="preserve"> (без </w:t>
      </w:r>
      <w:proofErr w:type="spellStart"/>
      <w:r w:rsidRPr="00591525">
        <w:rPr>
          <w:sz w:val="28"/>
          <w:szCs w:val="28"/>
        </w:rPr>
        <w:t>кетогенеза</w:t>
      </w:r>
      <w:proofErr w:type="spellEnd"/>
      <w:r w:rsidRPr="00591525">
        <w:rPr>
          <w:sz w:val="28"/>
          <w:szCs w:val="28"/>
        </w:rPr>
        <w:t xml:space="preserve">) на момент эксперимента. </w:t>
      </w:r>
    </w:p>
    <w:p w:rsidR="00314958" w:rsidRDefault="00314958" w:rsidP="00314958">
      <w:pPr>
        <w:spacing w:line="360" w:lineRule="auto"/>
        <w:jc w:val="both"/>
        <w:rPr>
          <w:sz w:val="28"/>
          <w:szCs w:val="28"/>
        </w:rPr>
      </w:pPr>
      <w:r w:rsidRPr="00591525">
        <w:rPr>
          <w:sz w:val="28"/>
          <w:szCs w:val="28"/>
        </w:rPr>
        <w:t>Так как крысята получали стандартный рацион вивария, данные изменения в сыворотке крови (</w:t>
      </w:r>
      <w:proofErr w:type="spellStart"/>
      <w:r w:rsidRPr="00591525">
        <w:rPr>
          <w:sz w:val="28"/>
          <w:szCs w:val="28"/>
        </w:rPr>
        <w:t>протеинограмме</w:t>
      </w:r>
      <w:proofErr w:type="spellEnd"/>
      <w:r w:rsidRPr="00591525">
        <w:rPr>
          <w:sz w:val="28"/>
          <w:szCs w:val="28"/>
        </w:rPr>
        <w:t xml:space="preserve"> и </w:t>
      </w:r>
      <w:proofErr w:type="spellStart"/>
      <w:r w:rsidRPr="00591525">
        <w:rPr>
          <w:sz w:val="28"/>
          <w:szCs w:val="28"/>
        </w:rPr>
        <w:t>липидограмме</w:t>
      </w:r>
      <w:proofErr w:type="spellEnd"/>
      <w:r w:rsidRPr="00591525">
        <w:rPr>
          <w:sz w:val="28"/>
          <w:szCs w:val="28"/>
        </w:rPr>
        <w:t xml:space="preserve">) могут быть связаны с процессами эпигенетического программирования метаболических нарушений у потомства, чьи матери получали несбалансированный рацион питания с избытком жиров и углеводов во время беременности. </w:t>
      </w:r>
    </w:p>
    <w:p w:rsidR="00314958" w:rsidRPr="00591525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Объяснением механизмов обнаруженных нарушений липидного обмена являются выявленные изменения фракций липидов в </w:t>
      </w:r>
      <w:proofErr w:type="spellStart"/>
      <w:r w:rsidRPr="00591525">
        <w:rPr>
          <w:sz w:val="28"/>
          <w:szCs w:val="28"/>
        </w:rPr>
        <w:t>гомогенате</w:t>
      </w:r>
      <w:proofErr w:type="spellEnd"/>
      <w:r w:rsidRPr="00591525">
        <w:rPr>
          <w:sz w:val="28"/>
          <w:szCs w:val="28"/>
        </w:rPr>
        <w:t xml:space="preserve"> печени (см. таб. 4): новорожденных, 1-но и 2-хмесячных крыс. У новорожденных (гр.2.1) выявлено достоверное повышение уровня ХС и ТГ (на 14,3% и 2,45% соответственно от контроля), а также снижение ФЛ и НЭЖК – на 8,55% и 9,4% (p˂0,01), что может быть связано с повышенной секрецией ЛПОНП. Снижение концентрации НЭЖК, вероятно, может быть связано с повышенной их утилизацией, связанной с активацией синтеза ТГ и ХС. Снижение уровня ФЛ, вероятно, связано с дефицитом ненасыщенных жирных кислот или метионина, либо с повышенной их секрецией в составе ЛПВП.  </w:t>
      </w:r>
      <w:proofErr w:type="gramStart"/>
      <w:r w:rsidRPr="00591525">
        <w:rPr>
          <w:sz w:val="28"/>
          <w:szCs w:val="28"/>
        </w:rPr>
        <w:t xml:space="preserve">У 1-но и двухмесячных крысят (гр. 2.2 и 2.3) выявлена сходная динамика изменений повышение ХС (на 16,8% и 5,39% соответственно), ТГ </w:t>
      </w:r>
      <w:r w:rsidRPr="00591525">
        <w:rPr>
          <w:sz w:val="28"/>
          <w:szCs w:val="28"/>
        </w:rPr>
        <w:lastRenderedPageBreak/>
        <w:t>(на 4,2% и 5,1%, p˂0,01) и НЭЖК – на 35,75% и 50,88% по отношению к контролю, что при выявленном повышении уровня ЛПОНП в сыворотке крови свидетельствует об активации процессов синтеза, секреции и депонирования триглицеридов, что может привести к нарушению</w:t>
      </w:r>
      <w:proofErr w:type="gramEnd"/>
      <w:r w:rsidRPr="00591525">
        <w:rPr>
          <w:sz w:val="28"/>
          <w:szCs w:val="28"/>
        </w:rPr>
        <w:t xml:space="preserve"> утилизации гликогена, наиболее </w:t>
      </w:r>
      <w:proofErr w:type="gramStart"/>
      <w:r w:rsidRPr="00591525">
        <w:rPr>
          <w:sz w:val="28"/>
          <w:szCs w:val="28"/>
        </w:rPr>
        <w:t>выраженному</w:t>
      </w:r>
      <w:proofErr w:type="gramEnd"/>
      <w:r w:rsidRPr="00591525">
        <w:rPr>
          <w:sz w:val="28"/>
          <w:szCs w:val="28"/>
        </w:rPr>
        <w:t xml:space="preserve"> у 2х-месячных крыс. Снижение концентрации ФЛ выявлено </w:t>
      </w:r>
      <w:r>
        <w:rPr>
          <w:sz w:val="28"/>
          <w:szCs w:val="28"/>
        </w:rPr>
        <w:t>у 2х месячных крыс</w:t>
      </w:r>
      <w:r w:rsidRPr="00591525">
        <w:rPr>
          <w:sz w:val="28"/>
          <w:szCs w:val="28"/>
        </w:rPr>
        <w:t xml:space="preserve"> – на 29,25% (у одномесячных крыс выявлено лишь незначительное их повышение), что при снижении ЛПВП в сыворотке крови может свидетельствовать о снижении их синтеза. Обнаруженные изменения в липидном спектре сыворотки крови можно считать фактором риска развития различных метаболических нарушений и жирового </w:t>
      </w:r>
      <w:proofErr w:type="spellStart"/>
      <w:r w:rsidRPr="00591525">
        <w:rPr>
          <w:sz w:val="28"/>
          <w:szCs w:val="28"/>
        </w:rPr>
        <w:t>гепатоза</w:t>
      </w:r>
      <w:proofErr w:type="spellEnd"/>
      <w:r w:rsidRPr="00591525">
        <w:rPr>
          <w:sz w:val="28"/>
          <w:szCs w:val="28"/>
        </w:rPr>
        <w:t xml:space="preserve">. </w:t>
      </w:r>
    </w:p>
    <w:p w:rsidR="00314958" w:rsidRPr="00591525" w:rsidRDefault="00314958" w:rsidP="00314958">
      <w:pPr>
        <w:spacing w:line="360" w:lineRule="auto"/>
        <w:jc w:val="both"/>
        <w:rPr>
          <w:sz w:val="28"/>
          <w:szCs w:val="28"/>
        </w:rPr>
      </w:pPr>
      <w:r w:rsidRPr="00591525">
        <w:rPr>
          <w:sz w:val="28"/>
          <w:szCs w:val="28"/>
        </w:rPr>
        <w:tab/>
      </w:r>
      <w:proofErr w:type="gramStart"/>
      <w:r w:rsidRPr="00591525">
        <w:rPr>
          <w:sz w:val="28"/>
          <w:szCs w:val="28"/>
        </w:rPr>
        <w:t xml:space="preserve">Таким образом, проведенные нами исследования указывают на возможность эпигенетического программирования метаболических расстройств у потомства, полученного от крыс - матерей, находившихся во время беременности на высококалорийном рационе питания с избытком жиров и углеводов, проявлявшихся развитием </w:t>
      </w:r>
      <w:proofErr w:type="spellStart"/>
      <w:r w:rsidRPr="00591525">
        <w:rPr>
          <w:sz w:val="28"/>
          <w:szCs w:val="28"/>
        </w:rPr>
        <w:t>дислипидемии</w:t>
      </w:r>
      <w:proofErr w:type="spellEnd"/>
      <w:r w:rsidRPr="00591525">
        <w:rPr>
          <w:sz w:val="28"/>
          <w:szCs w:val="28"/>
        </w:rPr>
        <w:t xml:space="preserve"> (с повышением уровня ТГ, ЛПНП и ЛПОНП), повышением уровня глюкозы, что можно расценивать как риск развития СД II типа. </w:t>
      </w:r>
      <w:proofErr w:type="gramEnd"/>
    </w:p>
    <w:p w:rsidR="00314958" w:rsidRPr="00CA35F6" w:rsidRDefault="00314958" w:rsidP="00314958">
      <w:pPr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В </w:t>
      </w:r>
      <w:proofErr w:type="spellStart"/>
      <w:r w:rsidRPr="00591525">
        <w:rPr>
          <w:sz w:val="28"/>
          <w:szCs w:val="28"/>
        </w:rPr>
        <w:t>гомогенате</w:t>
      </w:r>
      <w:proofErr w:type="spellEnd"/>
      <w:r w:rsidRPr="00591525">
        <w:rPr>
          <w:sz w:val="28"/>
          <w:szCs w:val="28"/>
        </w:rPr>
        <w:t xml:space="preserve"> печени крыс выявлены повышение уровня ХС, ТГ и НЭЖК, что может привести к повышенному накоплению липидов в печени, это частично подтверждается результатами морфологического исследования (умеренной </w:t>
      </w:r>
      <w:proofErr w:type="spellStart"/>
      <w:r w:rsidRPr="00591525">
        <w:rPr>
          <w:sz w:val="28"/>
          <w:szCs w:val="28"/>
        </w:rPr>
        <w:t>дискомплексацией</w:t>
      </w:r>
      <w:proofErr w:type="spellEnd"/>
      <w:r w:rsidRPr="00591525">
        <w:rPr>
          <w:sz w:val="28"/>
          <w:szCs w:val="28"/>
        </w:rPr>
        <w:t xml:space="preserve"> балочно-</w:t>
      </w:r>
      <w:proofErr w:type="spellStart"/>
      <w:r w:rsidRPr="00591525">
        <w:rPr>
          <w:sz w:val="28"/>
          <w:szCs w:val="28"/>
        </w:rPr>
        <w:t>радиарного</w:t>
      </w:r>
      <w:proofErr w:type="spellEnd"/>
      <w:r w:rsidRPr="00591525">
        <w:rPr>
          <w:sz w:val="28"/>
          <w:szCs w:val="28"/>
        </w:rPr>
        <w:t xml:space="preserve"> строения, неравномерным </w:t>
      </w:r>
      <w:proofErr w:type="spellStart"/>
      <w:r w:rsidRPr="00591525">
        <w:rPr>
          <w:sz w:val="28"/>
          <w:szCs w:val="28"/>
        </w:rPr>
        <w:t>пикнозом</w:t>
      </w:r>
      <w:proofErr w:type="spellEnd"/>
      <w:r w:rsidRPr="00591525">
        <w:rPr>
          <w:sz w:val="28"/>
          <w:szCs w:val="28"/>
        </w:rPr>
        <w:t xml:space="preserve"> ядер) и риском развития органической патологии печени. </w:t>
      </w:r>
    </w:p>
    <w:p w:rsidR="00314958" w:rsidRPr="00591525" w:rsidRDefault="00314958" w:rsidP="0031495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91525">
        <w:rPr>
          <w:b/>
          <w:sz w:val="28"/>
          <w:szCs w:val="28"/>
        </w:rPr>
        <w:t xml:space="preserve">Выводы </w:t>
      </w:r>
    </w:p>
    <w:p w:rsidR="00314958" w:rsidRPr="00591525" w:rsidRDefault="00314958" w:rsidP="0031495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14958" w:rsidRPr="00591525" w:rsidRDefault="00314958" w:rsidP="003149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591525">
        <w:rPr>
          <w:sz w:val="28"/>
          <w:szCs w:val="28"/>
        </w:rPr>
        <w:t>Гиперкалорийное</w:t>
      </w:r>
      <w:proofErr w:type="spellEnd"/>
      <w:r w:rsidRPr="00591525">
        <w:rPr>
          <w:sz w:val="28"/>
          <w:szCs w:val="28"/>
        </w:rPr>
        <w:t xml:space="preserve"> питание матери во время беременности не оказывает значительного влияния на </w:t>
      </w:r>
      <w:proofErr w:type="gramStart"/>
      <w:r w:rsidRPr="00591525">
        <w:rPr>
          <w:sz w:val="28"/>
          <w:szCs w:val="28"/>
        </w:rPr>
        <w:t xml:space="preserve">морфологию печени, проявлявшуюся умеренной </w:t>
      </w:r>
      <w:proofErr w:type="spellStart"/>
      <w:r w:rsidRPr="00591525">
        <w:rPr>
          <w:sz w:val="28"/>
          <w:szCs w:val="28"/>
        </w:rPr>
        <w:t>дискомплексацией</w:t>
      </w:r>
      <w:proofErr w:type="spellEnd"/>
      <w:r w:rsidRPr="00591525">
        <w:rPr>
          <w:sz w:val="28"/>
          <w:szCs w:val="28"/>
        </w:rPr>
        <w:t xml:space="preserve"> балочно-</w:t>
      </w:r>
      <w:proofErr w:type="spellStart"/>
      <w:r w:rsidRPr="00591525">
        <w:rPr>
          <w:sz w:val="28"/>
          <w:szCs w:val="28"/>
        </w:rPr>
        <w:t>радиарного</w:t>
      </w:r>
      <w:proofErr w:type="spellEnd"/>
      <w:r w:rsidRPr="00591525">
        <w:rPr>
          <w:sz w:val="28"/>
          <w:szCs w:val="28"/>
        </w:rPr>
        <w:t xml:space="preserve"> строения повышенной регенераторной активностью органа и </w:t>
      </w:r>
      <w:r w:rsidRPr="00591525">
        <w:rPr>
          <w:sz w:val="28"/>
          <w:szCs w:val="28"/>
        </w:rPr>
        <w:lastRenderedPageBreak/>
        <w:t>отсутствием изменений СПИ</w:t>
      </w:r>
      <w:proofErr w:type="gramEnd"/>
      <w:r w:rsidRPr="00591525">
        <w:rPr>
          <w:sz w:val="28"/>
          <w:szCs w:val="28"/>
        </w:rPr>
        <w:t xml:space="preserve"> в ткани печени, которые могут при неблагоприятных воздействиях в дальнейшем стать причиной развития органической патологии.</w:t>
      </w:r>
    </w:p>
    <w:p w:rsidR="00314958" w:rsidRPr="00591525" w:rsidRDefault="00314958" w:rsidP="003149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Исследование маркеров эндотелиальной дисфункции, указывает на минимальное снижение уровня экспрессии эндотелиальной </w:t>
      </w:r>
      <w:proofErr w:type="spellStart"/>
      <w:r w:rsidRPr="00591525">
        <w:rPr>
          <w:sz w:val="28"/>
          <w:szCs w:val="28"/>
        </w:rPr>
        <w:t>синтазы</w:t>
      </w:r>
      <w:proofErr w:type="spellEnd"/>
      <w:r w:rsidRPr="00591525">
        <w:rPr>
          <w:sz w:val="28"/>
          <w:szCs w:val="28"/>
        </w:rPr>
        <w:t xml:space="preserve"> и свидетельствует об отсутствии выраженного органического повреждения печени крысят в разных возрастных группах.</w:t>
      </w:r>
    </w:p>
    <w:p w:rsidR="00314958" w:rsidRPr="00591525" w:rsidRDefault="00314958" w:rsidP="003149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1525">
        <w:rPr>
          <w:sz w:val="28"/>
          <w:szCs w:val="28"/>
        </w:rPr>
        <w:t>Функциональные изменения печени, выявленные у потомства крыс</w:t>
      </w:r>
      <w:r>
        <w:rPr>
          <w:sz w:val="28"/>
          <w:szCs w:val="28"/>
        </w:rPr>
        <w:t>,</w:t>
      </w:r>
      <w:r w:rsidRPr="00591525">
        <w:rPr>
          <w:sz w:val="28"/>
          <w:szCs w:val="28"/>
        </w:rPr>
        <w:t xml:space="preserve"> получавших </w:t>
      </w:r>
      <w:proofErr w:type="spellStart"/>
      <w:r w:rsidRPr="00591525">
        <w:rPr>
          <w:sz w:val="28"/>
          <w:szCs w:val="28"/>
        </w:rPr>
        <w:t>гиперкалорийный</w:t>
      </w:r>
      <w:proofErr w:type="spellEnd"/>
      <w:r w:rsidRPr="00591525">
        <w:rPr>
          <w:sz w:val="28"/>
          <w:szCs w:val="28"/>
        </w:rPr>
        <w:t xml:space="preserve"> рацион, проявлялись </w:t>
      </w:r>
      <w:proofErr w:type="spellStart"/>
      <w:r w:rsidRPr="00591525">
        <w:rPr>
          <w:sz w:val="28"/>
          <w:szCs w:val="28"/>
        </w:rPr>
        <w:t>диспротеинемией</w:t>
      </w:r>
      <w:proofErr w:type="spellEnd"/>
      <w:r w:rsidRPr="00591525">
        <w:rPr>
          <w:sz w:val="28"/>
          <w:szCs w:val="28"/>
        </w:rPr>
        <w:t xml:space="preserve">, </w:t>
      </w:r>
      <w:proofErr w:type="spellStart"/>
      <w:r w:rsidRPr="00591525">
        <w:rPr>
          <w:sz w:val="28"/>
          <w:szCs w:val="28"/>
        </w:rPr>
        <w:t>гиперлипидемией</w:t>
      </w:r>
      <w:proofErr w:type="spellEnd"/>
      <w:r w:rsidRPr="00591525">
        <w:rPr>
          <w:sz w:val="28"/>
          <w:szCs w:val="28"/>
        </w:rPr>
        <w:t xml:space="preserve"> (повышен уровень ЛПНП, ЛПОНП, ТГ) и повышением уровня глюкозы. Характер изменений свидетельствует о возможном риске развития </w:t>
      </w:r>
      <w:proofErr w:type="spellStart"/>
      <w:r w:rsidRPr="00591525">
        <w:rPr>
          <w:sz w:val="28"/>
          <w:szCs w:val="28"/>
        </w:rPr>
        <w:t>инсулинорезистентности</w:t>
      </w:r>
      <w:proofErr w:type="spellEnd"/>
      <w:r w:rsidRPr="00591525">
        <w:rPr>
          <w:sz w:val="28"/>
          <w:szCs w:val="28"/>
        </w:rPr>
        <w:t xml:space="preserve"> (СД II типа). </w:t>
      </w:r>
    </w:p>
    <w:p w:rsidR="00314958" w:rsidRPr="00591525" w:rsidRDefault="00314958" w:rsidP="003149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Биохимические показатели в ткани печени свидетельствуют о нарушении секреции и обратного захвата липидов, проявлявшемся повышением общего холестерина, накоплением ТГ и НЭЖК и снижением уровня ФЛ, что может привести к </w:t>
      </w:r>
      <w:proofErr w:type="gramStart"/>
      <w:r w:rsidRPr="00591525">
        <w:rPr>
          <w:sz w:val="28"/>
          <w:szCs w:val="28"/>
        </w:rPr>
        <w:t>жировому</w:t>
      </w:r>
      <w:proofErr w:type="gramEnd"/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гепатозу</w:t>
      </w:r>
      <w:proofErr w:type="spellEnd"/>
      <w:r w:rsidRPr="00591525">
        <w:rPr>
          <w:sz w:val="28"/>
          <w:szCs w:val="28"/>
        </w:rPr>
        <w:t xml:space="preserve"> и другой органической патологии в будущем.</w:t>
      </w:r>
    </w:p>
    <w:p w:rsidR="00314958" w:rsidRPr="00591525" w:rsidRDefault="00314958" w:rsidP="00314958">
      <w:pPr>
        <w:spacing w:line="360" w:lineRule="auto"/>
        <w:ind w:left="1068"/>
        <w:jc w:val="both"/>
        <w:rPr>
          <w:sz w:val="28"/>
          <w:szCs w:val="28"/>
        </w:rPr>
      </w:pPr>
    </w:p>
    <w:p w:rsidR="00314958" w:rsidRPr="005A2725" w:rsidRDefault="00314958" w:rsidP="0031495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591525">
        <w:rPr>
          <w:sz w:val="28"/>
          <w:szCs w:val="28"/>
        </w:rPr>
        <w:t xml:space="preserve">Список использованной </w:t>
      </w:r>
      <w:r>
        <w:rPr>
          <w:sz w:val="28"/>
          <w:szCs w:val="28"/>
        </w:rPr>
        <w:t>литературы</w:t>
      </w:r>
    </w:p>
    <w:p w:rsidR="00314958" w:rsidRPr="00591525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Дудук</w:t>
      </w:r>
      <w:proofErr w:type="spellEnd"/>
      <w:r>
        <w:rPr>
          <w:sz w:val="28"/>
          <w:szCs w:val="28"/>
        </w:rPr>
        <w:t xml:space="preserve"> НИ, </w:t>
      </w:r>
      <w:proofErr w:type="spellStart"/>
      <w:r>
        <w:rPr>
          <w:sz w:val="28"/>
          <w:szCs w:val="28"/>
        </w:rPr>
        <w:t>Зиматкин</w:t>
      </w:r>
      <w:proofErr w:type="spellEnd"/>
      <w:r>
        <w:rPr>
          <w:sz w:val="28"/>
          <w:szCs w:val="28"/>
        </w:rPr>
        <w:t xml:space="preserve"> С</w:t>
      </w:r>
      <w:r w:rsidRPr="00591525">
        <w:rPr>
          <w:sz w:val="28"/>
          <w:szCs w:val="28"/>
        </w:rPr>
        <w:t xml:space="preserve">М. </w:t>
      </w:r>
      <w:proofErr w:type="spellStart"/>
      <w:r w:rsidRPr="00591525">
        <w:rPr>
          <w:sz w:val="28"/>
          <w:szCs w:val="28"/>
        </w:rPr>
        <w:t>Холестаз</w:t>
      </w:r>
      <w:proofErr w:type="spellEnd"/>
      <w:r w:rsidRPr="00591525">
        <w:rPr>
          <w:sz w:val="28"/>
          <w:szCs w:val="28"/>
        </w:rPr>
        <w:t xml:space="preserve"> беременных и его последствия для матери и потомства. Журнал Гр </w:t>
      </w:r>
      <w:r>
        <w:rPr>
          <w:sz w:val="28"/>
          <w:szCs w:val="28"/>
        </w:rPr>
        <w:t>ГМУ. 2011;№1:</w:t>
      </w:r>
      <w:r w:rsidRPr="00591525">
        <w:rPr>
          <w:sz w:val="28"/>
          <w:szCs w:val="28"/>
        </w:rPr>
        <w:t xml:space="preserve"> С.3. </w:t>
      </w:r>
    </w:p>
    <w:p w:rsidR="00314958" w:rsidRPr="00314958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  <w:lang w:val="en-US"/>
        </w:rPr>
      </w:pPr>
      <w:r w:rsidRPr="00367069">
        <w:rPr>
          <w:sz w:val="28"/>
          <w:szCs w:val="28"/>
          <w:lang w:val="en-US"/>
        </w:rPr>
        <w:t>Martin-</w:t>
      </w:r>
      <w:proofErr w:type="spellStart"/>
      <w:r w:rsidRPr="00367069">
        <w:rPr>
          <w:sz w:val="28"/>
          <w:szCs w:val="28"/>
          <w:lang w:val="en-US"/>
        </w:rPr>
        <w:t>Gronert</w:t>
      </w:r>
      <w:proofErr w:type="spellEnd"/>
      <w:r w:rsidRPr="00367069">
        <w:rPr>
          <w:sz w:val="28"/>
          <w:szCs w:val="28"/>
          <w:lang w:val="en-US"/>
        </w:rPr>
        <w:t xml:space="preserve"> MS. Mechanisms linking suboptimal early nutrition and increased risk of type 2 diabetes and obesity. </w:t>
      </w:r>
      <w:r w:rsidRPr="00314958">
        <w:rPr>
          <w:sz w:val="28"/>
          <w:szCs w:val="28"/>
          <w:lang w:val="en-US"/>
        </w:rPr>
        <w:t xml:space="preserve">J. Nutr. 2010; Vol.140 №3: P. 662-666. </w:t>
      </w:r>
    </w:p>
    <w:p w:rsidR="00314958" w:rsidRPr="00367069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  <w:lang w:val="en-US"/>
        </w:rPr>
      </w:pPr>
      <w:proofErr w:type="spellStart"/>
      <w:r w:rsidRPr="00367069">
        <w:rPr>
          <w:sz w:val="28"/>
          <w:szCs w:val="28"/>
          <w:lang w:val="en-US"/>
        </w:rPr>
        <w:t>Hedderson</w:t>
      </w:r>
      <w:proofErr w:type="spellEnd"/>
      <w:r w:rsidRPr="00367069">
        <w:rPr>
          <w:sz w:val="28"/>
          <w:szCs w:val="28"/>
          <w:lang w:val="en-US"/>
        </w:rPr>
        <w:t xml:space="preserve"> MM, Williams MA, Holt VL, Weiss NS, Ferrara A. Body mass index and weight gain prior to pregnancy and risk of gestational diabetes mellitus. American journal of obstetrics and gynecology. 2008; Vol. 198 №4: P. 409 e1-e7. </w:t>
      </w:r>
    </w:p>
    <w:p w:rsidR="00314958" w:rsidRPr="00591525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Пархоменко ЛК, </w:t>
      </w:r>
      <w:proofErr w:type="spellStart"/>
      <w:r>
        <w:rPr>
          <w:sz w:val="28"/>
          <w:szCs w:val="28"/>
        </w:rPr>
        <w:t>Страшок</w:t>
      </w:r>
      <w:proofErr w:type="spellEnd"/>
      <w:r>
        <w:rPr>
          <w:sz w:val="28"/>
          <w:szCs w:val="28"/>
        </w:rPr>
        <w:t xml:space="preserve"> ЛА, </w:t>
      </w:r>
      <w:proofErr w:type="spellStart"/>
      <w:r>
        <w:rPr>
          <w:sz w:val="28"/>
          <w:szCs w:val="28"/>
        </w:rPr>
        <w:t>Бузницкая</w:t>
      </w:r>
      <w:proofErr w:type="spellEnd"/>
      <w:r>
        <w:rPr>
          <w:sz w:val="28"/>
          <w:szCs w:val="28"/>
        </w:rPr>
        <w:t xml:space="preserve"> ЕВ, Исакова МЮ, </w:t>
      </w:r>
      <w:proofErr w:type="spellStart"/>
      <w:r>
        <w:rPr>
          <w:sz w:val="28"/>
          <w:szCs w:val="28"/>
        </w:rPr>
        <w:t>Завеля</w:t>
      </w:r>
      <w:proofErr w:type="spellEnd"/>
      <w:r>
        <w:rPr>
          <w:sz w:val="28"/>
          <w:szCs w:val="28"/>
        </w:rPr>
        <w:t xml:space="preserve"> ЄМ</w:t>
      </w:r>
      <w:r w:rsidRPr="00591525">
        <w:rPr>
          <w:sz w:val="28"/>
          <w:szCs w:val="28"/>
        </w:rPr>
        <w:t>, Ещенко</w:t>
      </w:r>
      <w:r>
        <w:rPr>
          <w:sz w:val="28"/>
          <w:szCs w:val="28"/>
        </w:rPr>
        <w:t xml:space="preserve"> А</w:t>
      </w:r>
      <w:r w:rsidRPr="00591525">
        <w:rPr>
          <w:sz w:val="28"/>
          <w:szCs w:val="28"/>
        </w:rPr>
        <w:t>В. Неалкогольная жировая болезнь печени – компонент метаболического синдрома в детском и подростковом возраст</w:t>
      </w:r>
      <w:r>
        <w:rPr>
          <w:sz w:val="28"/>
          <w:szCs w:val="28"/>
        </w:rPr>
        <w:t>е. Современная педиатрия. 2014; №2 (58):</w:t>
      </w:r>
      <w:r w:rsidRPr="00591525">
        <w:rPr>
          <w:sz w:val="28"/>
          <w:szCs w:val="28"/>
        </w:rPr>
        <w:t xml:space="preserve"> С.107.</w:t>
      </w:r>
    </w:p>
    <w:p w:rsidR="00314958" w:rsidRPr="00591525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Мищенкова</w:t>
      </w:r>
      <w:proofErr w:type="spellEnd"/>
      <w:r>
        <w:rPr>
          <w:sz w:val="28"/>
          <w:szCs w:val="28"/>
        </w:rPr>
        <w:t xml:space="preserve"> ТВ, Звенигородская Л</w:t>
      </w:r>
      <w:r w:rsidRPr="00591525">
        <w:rPr>
          <w:sz w:val="28"/>
          <w:szCs w:val="28"/>
        </w:rPr>
        <w:t>А. Ожирение – новая неинфекционная «эпидемия»</w:t>
      </w:r>
      <w:r>
        <w:rPr>
          <w:sz w:val="28"/>
          <w:szCs w:val="28"/>
        </w:rPr>
        <w:t xml:space="preserve">. </w:t>
      </w:r>
      <w:r w:rsidRPr="00591525">
        <w:rPr>
          <w:sz w:val="28"/>
          <w:szCs w:val="28"/>
        </w:rPr>
        <w:t>Экспериментальная и клини</w:t>
      </w:r>
      <w:r>
        <w:rPr>
          <w:sz w:val="28"/>
          <w:szCs w:val="28"/>
        </w:rPr>
        <w:t>ческая гастроэнтерология. 2011; №11:</w:t>
      </w:r>
      <w:r w:rsidRPr="00591525">
        <w:rPr>
          <w:sz w:val="28"/>
          <w:szCs w:val="28"/>
        </w:rPr>
        <w:t xml:space="preserve"> С.9.</w:t>
      </w:r>
    </w:p>
    <w:p w:rsidR="00314958" w:rsidRPr="00591525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Петеркова</w:t>
      </w:r>
      <w:proofErr w:type="spellEnd"/>
      <w:r>
        <w:rPr>
          <w:sz w:val="28"/>
          <w:szCs w:val="28"/>
        </w:rPr>
        <w:t xml:space="preserve"> ВА, Ремизов О</w:t>
      </w:r>
      <w:r w:rsidRPr="00591525">
        <w:rPr>
          <w:sz w:val="28"/>
          <w:szCs w:val="28"/>
        </w:rPr>
        <w:t>В. Ожирение в детском возрасте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Ожирение и метаболизм. 2004; №1: </w:t>
      </w:r>
      <w:r w:rsidRPr="00591525">
        <w:rPr>
          <w:sz w:val="28"/>
          <w:szCs w:val="28"/>
        </w:rPr>
        <w:t>С. 17.</w:t>
      </w:r>
    </w:p>
    <w:p w:rsidR="00314958" w:rsidRPr="00367069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Чабанова НБ, Василькова ТН, </w:t>
      </w:r>
      <w:proofErr w:type="spellStart"/>
      <w:r>
        <w:rPr>
          <w:sz w:val="28"/>
          <w:szCs w:val="28"/>
        </w:rPr>
        <w:t>Матаев</w:t>
      </w:r>
      <w:proofErr w:type="spellEnd"/>
      <w:r>
        <w:rPr>
          <w:sz w:val="28"/>
          <w:szCs w:val="28"/>
        </w:rPr>
        <w:t xml:space="preserve"> СИ, Полякова В</w:t>
      </w:r>
      <w:r w:rsidRPr="00591525">
        <w:rPr>
          <w:sz w:val="28"/>
          <w:szCs w:val="28"/>
        </w:rPr>
        <w:t xml:space="preserve">А. Значение ожирения в фетальном программировании хронических заболеваний// Современные проблемы науки и образования. </w:t>
      </w:r>
      <w:r w:rsidRPr="00367069">
        <w:rPr>
          <w:sz w:val="28"/>
          <w:szCs w:val="28"/>
          <w:lang w:val="en-US"/>
        </w:rPr>
        <w:t xml:space="preserve">2017. №2. URL: http: // www. </w:t>
      </w:r>
      <w:proofErr w:type="gramStart"/>
      <w:r w:rsidRPr="00367069">
        <w:rPr>
          <w:sz w:val="28"/>
          <w:szCs w:val="28"/>
          <w:lang w:val="en-US"/>
        </w:rPr>
        <w:t>science</w:t>
      </w:r>
      <w:proofErr w:type="gramEnd"/>
      <w:r w:rsidRPr="00367069">
        <w:rPr>
          <w:sz w:val="28"/>
          <w:szCs w:val="28"/>
          <w:lang w:val="en-US"/>
        </w:rPr>
        <w:t xml:space="preserve"> – education. </w:t>
      </w:r>
      <w:proofErr w:type="spellStart"/>
      <w:proofErr w:type="gramStart"/>
      <w:r w:rsidRPr="00367069">
        <w:rPr>
          <w:sz w:val="28"/>
          <w:szCs w:val="28"/>
          <w:lang w:val="en-US"/>
        </w:rPr>
        <w:t>ru</w:t>
      </w:r>
      <w:proofErr w:type="spellEnd"/>
      <w:r w:rsidRPr="00367069">
        <w:rPr>
          <w:sz w:val="28"/>
          <w:szCs w:val="28"/>
          <w:lang w:val="en-US"/>
        </w:rPr>
        <w:t>/</w:t>
      </w:r>
      <w:proofErr w:type="spellStart"/>
      <w:r w:rsidRPr="00367069">
        <w:rPr>
          <w:sz w:val="28"/>
          <w:szCs w:val="28"/>
          <w:lang w:val="en-US"/>
        </w:rPr>
        <w:t>ru</w:t>
      </w:r>
      <w:proofErr w:type="spellEnd"/>
      <w:r w:rsidRPr="00367069">
        <w:rPr>
          <w:sz w:val="28"/>
          <w:szCs w:val="28"/>
          <w:lang w:val="en-US"/>
        </w:rPr>
        <w:t>/article/view</w:t>
      </w:r>
      <w:proofErr w:type="gramEnd"/>
      <w:r w:rsidRPr="00367069">
        <w:rPr>
          <w:sz w:val="28"/>
          <w:szCs w:val="28"/>
          <w:lang w:val="en-US"/>
        </w:rPr>
        <w:t>? Id = 26282.</w:t>
      </w:r>
    </w:p>
    <w:p w:rsidR="00314958" w:rsidRPr="00591525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 w:rsidRPr="005A2725">
        <w:rPr>
          <w:sz w:val="28"/>
          <w:szCs w:val="28"/>
          <w:lang w:val="en-US"/>
        </w:rPr>
        <w:t xml:space="preserve">Seki Y, Williams L, </w:t>
      </w:r>
      <w:proofErr w:type="spellStart"/>
      <w:r w:rsidRPr="005A2725">
        <w:rPr>
          <w:sz w:val="28"/>
          <w:szCs w:val="28"/>
          <w:lang w:val="en-US"/>
        </w:rPr>
        <w:t>Vuguin</w:t>
      </w:r>
      <w:proofErr w:type="spellEnd"/>
      <w:r w:rsidRPr="005A2725">
        <w:rPr>
          <w:sz w:val="28"/>
          <w:szCs w:val="28"/>
          <w:lang w:val="en-US"/>
        </w:rPr>
        <w:t xml:space="preserve"> PM, </w:t>
      </w:r>
      <w:proofErr w:type="spellStart"/>
      <w:r w:rsidRPr="005A2725">
        <w:rPr>
          <w:sz w:val="28"/>
          <w:szCs w:val="28"/>
          <w:lang w:val="en-US"/>
        </w:rPr>
        <w:t>Charron</w:t>
      </w:r>
      <w:proofErr w:type="spellEnd"/>
      <w:r w:rsidRPr="005A2725">
        <w:rPr>
          <w:sz w:val="28"/>
          <w:szCs w:val="28"/>
          <w:lang w:val="en-US"/>
        </w:rPr>
        <w:t xml:space="preserve"> MJ. </w:t>
      </w:r>
      <w:proofErr w:type="spellStart"/>
      <w:r w:rsidRPr="005A2725">
        <w:rPr>
          <w:sz w:val="28"/>
          <w:szCs w:val="28"/>
          <w:lang w:val="en-US"/>
        </w:rPr>
        <w:t>Minireview</w:t>
      </w:r>
      <w:proofErr w:type="spellEnd"/>
      <w:r w:rsidRPr="005A2725">
        <w:rPr>
          <w:sz w:val="28"/>
          <w:szCs w:val="28"/>
          <w:lang w:val="en-US"/>
        </w:rPr>
        <w:t xml:space="preserve">: epigenetic programming of diabetes and obesity: animal models. </w:t>
      </w:r>
      <w:proofErr w:type="spellStart"/>
      <w:r>
        <w:rPr>
          <w:sz w:val="28"/>
          <w:szCs w:val="28"/>
        </w:rPr>
        <w:t>Endocrinology</w:t>
      </w:r>
      <w:proofErr w:type="spellEnd"/>
      <w:r>
        <w:rPr>
          <w:sz w:val="28"/>
          <w:szCs w:val="28"/>
        </w:rPr>
        <w:t>. 2012; Vol.153 №3:</w:t>
      </w:r>
      <w:r w:rsidRPr="00591525">
        <w:rPr>
          <w:sz w:val="28"/>
          <w:szCs w:val="28"/>
        </w:rPr>
        <w:t xml:space="preserve"> P.1031-1038.</w:t>
      </w:r>
    </w:p>
    <w:p w:rsidR="00314958" w:rsidRPr="00591525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Ковтун ОП, </w:t>
      </w:r>
      <w:proofErr w:type="spellStart"/>
      <w:r>
        <w:rPr>
          <w:sz w:val="28"/>
          <w:szCs w:val="28"/>
        </w:rPr>
        <w:t>Цивьян</w:t>
      </w:r>
      <w:proofErr w:type="spellEnd"/>
      <w:r>
        <w:rPr>
          <w:sz w:val="28"/>
          <w:szCs w:val="28"/>
        </w:rPr>
        <w:t xml:space="preserve"> П</w:t>
      </w:r>
      <w:r w:rsidRPr="00591525">
        <w:rPr>
          <w:sz w:val="28"/>
          <w:szCs w:val="28"/>
        </w:rPr>
        <w:t>Б. Эпигенетические механизмы внутриутробного программировани</w:t>
      </w:r>
      <w:r>
        <w:rPr>
          <w:sz w:val="28"/>
          <w:szCs w:val="28"/>
        </w:rPr>
        <w:t xml:space="preserve">я заболеваний детей и взрослых. </w:t>
      </w:r>
      <w:r w:rsidRPr="00591525">
        <w:rPr>
          <w:sz w:val="28"/>
          <w:szCs w:val="28"/>
        </w:rPr>
        <w:t xml:space="preserve">Российский вестник </w:t>
      </w:r>
      <w:proofErr w:type="spellStart"/>
      <w:r>
        <w:rPr>
          <w:sz w:val="28"/>
          <w:szCs w:val="28"/>
        </w:rPr>
        <w:t>перинатологии</w:t>
      </w:r>
      <w:proofErr w:type="spellEnd"/>
      <w:r>
        <w:rPr>
          <w:sz w:val="28"/>
          <w:szCs w:val="28"/>
        </w:rPr>
        <w:t xml:space="preserve"> и педиатрии. 2009; №2:</w:t>
      </w:r>
      <w:r w:rsidRPr="00591525">
        <w:rPr>
          <w:sz w:val="28"/>
          <w:szCs w:val="28"/>
        </w:rPr>
        <w:t xml:space="preserve"> С. 72-76.</w:t>
      </w:r>
    </w:p>
    <w:p w:rsidR="00314958" w:rsidRPr="00591525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Антипкин</w:t>
      </w:r>
      <w:proofErr w:type="spellEnd"/>
      <w:r>
        <w:rPr>
          <w:sz w:val="28"/>
          <w:szCs w:val="28"/>
        </w:rPr>
        <w:t xml:space="preserve"> Ю</w:t>
      </w:r>
      <w:r w:rsidRPr="00591525">
        <w:rPr>
          <w:sz w:val="28"/>
          <w:szCs w:val="28"/>
        </w:rPr>
        <w:t>Г. Педиатрия в Украине – стратегически</w:t>
      </w:r>
      <w:r>
        <w:rPr>
          <w:sz w:val="28"/>
          <w:szCs w:val="28"/>
        </w:rPr>
        <w:t xml:space="preserve">е направления сегодня и завтра.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 2014; №1-2:</w:t>
      </w:r>
      <w:r w:rsidRPr="00591525">
        <w:rPr>
          <w:sz w:val="28"/>
          <w:szCs w:val="28"/>
        </w:rPr>
        <w:t xml:space="preserve"> С. 326-327. </w:t>
      </w:r>
    </w:p>
    <w:p w:rsidR="00314958" w:rsidRPr="00591525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 w:rsidRPr="00367069">
        <w:rPr>
          <w:sz w:val="28"/>
          <w:szCs w:val="28"/>
          <w:lang w:val="en-US"/>
        </w:rPr>
        <w:t xml:space="preserve"> Yu Z, Han S, Zhu J, Sun X, </w:t>
      </w:r>
      <w:proofErr w:type="spellStart"/>
      <w:r w:rsidRPr="00367069">
        <w:rPr>
          <w:sz w:val="28"/>
          <w:szCs w:val="28"/>
          <w:lang w:val="en-US"/>
        </w:rPr>
        <w:t>Ji</w:t>
      </w:r>
      <w:proofErr w:type="spellEnd"/>
      <w:r w:rsidRPr="00367069">
        <w:rPr>
          <w:sz w:val="28"/>
          <w:szCs w:val="28"/>
          <w:lang w:val="en-US"/>
        </w:rPr>
        <w:t xml:space="preserve"> C, </w:t>
      </w:r>
      <w:proofErr w:type="spellStart"/>
      <w:r w:rsidRPr="00367069">
        <w:rPr>
          <w:sz w:val="28"/>
          <w:szCs w:val="28"/>
          <w:lang w:val="en-US"/>
        </w:rPr>
        <w:t>Guo</w:t>
      </w:r>
      <w:proofErr w:type="spellEnd"/>
      <w:r w:rsidRPr="00367069">
        <w:rPr>
          <w:sz w:val="28"/>
          <w:szCs w:val="28"/>
          <w:lang w:val="en-US"/>
        </w:rPr>
        <w:t xml:space="preserve"> X. Pre-pregnancy body mass index in relation to infant birth weight and offspring overweight obesity: a systematic review and meta-analysis. </w:t>
      </w:r>
      <w:proofErr w:type="spellStart"/>
      <w:r>
        <w:rPr>
          <w:sz w:val="28"/>
          <w:szCs w:val="28"/>
        </w:rPr>
        <w:t>PloS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>. 2013;</w:t>
      </w:r>
      <w:r w:rsidRPr="005915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Vol</w:t>
      </w:r>
      <w:proofErr w:type="spellEnd"/>
      <w:r w:rsidRPr="00591525">
        <w:rPr>
          <w:sz w:val="28"/>
          <w:szCs w:val="28"/>
        </w:rPr>
        <w:t>. 8</w:t>
      </w:r>
      <w:r>
        <w:rPr>
          <w:sz w:val="28"/>
          <w:szCs w:val="28"/>
        </w:rPr>
        <w:t>. №4:</w:t>
      </w:r>
      <w:r w:rsidRPr="00591525">
        <w:rPr>
          <w:sz w:val="28"/>
          <w:szCs w:val="28"/>
        </w:rPr>
        <w:t xml:space="preserve"> P. e61627.</w:t>
      </w:r>
    </w:p>
    <w:p w:rsidR="00314958" w:rsidRPr="00591525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 w:rsidRPr="00367069">
        <w:rPr>
          <w:sz w:val="28"/>
          <w:szCs w:val="28"/>
          <w:lang w:val="en-US"/>
        </w:rPr>
        <w:t xml:space="preserve"> </w:t>
      </w:r>
      <w:proofErr w:type="spellStart"/>
      <w:r w:rsidRPr="00367069">
        <w:rPr>
          <w:sz w:val="28"/>
          <w:szCs w:val="28"/>
          <w:lang w:val="en-US"/>
        </w:rPr>
        <w:t>Lecoutre</w:t>
      </w:r>
      <w:proofErr w:type="spellEnd"/>
      <w:r w:rsidRPr="00367069">
        <w:rPr>
          <w:sz w:val="28"/>
          <w:szCs w:val="28"/>
          <w:lang w:val="en-US"/>
        </w:rPr>
        <w:t xml:space="preserve"> S, Breton C. Maternal nutritional manipulations program </w:t>
      </w:r>
      <w:r w:rsidRPr="00367069">
        <w:rPr>
          <w:sz w:val="28"/>
          <w:szCs w:val="28"/>
          <w:lang w:val="en-US"/>
        </w:rPr>
        <w:lastRenderedPageBreak/>
        <w:t xml:space="preserve">adipose tissue dysfunction in offspring. </w:t>
      </w:r>
      <w:proofErr w:type="spellStart"/>
      <w:r>
        <w:rPr>
          <w:sz w:val="28"/>
          <w:szCs w:val="28"/>
        </w:rPr>
        <w:t>Front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Physiol</w:t>
      </w:r>
      <w:proofErr w:type="spellEnd"/>
      <w:r>
        <w:rPr>
          <w:sz w:val="28"/>
          <w:szCs w:val="28"/>
        </w:rPr>
        <w:t>. 2015; №6:</w:t>
      </w:r>
      <w:r w:rsidRPr="00591525">
        <w:rPr>
          <w:sz w:val="28"/>
          <w:szCs w:val="28"/>
        </w:rPr>
        <w:t xml:space="preserve"> P.158.</w:t>
      </w:r>
    </w:p>
    <w:p w:rsidR="00314958" w:rsidRPr="00D6508F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  <w:lang w:val="en-US"/>
        </w:rPr>
      </w:pPr>
      <w:r w:rsidRPr="00367069">
        <w:rPr>
          <w:sz w:val="28"/>
          <w:szCs w:val="28"/>
          <w:lang w:val="en-US"/>
        </w:rPr>
        <w:t xml:space="preserve"> Lee HS. Impact of maternal diet on the </w:t>
      </w:r>
      <w:proofErr w:type="spellStart"/>
      <w:r w:rsidRPr="00367069">
        <w:rPr>
          <w:sz w:val="28"/>
          <w:szCs w:val="28"/>
          <w:lang w:val="en-US"/>
        </w:rPr>
        <w:t>epigenome</w:t>
      </w:r>
      <w:proofErr w:type="spellEnd"/>
      <w:r w:rsidRPr="00367069">
        <w:rPr>
          <w:sz w:val="28"/>
          <w:szCs w:val="28"/>
          <w:lang w:val="en-US"/>
        </w:rPr>
        <w:t xml:space="preserve"> during </w:t>
      </w:r>
      <w:r w:rsidRPr="00367069">
        <w:rPr>
          <w:i/>
          <w:sz w:val="28"/>
          <w:szCs w:val="28"/>
          <w:lang w:val="en-US"/>
        </w:rPr>
        <w:t>in utero</w:t>
      </w:r>
      <w:r w:rsidRPr="00367069">
        <w:rPr>
          <w:sz w:val="28"/>
          <w:szCs w:val="28"/>
          <w:lang w:val="en-US"/>
        </w:rPr>
        <w:t xml:space="preserve"> life and the developmental programming of diseases in childhood and adulthood. </w:t>
      </w:r>
      <w:proofErr w:type="spellStart"/>
      <w:r>
        <w:rPr>
          <w:sz w:val="28"/>
          <w:szCs w:val="28"/>
        </w:rPr>
        <w:t>Nutrients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2015; № 7(11): </w:t>
      </w:r>
      <w:r w:rsidRPr="00D6508F">
        <w:rPr>
          <w:sz w:val="28"/>
          <w:szCs w:val="28"/>
          <w:lang w:val="en-US"/>
        </w:rPr>
        <w:t>9492-507.</w:t>
      </w:r>
    </w:p>
    <w:p w:rsidR="00314958" w:rsidRPr="00D6508F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Masuyama</w:t>
      </w:r>
      <w:proofErr w:type="spellEnd"/>
      <w:r>
        <w:rPr>
          <w:sz w:val="28"/>
          <w:szCs w:val="28"/>
          <w:lang w:val="en-US"/>
        </w:rPr>
        <w:t xml:space="preserve"> H</w:t>
      </w:r>
      <w:r w:rsidRPr="00D6508F">
        <w:rPr>
          <w:sz w:val="28"/>
          <w:szCs w:val="28"/>
          <w:lang w:val="en-US"/>
        </w:rPr>
        <w:t xml:space="preserve">, </w:t>
      </w:r>
      <w:proofErr w:type="spellStart"/>
      <w:r w:rsidRPr="00D6508F">
        <w:rPr>
          <w:sz w:val="28"/>
          <w:szCs w:val="28"/>
          <w:lang w:val="en-US"/>
        </w:rPr>
        <w:t>Hiramatsu</w:t>
      </w:r>
      <w:proofErr w:type="spellEnd"/>
      <w:r w:rsidRPr="00D6508F">
        <w:rPr>
          <w:sz w:val="28"/>
          <w:szCs w:val="28"/>
          <w:lang w:val="en-US"/>
        </w:rPr>
        <w:t xml:space="preserve"> Y. Effects of a high-fat diet exposure </w:t>
      </w:r>
      <w:r w:rsidRPr="00D6508F">
        <w:rPr>
          <w:i/>
          <w:sz w:val="28"/>
          <w:szCs w:val="28"/>
          <w:lang w:val="en-US"/>
        </w:rPr>
        <w:t xml:space="preserve">in utero </w:t>
      </w:r>
      <w:r w:rsidRPr="00D6508F">
        <w:rPr>
          <w:sz w:val="28"/>
          <w:szCs w:val="28"/>
          <w:lang w:val="en-US"/>
        </w:rPr>
        <w:t xml:space="preserve">on the metabolic syndrome-like phenomenon in mouse offspring through epigenetic changes in </w:t>
      </w:r>
      <w:proofErr w:type="spellStart"/>
      <w:r w:rsidRPr="00D6508F">
        <w:rPr>
          <w:sz w:val="28"/>
          <w:szCs w:val="28"/>
          <w:lang w:val="en-US"/>
        </w:rPr>
        <w:t>adipocytokine</w:t>
      </w:r>
      <w:proofErr w:type="spellEnd"/>
      <w:r w:rsidRPr="00D6508F">
        <w:rPr>
          <w:sz w:val="28"/>
          <w:szCs w:val="28"/>
          <w:lang w:val="en-US"/>
        </w:rPr>
        <w:t xml:space="preserve"> gene expression.</w:t>
      </w:r>
      <w:r>
        <w:rPr>
          <w:sz w:val="28"/>
          <w:szCs w:val="28"/>
          <w:lang w:val="en-US"/>
        </w:rPr>
        <w:t xml:space="preserve"> Endocrinology. 2012; 153(6):</w:t>
      </w:r>
      <w:r w:rsidRPr="00D6508F">
        <w:rPr>
          <w:sz w:val="28"/>
          <w:szCs w:val="28"/>
          <w:lang w:val="en-US"/>
        </w:rPr>
        <w:t xml:space="preserve"> 2823-30.</w:t>
      </w:r>
    </w:p>
    <w:p w:rsidR="00314958" w:rsidRPr="00D6508F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  <w:lang w:val="en-US"/>
        </w:rPr>
      </w:pPr>
      <w:r w:rsidRPr="005A2725">
        <w:rPr>
          <w:sz w:val="28"/>
          <w:szCs w:val="28"/>
        </w:rPr>
        <w:t xml:space="preserve"> </w:t>
      </w:r>
      <w:proofErr w:type="spellStart"/>
      <w:r w:rsidRPr="00591525">
        <w:rPr>
          <w:sz w:val="28"/>
          <w:szCs w:val="28"/>
        </w:rPr>
        <w:t>Автандилов</w:t>
      </w:r>
      <w:proofErr w:type="spellEnd"/>
      <w:r w:rsidRPr="005A2725">
        <w:rPr>
          <w:sz w:val="28"/>
          <w:szCs w:val="28"/>
        </w:rPr>
        <w:t xml:space="preserve"> </w:t>
      </w:r>
      <w:r w:rsidRPr="00591525">
        <w:rPr>
          <w:sz w:val="28"/>
          <w:szCs w:val="28"/>
        </w:rPr>
        <w:t>ГГ</w:t>
      </w:r>
      <w:r w:rsidRPr="005A2725">
        <w:rPr>
          <w:sz w:val="28"/>
          <w:szCs w:val="28"/>
        </w:rPr>
        <w:t xml:space="preserve">. </w:t>
      </w:r>
      <w:r w:rsidRPr="00591525">
        <w:rPr>
          <w:sz w:val="28"/>
          <w:szCs w:val="28"/>
        </w:rPr>
        <w:t>Медицинская</w:t>
      </w:r>
      <w:r w:rsidRPr="005A2725">
        <w:rPr>
          <w:sz w:val="28"/>
          <w:szCs w:val="28"/>
        </w:rPr>
        <w:t xml:space="preserve"> </w:t>
      </w:r>
      <w:r w:rsidRPr="00591525">
        <w:rPr>
          <w:sz w:val="28"/>
          <w:szCs w:val="28"/>
        </w:rPr>
        <w:t>морфометрия</w:t>
      </w:r>
      <w:r w:rsidRPr="005A2725">
        <w:rPr>
          <w:sz w:val="28"/>
          <w:szCs w:val="28"/>
        </w:rPr>
        <w:t xml:space="preserve">. – </w:t>
      </w:r>
      <w:r w:rsidRPr="00591525">
        <w:rPr>
          <w:sz w:val="28"/>
          <w:szCs w:val="28"/>
        </w:rPr>
        <w:t>М</w:t>
      </w:r>
      <w:r w:rsidRPr="005A2725">
        <w:rPr>
          <w:sz w:val="28"/>
          <w:szCs w:val="28"/>
        </w:rPr>
        <w:t xml:space="preserve">.: </w:t>
      </w:r>
      <w:r w:rsidRPr="00591525">
        <w:rPr>
          <w:sz w:val="28"/>
          <w:szCs w:val="28"/>
        </w:rPr>
        <w:t>Медицина</w:t>
      </w:r>
      <w:r w:rsidRPr="005A2725">
        <w:rPr>
          <w:sz w:val="28"/>
          <w:szCs w:val="28"/>
        </w:rPr>
        <w:t xml:space="preserve">; 1990. </w:t>
      </w:r>
      <w:r w:rsidRPr="00D6508F">
        <w:rPr>
          <w:sz w:val="28"/>
          <w:szCs w:val="28"/>
          <w:lang w:val="en-US"/>
        </w:rPr>
        <w:t>384</w:t>
      </w:r>
      <w:r w:rsidRPr="00591525">
        <w:rPr>
          <w:sz w:val="28"/>
          <w:szCs w:val="28"/>
        </w:rPr>
        <w:t>с</w:t>
      </w:r>
      <w:r w:rsidRPr="00D6508F">
        <w:rPr>
          <w:sz w:val="28"/>
          <w:szCs w:val="28"/>
          <w:lang w:val="en-US"/>
        </w:rPr>
        <w:t>.</w:t>
      </w:r>
    </w:p>
    <w:p w:rsidR="00314958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 w:rsidRPr="00367069">
        <w:rPr>
          <w:sz w:val="28"/>
          <w:szCs w:val="28"/>
        </w:rPr>
        <w:t xml:space="preserve"> </w:t>
      </w:r>
      <w:proofErr w:type="spellStart"/>
      <w:r w:rsidRPr="00826B7D">
        <w:rPr>
          <w:sz w:val="28"/>
          <w:szCs w:val="28"/>
        </w:rPr>
        <w:t>Ніколаєва</w:t>
      </w:r>
      <w:proofErr w:type="spellEnd"/>
      <w:r w:rsidRPr="00826B7D">
        <w:rPr>
          <w:sz w:val="28"/>
          <w:szCs w:val="28"/>
        </w:rPr>
        <w:t xml:space="preserve"> О. В., </w:t>
      </w:r>
      <w:proofErr w:type="spellStart"/>
      <w:r w:rsidRPr="00826B7D">
        <w:rPr>
          <w:sz w:val="28"/>
          <w:szCs w:val="28"/>
        </w:rPr>
        <w:t>Ковальцова</w:t>
      </w:r>
      <w:proofErr w:type="spellEnd"/>
      <w:r w:rsidRPr="00826B7D">
        <w:rPr>
          <w:sz w:val="28"/>
          <w:szCs w:val="28"/>
        </w:rPr>
        <w:t xml:space="preserve"> М. В., </w:t>
      </w:r>
      <w:proofErr w:type="spellStart"/>
      <w:r w:rsidRPr="00826B7D">
        <w:rPr>
          <w:sz w:val="28"/>
          <w:szCs w:val="28"/>
        </w:rPr>
        <w:t>Євтушенко</w:t>
      </w:r>
      <w:proofErr w:type="spellEnd"/>
      <w:r w:rsidRPr="00826B7D">
        <w:rPr>
          <w:sz w:val="28"/>
          <w:szCs w:val="28"/>
        </w:rPr>
        <w:t xml:space="preserve"> Т. Г., </w:t>
      </w:r>
      <w:proofErr w:type="spellStart"/>
      <w:proofErr w:type="gramStart"/>
      <w:r w:rsidRPr="00826B7D">
        <w:rPr>
          <w:sz w:val="28"/>
          <w:szCs w:val="28"/>
        </w:rPr>
        <w:t>винах</w:t>
      </w:r>
      <w:proofErr w:type="gramEnd"/>
      <w:r w:rsidRPr="00826B7D">
        <w:rPr>
          <w:sz w:val="28"/>
          <w:szCs w:val="28"/>
        </w:rPr>
        <w:t>ідник</w:t>
      </w:r>
      <w:proofErr w:type="spellEnd"/>
      <w:r w:rsidRPr="00826B7D">
        <w:rPr>
          <w:sz w:val="28"/>
          <w:szCs w:val="28"/>
        </w:rPr>
        <w:t xml:space="preserve">; </w:t>
      </w:r>
      <w:proofErr w:type="spellStart"/>
      <w:r w:rsidRPr="00826B7D">
        <w:rPr>
          <w:sz w:val="28"/>
          <w:szCs w:val="28"/>
        </w:rPr>
        <w:t>Харківський</w:t>
      </w:r>
      <w:proofErr w:type="spellEnd"/>
      <w:r w:rsidRPr="00826B7D">
        <w:rPr>
          <w:sz w:val="28"/>
          <w:szCs w:val="28"/>
        </w:rPr>
        <w:t xml:space="preserve"> </w:t>
      </w:r>
      <w:proofErr w:type="spellStart"/>
      <w:r w:rsidRPr="00826B7D">
        <w:rPr>
          <w:sz w:val="28"/>
          <w:szCs w:val="28"/>
        </w:rPr>
        <w:t>національний</w:t>
      </w:r>
      <w:proofErr w:type="spellEnd"/>
      <w:r w:rsidRPr="00826B7D">
        <w:rPr>
          <w:sz w:val="28"/>
          <w:szCs w:val="28"/>
        </w:rPr>
        <w:t xml:space="preserve"> </w:t>
      </w:r>
      <w:proofErr w:type="spellStart"/>
      <w:r w:rsidRPr="00826B7D">
        <w:rPr>
          <w:sz w:val="28"/>
          <w:szCs w:val="28"/>
        </w:rPr>
        <w:t>медичний</w:t>
      </w:r>
      <w:proofErr w:type="spellEnd"/>
      <w:r w:rsidRPr="00826B7D">
        <w:rPr>
          <w:sz w:val="28"/>
          <w:szCs w:val="28"/>
        </w:rPr>
        <w:t xml:space="preserve"> </w:t>
      </w:r>
      <w:proofErr w:type="spellStart"/>
      <w:r w:rsidRPr="00826B7D">
        <w:rPr>
          <w:sz w:val="28"/>
          <w:szCs w:val="28"/>
        </w:rPr>
        <w:t>університет</w:t>
      </w:r>
      <w:proofErr w:type="spellEnd"/>
      <w:r w:rsidRPr="00826B7D">
        <w:rPr>
          <w:sz w:val="28"/>
          <w:szCs w:val="28"/>
          <w:lang w:val="uk-UA"/>
        </w:rPr>
        <w:t>, патентовласник</w:t>
      </w:r>
      <w:r w:rsidRPr="00826B7D">
        <w:rPr>
          <w:sz w:val="28"/>
          <w:szCs w:val="28"/>
        </w:rPr>
        <w:t xml:space="preserve">. </w:t>
      </w:r>
      <w:r w:rsidRPr="00826B7D">
        <w:rPr>
          <w:sz w:val="28"/>
          <w:szCs w:val="28"/>
          <w:lang w:val="uk-UA"/>
        </w:rPr>
        <w:t>Спосіб моделювання надмірної ваги</w:t>
      </w:r>
      <w:r>
        <w:rPr>
          <w:sz w:val="28"/>
          <w:szCs w:val="28"/>
          <w:lang w:val="uk-UA"/>
        </w:rPr>
        <w:t>. Патент України №80979. 2013 Черв 10.</w:t>
      </w:r>
      <w:r w:rsidRPr="00826B7D">
        <w:rPr>
          <w:sz w:val="28"/>
          <w:szCs w:val="28"/>
        </w:rPr>
        <w:t xml:space="preserve"> </w:t>
      </w:r>
    </w:p>
    <w:p w:rsidR="00314958" w:rsidRPr="00826B7D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 w:rsidRPr="00826B7D">
        <w:rPr>
          <w:sz w:val="28"/>
          <w:szCs w:val="28"/>
        </w:rPr>
        <w:t>Камышников В. С. Методы клинических лабораторных исследований. Москва: «</w:t>
      </w:r>
      <w:proofErr w:type="spellStart"/>
      <w:r w:rsidRPr="00826B7D">
        <w:rPr>
          <w:sz w:val="28"/>
          <w:szCs w:val="28"/>
        </w:rPr>
        <w:t>Медипресс</w:t>
      </w:r>
      <w:proofErr w:type="spellEnd"/>
      <w:r w:rsidRPr="00826B7D">
        <w:rPr>
          <w:sz w:val="28"/>
          <w:szCs w:val="28"/>
        </w:rPr>
        <w:t xml:space="preserve"> – </w:t>
      </w:r>
      <w:proofErr w:type="spellStart"/>
      <w:r w:rsidRPr="00826B7D">
        <w:rPr>
          <w:sz w:val="28"/>
          <w:szCs w:val="28"/>
        </w:rPr>
        <w:t>информ</w:t>
      </w:r>
      <w:proofErr w:type="spellEnd"/>
      <w:r w:rsidRPr="00826B7D">
        <w:rPr>
          <w:sz w:val="28"/>
          <w:szCs w:val="28"/>
        </w:rPr>
        <w:t xml:space="preserve">»; 2016. 736с. </w:t>
      </w:r>
    </w:p>
    <w:p w:rsidR="00314958" w:rsidRPr="00591525" w:rsidRDefault="00314958" w:rsidP="003149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 w:rsidRPr="00591525">
        <w:rPr>
          <w:sz w:val="28"/>
          <w:szCs w:val="28"/>
        </w:rPr>
        <w:t xml:space="preserve"> Романцова Т. И. Эпидемия ожирения: очевидные и вероятные причи</w:t>
      </w:r>
      <w:r>
        <w:rPr>
          <w:sz w:val="28"/>
          <w:szCs w:val="28"/>
        </w:rPr>
        <w:t>ны. Ожирение и метаболизм. 2011; №1:</w:t>
      </w:r>
      <w:r w:rsidRPr="00591525">
        <w:rPr>
          <w:sz w:val="28"/>
          <w:szCs w:val="28"/>
        </w:rPr>
        <w:t xml:space="preserve"> С.5.</w:t>
      </w:r>
    </w:p>
    <w:p w:rsidR="00314958" w:rsidRPr="00123373" w:rsidRDefault="00314958" w:rsidP="00314958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М. А.   Кузнецова</w:t>
      </w:r>
    </w:p>
    <w:p w:rsidR="00314958" w:rsidRDefault="00314958" w:rsidP="003149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91525">
        <w:rPr>
          <w:b/>
          <w:sz w:val="28"/>
          <w:szCs w:val="28"/>
        </w:rPr>
        <w:t>Влияние высококалорийного питания самок крыс</w:t>
      </w:r>
      <w:r>
        <w:rPr>
          <w:b/>
          <w:sz w:val="28"/>
          <w:szCs w:val="28"/>
        </w:rPr>
        <w:t xml:space="preserve"> во время беременности </w:t>
      </w:r>
      <w:r w:rsidRPr="00591525">
        <w:rPr>
          <w:b/>
          <w:sz w:val="28"/>
          <w:szCs w:val="28"/>
        </w:rPr>
        <w:t>на морфофункциональное состояние печени их потомства</w:t>
      </w:r>
      <w:r>
        <w:rPr>
          <w:b/>
          <w:sz w:val="28"/>
          <w:szCs w:val="28"/>
        </w:rPr>
        <w:t xml:space="preserve">. </w:t>
      </w:r>
    </w:p>
    <w:p w:rsidR="00314958" w:rsidRDefault="00314958" w:rsidP="003149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91525">
        <w:rPr>
          <w:sz w:val="28"/>
          <w:szCs w:val="28"/>
        </w:rPr>
        <w:t>зучен</w:t>
      </w:r>
      <w:r>
        <w:rPr>
          <w:sz w:val="28"/>
          <w:szCs w:val="28"/>
        </w:rPr>
        <w:t>о морфофункциональное состояние</w:t>
      </w:r>
      <w:r w:rsidRPr="00591525">
        <w:rPr>
          <w:sz w:val="28"/>
          <w:szCs w:val="28"/>
        </w:rPr>
        <w:t xml:space="preserve"> </w:t>
      </w:r>
      <w:r>
        <w:rPr>
          <w:sz w:val="28"/>
          <w:szCs w:val="28"/>
        </w:rPr>
        <w:t>печени потомства крыс, рожденного</w:t>
      </w:r>
      <w:r w:rsidRPr="00591525">
        <w:rPr>
          <w:sz w:val="28"/>
          <w:szCs w:val="28"/>
        </w:rPr>
        <w:t xml:space="preserve"> от самок, получавших на протяжении беременности несбалансированное питание с избытком жиров и углеводов</w:t>
      </w:r>
      <w:r>
        <w:rPr>
          <w:sz w:val="28"/>
          <w:szCs w:val="28"/>
        </w:rPr>
        <w:t xml:space="preserve">. Выявлено, что </w:t>
      </w:r>
      <w:proofErr w:type="spellStart"/>
      <w:r>
        <w:rPr>
          <w:sz w:val="28"/>
          <w:szCs w:val="28"/>
        </w:rPr>
        <w:t>г</w:t>
      </w:r>
      <w:r w:rsidRPr="00591525">
        <w:rPr>
          <w:sz w:val="28"/>
          <w:szCs w:val="28"/>
        </w:rPr>
        <w:t>иперкалорийное</w:t>
      </w:r>
      <w:proofErr w:type="spellEnd"/>
      <w:r w:rsidRPr="00591525">
        <w:rPr>
          <w:sz w:val="28"/>
          <w:szCs w:val="28"/>
        </w:rPr>
        <w:t xml:space="preserve"> питание матери во время беременности не оказывает значительного влияния на морфологию печени</w:t>
      </w:r>
      <w:r>
        <w:rPr>
          <w:sz w:val="28"/>
          <w:szCs w:val="28"/>
        </w:rPr>
        <w:t xml:space="preserve"> потомства. </w:t>
      </w:r>
      <w:r w:rsidRPr="00591525">
        <w:rPr>
          <w:sz w:val="28"/>
          <w:szCs w:val="28"/>
        </w:rPr>
        <w:t>Функциональные изменения печени</w:t>
      </w:r>
      <w:r>
        <w:rPr>
          <w:sz w:val="28"/>
          <w:szCs w:val="28"/>
        </w:rPr>
        <w:t xml:space="preserve"> </w:t>
      </w:r>
      <w:r w:rsidRPr="00591525">
        <w:rPr>
          <w:sz w:val="28"/>
          <w:szCs w:val="28"/>
        </w:rPr>
        <w:t>потомства крыс</w:t>
      </w:r>
      <w:r>
        <w:rPr>
          <w:sz w:val="28"/>
          <w:szCs w:val="28"/>
        </w:rPr>
        <w:t xml:space="preserve"> </w:t>
      </w:r>
      <w:r w:rsidRPr="00591525">
        <w:rPr>
          <w:sz w:val="28"/>
          <w:szCs w:val="28"/>
        </w:rPr>
        <w:t xml:space="preserve">проявлялись </w:t>
      </w:r>
      <w:proofErr w:type="spellStart"/>
      <w:r w:rsidRPr="00591525">
        <w:rPr>
          <w:sz w:val="28"/>
          <w:szCs w:val="28"/>
        </w:rPr>
        <w:t>диспротеинемией</w:t>
      </w:r>
      <w:proofErr w:type="spellEnd"/>
      <w:r w:rsidRPr="00591525">
        <w:rPr>
          <w:sz w:val="28"/>
          <w:szCs w:val="28"/>
        </w:rPr>
        <w:t xml:space="preserve">, </w:t>
      </w:r>
      <w:proofErr w:type="spellStart"/>
      <w:r w:rsidRPr="00591525">
        <w:rPr>
          <w:sz w:val="28"/>
          <w:szCs w:val="28"/>
        </w:rPr>
        <w:t>гиперлипидемией</w:t>
      </w:r>
      <w:proofErr w:type="spellEnd"/>
      <w:r w:rsidRPr="00591525">
        <w:rPr>
          <w:sz w:val="28"/>
          <w:szCs w:val="28"/>
        </w:rPr>
        <w:t xml:space="preserve"> (повышен</w:t>
      </w:r>
      <w:r>
        <w:rPr>
          <w:sz w:val="28"/>
          <w:szCs w:val="28"/>
        </w:rPr>
        <w:t>ие уров</w:t>
      </w:r>
      <w:r w:rsidRPr="00591525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591525">
        <w:rPr>
          <w:sz w:val="28"/>
          <w:szCs w:val="28"/>
        </w:rPr>
        <w:t xml:space="preserve"> ЛПНП, ЛПОНП, ТГ) и </w:t>
      </w:r>
      <w:r>
        <w:rPr>
          <w:sz w:val="28"/>
          <w:szCs w:val="28"/>
        </w:rPr>
        <w:lastRenderedPageBreak/>
        <w:t>гипергликемией</w:t>
      </w:r>
      <w:r w:rsidRPr="00591525">
        <w:rPr>
          <w:sz w:val="28"/>
          <w:szCs w:val="28"/>
        </w:rPr>
        <w:t>.</w:t>
      </w:r>
      <w:r>
        <w:rPr>
          <w:sz w:val="28"/>
          <w:szCs w:val="28"/>
        </w:rPr>
        <w:t xml:space="preserve"> Биохимические показатели </w:t>
      </w:r>
      <w:r w:rsidRPr="00591525">
        <w:rPr>
          <w:sz w:val="28"/>
          <w:szCs w:val="28"/>
        </w:rPr>
        <w:t xml:space="preserve">ткани печени </w:t>
      </w:r>
      <w:r>
        <w:rPr>
          <w:sz w:val="28"/>
          <w:szCs w:val="28"/>
        </w:rPr>
        <w:t xml:space="preserve">потомства крыс </w:t>
      </w:r>
      <w:r w:rsidRPr="00591525">
        <w:rPr>
          <w:sz w:val="28"/>
          <w:szCs w:val="28"/>
        </w:rPr>
        <w:t>свидетельствуют о нарушении секрец</w:t>
      </w:r>
      <w:r>
        <w:rPr>
          <w:sz w:val="28"/>
          <w:szCs w:val="28"/>
        </w:rPr>
        <w:t>ии и обратного захвата липидов.</w:t>
      </w:r>
    </w:p>
    <w:p w:rsidR="00314958" w:rsidRDefault="00314958" w:rsidP="003149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91525">
        <w:rPr>
          <w:b/>
          <w:sz w:val="28"/>
          <w:szCs w:val="28"/>
        </w:rPr>
        <w:t>Ключевые слова</w:t>
      </w:r>
      <w:r>
        <w:rPr>
          <w:sz w:val="28"/>
          <w:szCs w:val="28"/>
        </w:rPr>
        <w:t xml:space="preserve">: печень, морфология, </w:t>
      </w:r>
      <w:proofErr w:type="spellStart"/>
      <w:r>
        <w:rPr>
          <w:sz w:val="28"/>
          <w:szCs w:val="28"/>
        </w:rPr>
        <w:t>гомогенат</w:t>
      </w:r>
      <w:proofErr w:type="spellEnd"/>
      <w:r>
        <w:rPr>
          <w:sz w:val="28"/>
          <w:szCs w:val="28"/>
        </w:rPr>
        <w:t xml:space="preserve">, сыворотка крови, </w:t>
      </w:r>
      <w:proofErr w:type="spellStart"/>
      <w:r>
        <w:rPr>
          <w:sz w:val="28"/>
          <w:szCs w:val="28"/>
        </w:rPr>
        <w:t>г</w:t>
      </w:r>
      <w:r w:rsidRPr="00591525">
        <w:rPr>
          <w:sz w:val="28"/>
          <w:szCs w:val="28"/>
        </w:rPr>
        <w:t>иперкалорийное</w:t>
      </w:r>
      <w:proofErr w:type="spellEnd"/>
      <w:r w:rsidRPr="00591525">
        <w:rPr>
          <w:sz w:val="28"/>
          <w:szCs w:val="28"/>
        </w:rPr>
        <w:t xml:space="preserve"> питание</w:t>
      </w:r>
      <w:r>
        <w:rPr>
          <w:sz w:val="28"/>
          <w:szCs w:val="28"/>
        </w:rPr>
        <w:t xml:space="preserve">, беременность. </w:t>
      </w:r>
    </w:p>
    <w:p w:rsidR="00314958" w:rsidRPr="00186ED1" w:rsidRDefault="00314958" w:rsidP="0031495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i/>
          <w:color w:val="FF0000"/>
          <w:sz w:val="28"/>
          <w:szCs w:val="28"/>
        </w:rPr>
      </w:pPr>
      <w:r w:rsidRPr="00186ED1">
        <w:rPr>
          <w:i/>
          <w:sz w:val="28"/>
          <w:szCs w:val="28"/>
        </w:rPr>
        <w:t>М.О. Кузнецова</w:t>
      </w:r>
    </w:p>
    <w:p w:rsidR="00314958" w:rsidRDefault="00314958" w:rsidP="0031495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E03F95">
        <w:rPr>
          <w:b/>
          <w:sz w:val="28"/>
          <w:szCs w:val="28"/>
          <w:lang w:val="uk-UA"/>
        </w:rPr>
        <w:t xml:space="preserve">Вплив висококалорійного харчування самиць щурів під час вагітності на </w:t>
      </w:r>
      <w:proofErr w:type="spellStart"/>
      <w:r w:rsidRPr="00E03F95">
        <w:rPr>
          <w:b/>
          <w:sz w:val="28"/>
          <w:szCs w:val="28"/>
          <w:lang w:val="uk-UA"/>
        </w:rPr>
        <w:t>морфофункціональний</w:t>
      </w:r>
      <w:proofErr w:type="spellEnd"/>
      <w:r w:rsidRPr="00E03F95">
        <w:rPr>
          <w:b/>
          <w:sz w:val="28"/>
          <w:szCs w:val="28"/>
          <w:lang w:val="uk-UA"/>
        </w:rPr>
        <w:t xml:space="preserve"> стан печінки їх потомства </w:t>
      </w:r>
    </w:p>
    <w:p w:rsidR="00314958" w:rsidRDefault="00314958" w:rsidP="0031495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Визначений </w:t>
      </w:r>
      <w:proofErr w:type="spellStart"/>
      <w:r>
        <w:rPr>
          <w:sz w:val="28"/>
          <w:szCs w:val="28"/>
          <w:lang w:val="uk-UA"/>
        </w:rPr>
        <w:t>морфофункціональний</w:t>
      </w:r>
      <w:proofErr w:type="spellEnd"/>
      <w:r>
        <w:rPr>
          <w:sz w:val="28"/>
          <w:szCs w:val="28"/>
          <w:lang w:val="uk-UA"/>
        </w:rPr>
        <w:t xml:space="preserve"> стан печінки потомства,  народженого від щурів, що отримували </w:t>
      </w:r>
      <w:proofErr w:type="spellStart"/>
      <w:r>
        <w:rPr>
          <w:sz w:val="28"/>
          <w:szCs w:val="28"/>
          <w:lang w:val="uk-UA"/>
        </w:rPr>
        <w:t>гіперкалорійний</w:t>
      </w:r>
      <w:proofErr w:type="spellEnd"/>
      <w:r>
        <w:rPr>
          <w:sz w:val="28"/>
          <w:szCs w:val="28"/>
          <w:lang w:val="uk-UA"/>
        </w:rPr>
        <w:t xml:space="preserve"> раціон харчування з надлишком жирів та вуглеводів під час вагітності. Виявлено, що висококалорійне харчування самиці під час вагітності не призводить до значних морфологічних змін в печінці потомства. Функціональні зміни в печінці потомства щурів проявлялись </w:t>
      </w:r>
      <w:proofErr w:type="spellStart"/>
      <w:r>
        <w:rPr>
          <w:sz w:val="28"/>
          <w:szCs w:val="28"/>
          <w:lang w:val="uk-UA"/>
        </w:rPr>
        <w:t>диспротеїнемією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гіперліпідемією</w:t>
      </w:r>
      <w:proofErr w:type="spellEnd"/>
      <w:r>
        <w:rPr>
          <w:sz w:val="28"/>
          <w:szCs w:val="28"/>
          <w:lang w:val="uk-UA"/>
        </w:rPr>
        <w:t xml:space="preserve"> (збільшення рівня ЛПНП, ЛПОНП, ТГ) та гіперглікемією. </w:t>
      </w:r>
    </w:p>
    <w:p w:rsidR="00314958" w:rsidRDefault="00314958" w:rsidP="0031495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Біохімічні показники в </w:t>
      </w:r>
      <w:proofErr w:type="spellStart"/>
      <w:r>
        <w:rPr>
          <w:sz w:val="28"/>
          <w:szCs w:val="28"/>
          <w:lang w:val="uk-UA"/>
        </w:rPr>
        <w:t>гомогенаті</w:t>
      </w:r>
      <w:proofErr w:type="spellEnd"/>
      <w:r>
        <w:rPr>
          <w:sz w:val="28"/>
          <w:szCs w:val="28"/>
          <w:lang w:val="uk-UA"/>
        </w:rPr>
        <w:t xml:space="preserve"> тканини печінки  потомства щурів свідчать про порушення секреції та </w:t>
      </w:r>
      <w:proofErr w:type="spellStart"/>
      <w:r>
        <w:rPr>
          <w:sz w:val="28"/>
          <w:szCs w:val="28"/>
          <w:lang w:val="uk-UA"/>
        </w:rPr>
        <w:t>зворотнього</w:t>
      </w:r>
      <w:proofErr w:type="spellEnd"/>
      <w:r>
        <w:rPr>
          <w:sz w:val="28"/>
          <w:szCs w:val="28"/>
          <w:lang w:val="uk-UA"/>
        </w:rPr>
        <w:t xml:space="preserve"> захоплення ліпідів.</w:t>
      </w:r>
    </w:p>
    <w:p w:rsidR="00314958" w:rsidRDefault="00314958" w:rsidP="0031495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E2562E">
        <w:rPr>
          <w:b/>
          <w:sz w:val="28"/>
          <w:szCs w:val="28"/>
          <w:lang w:val="uk-UA"/>
        </w:rPr>
        <w:t>Ключові слова</w:t>
      </w:r>
      <w:r>
        <w:rPr>
          <w:b/>
          <w:sz w:val="28"/>
          <w:szCs w:val="28"/>
          <w:lang w:val="uk-UA"/>
        </w:rPr>
        <w:t xml:space="preserve">: </w:t>
      </w:r>
      <w:r w:rsidRPr="00E2562E">
        <w:rPr>
          <w:sz w:val="28"/>
          <w:szCs w:val="28"/>
          <w:lang w:val="uk-UA"/>
        </w:rPr>
        <w:t>печінка</w:t>
      </w:r>
      <w:r>
        <w:rPr>
          <w:sz w:val="28"/>
          <w:szCs w:val="28"/>
          <w:lang w:val="uk-UA"/>
        </w:rPr>
        <w:t xml:space="preserve">, морфологія, </w:t>
      </w:r>
      <w:proofErr w:type="spellStart"/>
      <w:r>
        <w:rPr>
          <w:sz w:val="28"/>
          <w:szCs w:val="28"/>
          <w:lang w:val="uk-UA"/>
        </w:rPr>
        <w:t>гомогенат</w:t>
      </w:r>
      <w:proofErr w:type="spellEnd"/>
      <w:r>
        <w:rPr>
          <w:sz w:val="28"/>
          <w:szCs w:val="28"/>
          <w:lang w:val="uk-UA"/>
        </w:rPr>
        <w:t xml:space="preserve">, сироватка крові, </w:t>
      </w:r>
      <w:proofErr w:type="spellStart"/>
      <w:r>
        <w:rPr>
          <w:sz w:val="28"/>
          <w:szCs w:val="28"/>
          <w:lang w:val="uk-UA"/>
        </w:rPr>
        <w:t>гіперкалорійне</w:t>
      </w:r>
      <w:proofErr w:type="spellEnd"/>
      <w:r>
        <w:rPr>
          <w:sz w:val="28"/>
          <w:szCs w:val="28"/>
          <w:lang w:val="uk-UA"/>
        </w:rPr>
        <w:t xml:space="preserve"> харчування, вагітність. </w:t>
      </w:r>
    </w:p>
    <w:p w:rsidR="00314958" w:rsidRPr="00CA35F6" w:rsidRDefault="00314958" w:rsidP="0031495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M. O. </w:t>
      </w:r>
      <w:proofErr w:type="spellStart"/>
      <w:r>
        <w:rPr>
          <w:i/>
          <w:sz w:val="28"/>
          <w:szCs w:val="28"/>
          <w:lang w:val="en-US"/>
        </w:rPr>
        <w:t>Kuznetsova</w:t>
      </w:r>
      <w:proofErr w:type="spellEnd"/>
    </w:p>
    <w:p w:rsidR="00314958" w:rsidRDefault="00314958" w:rsidP="0031495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impact of </w:t>
      </w:r>
      <w:proofErr w:type="spellStart"/>
      <w:r>
        <w:rPr>
          <w:b/>
          <w:sz w:val="28"/>
          <w:szCs w:val="28"/>
          <w:lang w:val="en-US"/>
        </w:rPr>
        <w:t>hypercaloric</w:t>
      </w:r>
      <w:proofErr w:type="spellEnd"/>
      <w:r>
        <w:rPr>
          <w:b/>
          <w:sz w:val="28"/>
          <w:szCs w:val="28"/>
          <w:lang w:val="en-US"/>
        </w:rPr>
        <w:t xml:space="preserve"> nutrition of female rats during pregnancy on the </w:t>
      </w:r>
      <w:proofErr w:type="spellStart"/>
      <w:r>
        <w:rPr>
          <w:b/>
          <w:sz w:val="28"/>
          <w:szCs w:val="28"/>
          <w:lang w:val="en-US"/>
        </w:rPr>
        <w:t>morphofunctional</w:t>
      </w:r>
      <w:proofErr w:type="spellEnd"/>
      <w:r>
        <w:rPr>
          <w:b/>
          <w:sz w:val="28"/>
          <w:szCs w:val="28"/>
          <w:lang w:val="en-US"/>
        </w:rPr>
        <w:t xml:space="preserve"> state of the liver in their offspring</w:t>
      </w:r>
    </w:p>
    <w:p w:rsidR="00314958" w:rsidRDefault="00314958" w:rsidP="003149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study involved the assessment of </w:t>
      </w:r>
      <w:proofErr w:type="spellStart"/>
      <w:r>
        <w:rPr>
          <w:sz w:val="28"/>
          <w:szCs w:val="28"/>
          <w:lang w:val="en-US"/>
        </w:rPr>
        <w:t>morphofunctional</w:t>
      </w:r>
      <w:proofErr w:type="spellEnd"/>
      <w:r>
        <w:rPr>
          <w:sz w:val="28"/>
          <w:szCs w:val="28"/>
          <w:lang w:val="en-US"/>
        </w:rPr>
        <w:t xml:space="preserve"> state of the liver of the offspring of rats, born from females, receiving an unbalanced diet with an excess of fats and carbohydrates during pregnancy. It showed that the mother's </w:t>
      </w:r>
      <w:proofErr w:type="spellStart"/>
      <w:r>
        <w:rPr>
          <w:sz w:val="28"/>
          <w:szCs w:val="28"/>
          <w:lang w:val="en-US"/>
        </w:rPr>
        <w:t>hypercaloric</w:t>
      </w:r>
      <w:proofErr w:type="spellEnd"/>
      <w:r>
        <w:rPr>
          <w:sz w:val="28"/>
          <w:szCs w:val="28"/>
          <w:lang w:val="en-US"/>
        </w:rPr>
        <w:t xml:space="preserve"> nutrition during pregnancy did not have a significant effect on the morphology of the liver in the offspring. Functional changes in the liver of the offspring were manifested by </w:t>
      </w:r>
      <w:proofErr w:type="spellStart"/>
      <w:r>
        <w:rPr>
          <w:sz w:val="28"/>
          <w:szCs w:val="28"/>
          <w:lang w:val="en-US"/>
        </w:rPr>
        <w:t>disproteinemia</w:t>
      </w:r>
      <w:proofErr w:type="spellEnd"/>
      <w:r>
        <w:rPr>
          <w:sz w:val="28"/>
          <w:szCs w:val="28"/>
          <w:lang w:val="en-US"/>
        </w:rPr>
        <w:t>, hyperlipidemia (increased LDL, VLDL, TG) and hyperglycemia. Biochemical indices of liver tissue in the offspring indicated an impairment of secretion and re-uptake of lipids.</w:t>
      </w:r>
    </w:p>
    <w:p w:rsidR="00314958" w:rsidRDefault="00314958" w:rsidP="003149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Key words:</w:t>
      </w:r>
      <w:r>
        <w:rPr>
          <w:sz w:val="28"/>
          <w:szCs w:val="28"/>
          <w:lang w:val="en-US"/>
        </w:rPr>
        <w:t xml:space="preserve"> liver, morphology, homogenate, blood serum, </w:t>
      </w:r>
      <w:proofErr w:type="spellStart"/>
      <w:r>
        <w:rPr>
          <w:sz w:val="28"/>
          <w:szCs w:val="28"/>
          <w:lang w:val="en-US"/>
        </w:rPr>
        <w:t>hypercaloric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lastRenderedPageBreak/>
        <w:t>nutrition, pregnancy.</w:t>
      </w:r>
    </w:p>
    <w:p w:rsidR="0056200D" w:rsidRPr="00314958" w:rsidRDefault="0056200D">
      <w:pPr>
        <w:rPr>
          <w:lang w:val="en-US"/>
        </w:rPr>
      </w:pPr>
      <w:bookmarkStart w:id="0" w:name="_GoBack"/>
      <w:bookmarkEnd w:id="0"/>
    </w:p>
    <w:sectPr w:rsidR="0056200D" w:rsidRPr="0031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F2C"/>
    <w:multiLevelType w:val="hybridMultilevel"/>
    <w:tmpl w:val="A9DE2EEC"/>
    <w:lvl w:ilvl="0" w:tplc="CC82378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471D0"/>
    <w:multiLevelType w:val="hybridMultilevel"/>
    <w:tmpl w:val="29864638"/>
    <w:lvl w:ilvl="0" w:tplc="71DA1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54"/>
    <w:rsid w:val="00314958"/>
    <w:rsid w:val="0056200D"/>
    <w:rsid w:val="0084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5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95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5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95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3677</Words>
  <Characters>20962</Characters>
  <Application>Microsoft Office Word</Application>
  <DocSecurity>0</DocSecurity>
  <Lines>174</Lines>
  <Paragraphs>49</Paragraphs>
  <ScaleCrop>false</ScaleCrop>
  <Company/>
  <LinksUpToDate>false</LinksUpToDate>
  <CharactersWithSpaces>24590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2018-11-20T11:01:00Z</dcterms:created>
  <dcterms:modified xsi:type="dcterms:W3CDTF">2018-11-20T11:02:00Z</dcterms:modified>
</cp:coreProperties>
</file>