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0D" w:rsidRPr="00AD330D" w:rsidRDefault="00AD330D" w:rsidP="00E654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AD330D">
        <w:rPr>
          <w:rFonts w:ascii="Times New Roman" w:eastAsia="TimesNewRoman" w:hAnsi="Times New Roman" w:cs="Times New Roman"/>
          <w:sz w:val="28"/>
          <w:szCs w:val="28"/>
        </w:rPr>
        <w:t>УДК 613.865:377.36:338.432</w:t>
      </w:r>
    </w:p>
    <w:p w:rsidR="00AD330D" w:rsidRPr="00AD330D" w:rsidRDefault="00AD330D" w:rsidP="00E654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>ГІ</w:t>
      </w:r>
      <w:proofErr w:type="gramStart"/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>Г</w:t>
      </w:r>
      <w:proofErr w:type="gramEnd"/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>ІЄНІЧНА ОЦІНКА НАВЧАЛЬНОГО НАВАНТАЖЕННЯ</w:t>
      </w:r>
    </w:p>
    <w:p w:rsidR="00AD330D" w:rsidRPr="00AD330D" w:rsidRDefault="00AD330D" w:rsidP="00E654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>В ПРОФЕСІЙНОМУ АГРАРНОМУ ЛІЦЕЇ</w:t>
      </w:r>
    </w:p>
    <w:p w:rsidR="00AD330D" w:rsidRPr="00AD330D" w:rsidRDefault="00AD330D" w:rsidP="00E654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proofErr w:type="spellStart"/>
      <w:r w:rsidRPr="00AD330D">
        <w:rPr>
          <w:rFonts w:ascii="Times New Roman" w:eastAsia="TimesNewRoman" w:hAnsi="Times New Roman" w:cs="Times New Roman"/>
          <w:i/>
          <w:iCs/>
          <w:sz w:val="28"/>
          <w:szCs w:val="28"/>
        </w:rPr>
        <w:t>Богачова</w:t>
      </w:r>
      <w:proofErr w:type="spellEnd"/>
      <w:r w:rsidRPr="00AD330D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 О.С.</w:t>
      </w:r>
    </w:p>
    <w:p w:rsidR="00AD330D" w:rsidRPr="00AD330D" w:rsidRDefault="00AD330D" w:rsidP="00E654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Харківський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національний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медичний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університет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>,</w:t>
      </w:r>
    </w:p>
    <w:p w:rsidR="00AD330D" w:rsidRPr="00AD330D" w:rsidRDefault="00AD330D" w:rsidP="00E654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Харків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Україна</w:t>
      </w:r>
      <w:proofErr w:type="spellEnd"/>
    </w:p>
    <w:p w:rsidR="00AD330D" w:rsidRPr="00AD330D" w:rsidRDefault="00AD330D" w:rsidP="00E654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AD330D" w:rsidRPr="00AD330D" w:rsidRDefault="00AD330D" w:rsidP="00E654F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>Актуальність</w:t>
      </w:r>
      <w:proofErr w:type="spellEnd"/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. </w:t>
      </w:r>
      <w:proofErr w:type="gramStart"/>
      <w:r w:rsidRPr="00AD330D">
        <w:rPr>
          <w:rFonts w:ascii="Times New Roman" w:eastAsia="TimesNewRoman" w:hAnsi="Times New Roman" w:cs="Times New Roman"/>
          <w:sz w:val="28"/>
          <w:szCs w:val="28"/>
        </w:rPr>
        <w:t>З</w:t>
      </w:r>
      <w:proofErr w:type="gram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кожним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роком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підвищуються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вимоги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суспільства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щодо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рівня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освіти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в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результаті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чого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сучасний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підліток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стає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схильним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до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дії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комплексу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факторів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навчально-виробничого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середовища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. У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більшості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випадків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–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це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неконтрольований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потік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330D">
        <w:rPr>
          <w:rFonts w:ascii="Times New Roman" w:eastAsia="TimesNewRoman" w:hAnsi="Times New Roman" w:cs="Times New Roman"/>
          <w:sz w:val="28"/>
          <w:szCs w:val="28"/>
        </w:rPr>
        <w:t>ауд</w:t>
      </w:r>
      <w:proofErr w:type="gramEnd"/>
      <w:r w:rsidRPr="00AD330D">
        <w:rPr>
          <w:rFonts w:ascii="Times New Roman" w:eastAsia="TimesNewRoman" w:hAnsi="Times New Roman" w:cs="Times New Roman"/>
          <w:sz w:val="28"/>
          <w:szCs w:val="28"/>
        </w:rPr>
        <w:t>іовізуальної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інформації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численні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іспити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скорочення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часу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перебування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на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свіжому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повітрі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Це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стосується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і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підлітків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які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опановують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сільськогосподарські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спеціальності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на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базі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професійних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аграрних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ліцеїв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їхній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перехід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із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загальноосвітніх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шкіл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в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заклади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професійно-технічної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освіти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супров</w:t>
      </w:r>
      <w:bookmarkStart w:id="0" w:name="_GoBack"/>
      <w:bookmarkEnd w:id="0"/>
      <w:r w:rsidRPr="00AD330D">
        <w:rPr>
          <w:rFonts w:ascii="Times New Roman" w:eastAsia="TimesNewRoman" w:hAnsi="Times New Roman" w:cs="Times New Roman"/>
          <w:sz w:val="28"/>
          <w:szCs w:val="28"/>
        </w:rPr>
        <w:t>оджується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зміною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звичного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для них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розкладу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навчальних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занять,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збільшенням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загального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навчального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навантаження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принципово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відмінним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від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шкіл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характером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діяльності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–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появою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у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розкладі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виробничого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навчання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в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майстернях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професійної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330D">
        <w:rPr>
          <w:rFonts w:ascii="Times New Roman" w:eastAsia="TimesNewRoman" w:hAnsi="Times New Roman" w:cs="Times New Roman"/>
          <w:sz w:val="28"/>
          <w:szCs w:val="28"/>
        </w:rPr>
        <w:t>п</w:t>
      </w:r>
      <w:proofErr w:type="gramEnd"/>
      <w:r w:rsidRPr="00AD330D">
        <w:rPr>
          <w:rFonts w:ascii="Times New Roman" w:eastAsia="TimesNewRoman" w:hAnsi="Times New Roman" w:cs="Times New Roman"/>
          <w:sz w:val="28"/>
          <w:szCs w:val="28"/>
        </w:rPr>
        <w:t>ідготовки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виробничої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практики на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підприємствах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інших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спеціалізованих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практично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орієнтованих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предметів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. Все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це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може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стати причиною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виникнення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порушень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у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здоров’ї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ліцеї</w:t>
      </w:r>
      <w:proofErr w:type="gramStart"/>
      <w:r w:rsidRPr="00AD330D">
        <w:rPr>
          <w:rFonts w:ascii="Times New Roman" w:eastAsia="TimesNewRoman" w:hAnsi="Times New Roman" w:cs="Times New Roman"/>
          <w:sz w:val="28"/>
          <w:szCs w:val="28"/>
        </w:rPr>
        <w:t>ст</w:t>
      </w:r>
      <w:proofErr w:type="gramEnd"/>
      <w:r w:rsidRPr="00AD330D">
        <w:rPr>
          <w:rFonts w:ascii="Times New Roman" w:eastAsia="TimesNewRoman" w:hAnsi="Times New Roman" w:cs="Times New Roman"/>
          <w:sz w:val="28"/>
          <w:szCs w:val="28"/>
        </w:rPr>
        <w:t>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спровокувати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виникнення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розладів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нервової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системи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привести до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загального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погіршення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самопочуття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порушити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процес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адаптації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в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цілому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AD330D" w:rsidRPr="00AD330D" w:rsidRDefault="00AD330D" w:rsidP="00E654F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Метою </w:t>
      </w:r>
      <w:proofErr w:type="spellStart"/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>дослідження</w:t>
      </w:r>
      <w:proofErr w:type="spellEnd"/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було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провести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гі</w:t>
      </w:r>
      <w:proofErr w:type="gramStart"/>
      <w:r w:rsidRPr="00AD330D">
        <w:rPr>
          <w:rFonts w:ascii="Times New Roman" w:eastAsia="TimesNewRoman" w:hAnsi="Times New Roman" w:cs="Times New Roman"/>
          <w:sz w:val="28"/>
          <w:szCs w:val="28"/>
        </w:rPr>
        <w:t>г</w:t>
      </w:r>
      <w:proofErr w:type="gramEnd"/>
      <w:r w:rsidRPr="00AD330D">
        <w:rPr>
          <w:rFonts w:ascii="Times New Roman" w:eastAsia="TimesNewRoman" w:hAnsi="Times New Roman" w:cs="Times New Roman"/>
          <w:sz w:val="28"/>
          <w:szCs w:val="28"/>
        </w:rPr>
        <w:t>ієнічну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оцінку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розкладу</w:t>
      </w:r>
      <w:proofErr w:type="spellEnd"/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занять та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виявити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негативні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фактори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які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здатні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істотно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ускладнити</w:t>
      </w:r>
      <w:proofErr w:type="spellEnd"/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процес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адаптації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організму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підлітків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до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умов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навчання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в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ліцеї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AD330D" w:rsidRPr="00AD330D" w:rsidRDefault="00AD330D" w:rsidP="00E654F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proofErr w:type="gramStart"/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>Матер</w:t>
      </w:r>
      <w:proofErr w:type="gramEnd"/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>іали</w:t>
      </w:r>
      <w:proofErr w:type="spellEnd"/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>методи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. В </w:t>
      </w:r>
      <w:proofErr w:type="spellStart"/>
      <w:proofErr w:type="gramStart"/>
      <w:r w:rsidRPr="00AD330D">
        <w:rPr>
          <w:rFonts w:ascii="Times New Roman" w:eastAsia="TimesNewRoman" w:hAnsi="Times New Roman" w:cs="Times New Roman"/>
          <w:sz w:val="28"/>
          <w:szCs w:val="28"/>
        </w:rPr>
        <w:t>досл</w:t>
      </w:r>
      <w:proofErr w:type="gramEnd"/>
      <w:r w:rsidRPr="00AD330D">
        <w:rPr>
          <w:rFonts w:ascii="Times New Roman" w:eastAsia="TimesNewRoman" w:hAnsi="Times New Roman" w:cs="Times New Roman"/>
          <w:sz w:val="28"/>
          <w:szCs w:val="28"/>
        </w:rPr>
        <w:t>ідженні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приймали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участь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ліцеїсти</w:t>
      </w:r>
      <w:proofErr w:type="spellEnd"/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віком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15–18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років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в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кількості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115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осіб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які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протягом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3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років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навчання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опановували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найбільш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поширені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спеціальності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сільського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господарства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>: 1-й курс – «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слюсар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з ремонту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сільськогосподарських</w:t>
      </w:r>
      <w:proofErr w:type="spellEnd"/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машин та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обладнання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» (31), 2-й </w:t>
      </w:r>
      <w:r w:rsidRPr="00AD330D">
        <w:rPr>
          <w:rFonts w:ascii="Times New Roman" w:eastAsia="TimesNewRoman" w:hAnsi="Times New Roman" w:cs="Times New Roman"/>
          <w:sz w:val="28"/>
          <w:szCs w:val="28"/>
        </w:rPr>
        <w:lastRenderedPageBreak/>
        <w:t>курс – «тракторист-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машиніст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сільськогосподарського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(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лісогосподарського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)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виробництва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>» (35), 3-й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D330D">
        <w:rPr>
          <w:rFonts w:ascii="Times New Roman" w:eastAsia="TimesNewRoman" w:hAnsi="Times New Roman" w:cs="Times New Roman"/>
          <w:sz w:val="28"/>
          <w:szCs w:val="28"/>
        </w:rPr>
        <w:t>курс – «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водій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автотранспортних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засобів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» (49) на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базі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Одноробівського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професійного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gramStart"/>
      <w:r w:rsidRPr="00AD330D">
        <w:rPr>
          <w:rFonts w:ascii="Times New Roman" w:eastAsia="TimesNewRoman" w:hAnsi="Times New Roman" w:cs="Times New Roman"/>
          <w:sz w:val="28"/>
          <w:szCs w:val="28"/>
        </w:rPr>
        <w:t>аграрного</w:t>
      </w:r>
      <w:proofErr w:type="gram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ліцею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.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Аналіз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розкладу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учбових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занять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здійснювався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наприкінці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учбового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року за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допомогою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індивідуалізованої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для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кожної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спеціальності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рангової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шкали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важкості</w:t>
      </w:r>
      <w:proofErr w:type="spellEnd"/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предметів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AD330D">
        <w:rPr>
          <w:rFonts w:ascii="Times New Roman" w:eastAsia="TimesNewRoman" w:hAnsi="Times New Roman" w:cs="Times New Roman"/>
          <w:sz w:val="28"/>
          <w:szCs w:val="28"/>
        </w:rPr>
        <w:t>п</w:t>
      </w:r>
      <w:proofErr w:type="gramEnd"/>
      <w:r w:rsidRPr="00AD330D">
        <w:rPr>
          <w:rFonts w:ascii="Times New Roman" w:eastAsia="TimesNewRoman" w:hAnsi="Times New Roman" w:cs="Times New Roman"/>
          <w:sz w:val="28"/>
          <w:szCs w:val="28"/>
        </w:rPr>
        <w:t>ідставі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інтерв’ювання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підлітків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кожний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з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яких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індивідуально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ранжував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предмети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у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розкладі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за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ступенем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важкості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від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1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D330D">
        <w:rPr>
          <w:rFonts w:ascii="Times New Roman" w:eastAsia="TimesNewRoman" w:hAnsi="Times New Roman" w:cs="Times New Roman"/>
          <w:sz w:val="28"/>
          <w:szCs w:val="28"/>
        </w:rPr>
        <w:t>бала (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найскладніша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дисципліна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) до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мінімального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значення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яке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відповідало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кількості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учбових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предметів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за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навчальний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330D">
        <w:rPr>
          <w:rFonts w:ascii="Times New Roman" w:eastAsia="TimesNewRoman" w:hAnsi="Times New Roman" w:cs="Times New Roman"/>
          <w:sz w:val="28"/>
          <w:szCs w:val="28"/>
        </w:rPr>
        <w:t>р</w:t>
      </w:r>
      <w:proofErr w:type="gramEnd"/>
      <w:r w:rsidRPr="00AD330D">
        <w:rPr>
          <w:rFonts w:ascii="Times New Roman" w:eastAsia="TimesNewRoman" w:hAnsi="Times New Roman" w:cs="Times New Roman"/>
          <w:sz w:val="28"/>
          <w:szCs w:val="28"/>
        </w:rPr>
        <w:t>ік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>.</w:t>
      </w:r>
    </w:p>
    <w:p w:rsidR="00AD330D" w:rsidRPr="00AD330D" w:rsidRDefault="00AD330D" w:rsidP="00E654F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>Результати</w:t>
      </w:r>
      <w:proofErr w:type="spellEnd"/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. </w:t>
      </w:r>
      <w:proofErr w:type="spellStart"/>
      <w:proofErr w:type="gramStart"/>
      <w:r w:rsidRPr="00AD330D">
        <w:rPr>
          <w:rFonts w:ascii="Times New Roman" w:eastAsia="TimesNewRoman" w:hAnsi="Times New Roman" w:cs="Times New Roman"/>
          <w:sz w:val="28"/>
          <w:szCs w:val="28"/>
        </w:rPr>
        <w:t>Найскладнішими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предметами на 1-му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курсі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виявились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: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фізика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алгебра,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геометрія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на 2-му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курсі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разом з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загальноосвітніми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фізикою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алгеброю та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геометрією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особливо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складними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виявились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спеціалізовані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предмети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: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трактори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агротехнологія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ліцеїсти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3 курсу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відзначили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фізику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астрономію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біологію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та алгебру, як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найбільш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складні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для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опанування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>.</w:t>
      </w:r>
      <w:proofErr w:type="gram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Аналіз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розкладу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учбових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занять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в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ліцеї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показав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збільшення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загального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навчального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навантаження</w:t>
      </w:r>
      <w:proofErr w:type="spellEnd"/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на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підлітків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при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п’ятиденному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тижневому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режимі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по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всіх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досліджуваних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групах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(35–36 годин),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що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перевищувало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встановлені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гі</w:t>
      </w:r>
      <w:proofErr w:type="gramStart"/>
      <w:r w:rsidRPr="00AD330D">
        <w:rPr>
          <w:rFonts w:ascii="Times New Roman" w:eastAsia="TimesNewRoman" w:hAnsi="Times New Roman" w:cs="Times New Roman"/>
          <w:sz w:val="28"/>
          <w:szCs w:val="28"/>
        </w:rPr>
        <w:t>г</w:t>
      </w:r>
      <w:proofErr w:type="gramEnd"/>
      <w:r w:rsidRPr="00AD330D">
        <w:rPr>
          <w:rFonts w:ascii="Times New Roman" w:eastAsia="TimesNewRoman" w:hAnsi="Times New Roman" w:cs="Times New Roman"/>
          <w:sz w:val="28"/>
          <w:szCs w:val="28"/>
        </w:rPr>
        <w:t>ієнічні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нормативи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сумарної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кількості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годин за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тиждень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(33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години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>).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Водночас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спостерігалося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порушення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гігієнічних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вимог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навчального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навантаження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протягом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учбового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дня. Так, особливо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складні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предмети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для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учнів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1-го та 2-го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курсів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розташовувались</w:t>
      </w:r>
      <w:proofErr w:type="spellEnd"/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наприкінці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або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gramStart"/>
      <w:r w:rsidRPr="00AD330D">
        <w:rPr>
          <w:rFonts w:ascii="Times New Roman" w:eastAsia="TimesNewRoman" w:hAnsi="Times New Roman" w:cs="Times New Roman"/>
          <w:sz w:val="28"/>
          <w:szCs w:val="28"/>
        </w:rPr>
        <w:t>на</w:t>
      </w:r>
      <w:proofErr w:type="gram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початку дня,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що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не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відповідало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нормативним</w:t>
      </w:r>
      <w:proofErr w:type="spellEnd"/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D330D">
        <w:rPr>
          <w:rFonts w:ascii="Times New Roman" w:eastAsia="TimesNewRoman" w:hAnsi="Times New Roman" w:cs="Times New Roman"/>
          <w:sz w:val="28"/>
          <w:szCs w:val="28"/>
        </w:rPr>
        <w:t>документам.</w:t>
      </w:r>
    </w:p>
    <w:p w:rsidR="006F05A5" w:rsidRPr="00AD330D" w:rsidRDefault="00AD330D" w:rsidP="00E654F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>Висновки</w:t>
      </w:r>
      <w:proofErr w:type="spellEnd"/>
      <w:r w:rsidRPr="00AD330D">
        <w:rPr>
          <w:rFonts w:ascii="Times New Roman" w:eastAsia="TimesNewRoman,Bold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Виявлена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негативна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тенденція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щодо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відсутності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раціональності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структурованості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порушення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інших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гі</w:t>
      </w:r>
      <w:proofErr w:type="gramStart"/>
      <w:r w:rsidRPr="00AD330D">
        <w:rPr>
          <w:rFonts w:ascii="Times New Roman" w:eastAsia="TimesNewRoman" w:hAnsi="Times New Roman" w:cs="Times New Roman"/>
          <w:sz w:val="28"/>
          <w:szCs w:val="28"/>
        </w:rPr>
        <w:t>г</w:t>
      </w:r>
      <w:proofErr w:type="gramEnd"/>
      <w:r w:rsidRPr="00AD330D">
        <w:rPr>
          <w:rFonts w:ascii="Times New Roman" w:eastAsia="TimesNewRoman" w:hAnsi="Times New Roman" w:cs="Times New Roman"/>
          <w:sz w:val="28"/>
          <w:szCs w:val="28"/>
        </w:rPr>
        <w:t>ієнічних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вимог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до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складання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розкладу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занять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підлітків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всіх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спеціальностей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під</w:t>
      </w:r>
      <w:proofErr w:type="spellEnd"/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час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професійного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навчання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знайдені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в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процесі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дослідження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негативні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фактори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(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перевищення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сумарної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кількості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годин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тижневого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навантаження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,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невідповідність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розкладу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занять за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ступенем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важкості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учбових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дисциплін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протягом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учбового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тижня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та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учбового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дня),</w:t>
      </w:r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здатні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істотно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ускладнити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процес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lastRenderedPageBreak/>
        <w:t>пристосування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організму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330D">
        <w:rPr>
          <w:rFonts w:ascii="Times New Roman" w:eastAsia="TimesNewRoman" w:hAnsi="Times New Roman" w:cs="Times New Roman"/>
          <w:sz w:val="28"/>
          <w:szCs w:val="28"/>
        </w:rPr>
        <w:t>п</w:t>
      </w:r>
      <w:proofErr w:type="gramEnd"/>
      <w:r w:rsidRPr="00AD330D">
        <w:rPr>
          <w:rFonts w:ascii="Times New Roman" w:eastAsia="TimesNewRoman" w:hAnsi="Times New Roman" w:cs="Times New Roman"/>
          <w:sz w:val="28"/>
          <w:szCs w:val="28"/>
        </w:rPr>
        <w:t>ідлітків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до умов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навчання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в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професійному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аграрному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Pr="00AD330D">
        <w:rPr>
          <w:rFonts w:ascii="Times New Roman" w:eastAsia="TimesNewRoman" w:hAnsi="Times New Roman" w:cs="Times New Roman"/>
          <w:sz w:val="28"/>
          <w:szCs w:val="28"/>
        </w:rPr>
        <w:t>ліцеї</w:t>
      </w:r>
      <w:proofErr w:type="spellEnd"/>
      <w:r w:rsidRPr="00AD330D">
        <w:rPr>
          <w:rFonts w:ascii="Times New Roman" w:eastAsia="TimesNewRoman" w:hAnsi="Times New Roman" w:cs="Times New Roman"/>
          <w:sz w:val="28"/>
          <w:szCs w:val="28"/>
        </w:rPr>
        <w:t>.</w:t>
      </w:r>
    </w:p>
    <w:sectPr w:rsidR="006F05A5" w:rsidRPr="00AD3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30D"/>
    <w:rsid w:val="006F05A5"/>
    <w:rsid w:val="00AD330D"/>
    <w:rsid w:val="00E6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2018-11-16T12:21:00Z</dcterms:created>
  <dcterms:modified xsi:type="dcterms:W3CDTF">2018-11-16T12:27:00Z</dcterms:modified>
</cp:coreProperties>
</file>