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91" w:rsidRDefault="00887D91" w:rsidP="00887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ВПЛИВ УМОВ НАВЧАННЯ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СТАН ЗДОРОВ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ПІДЛІТКІВ-УЧНІВ ПРОФЕСІЙНОГО АГРАРНОГО ЛІЦЕЮ</w:t>
      </w:r>
    </w:p>
    <w:p w:rsidR="00887D91" w:rsidRDefault="00887D91" w:rsidP="00887D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Коробчанський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887D91" w:rsidRDefault="00887D91" w:rsidP="00887D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887D91" w:rsidRDefault="00887D91" w:rsidP="00887D9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Здоров'я людини – це стан повного соціального та біологічного комфорту, коли функції всіх органів та систем організму урегульовані з соціальним і природнім середовищем, повністю відсутні хворобливі стани та фізичні вади.. На стан здоров’я людини впливають безліч факторів, а прийнявши їх сукупність за 100 %, відзначається, що 50 – 55 % - базуються на способі життя, 20–25 % – припадає на стан навколишнього середовища, 15 – 20 % – обумовлюють генетичні фактори, а 8 – 10 % – залежать від діяльності закладів охорони здоров'я [9].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чисельними спостереженнями авторів, рівень здоров'я в значній мірі визначає адаптаційні можливості організму [1,5,16], а саме поняття «здоров'я» включає оцінку рівня функціональних резервів організму, рівень його компенсаторно-адаптаційних реакцій у процесі пристосування до підвищених вимог навчального середовища без патологічних проявів [2,7,11].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статистичними даними МОЗ України, впродовж останніх років здоров’я дітей підліткового віку в країні залишається незадовільним; спостерігається негативна тенденція щодо поширеності хвороб, яка коливається в межах 2022,3–2154,53 на 1000 дітей підліткового віку, а показник “захворюваність”  – в інтервалі з 1188,2–1249,76, із найнижчим його рівнем у 2014 р. У Харківській області, згідно з даними за 2016 рік, показники захворюваності дітей підліткового віку залишаються на високих рівнях (1598,6 на 1000 осіб підліткового віку), а діапазон коливань поширеності хвороб за цей період становив більше, ніж  2500,0 на 1000 дітей, віком 15-17 років[13].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Одним з актуальних завдань гігієни професійного навчання є всебічне дослідження умов та характеру навчання щодо їх відповідності до діючих санітарно-гігієнічних норм,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організаційних вимог, психофізіологічних функцій і стану здоров’я підлітків на різних етапах отримання освіти, що служить необхідною базою для оцінки розвитку професійної адаптації та подальшої професійної діяльності підлітків, які опановують аграрні спеціальності в ліцеї, при чому процес навчання учня в аграрному професійного ліцеї, за своїми якісними та кількісними характеристиками, повинен відповідати професійно-виробничим вимогам майбутніх спеціальностей, на опанування яких має бути спрямований увесь освітній процес[15].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умовою успішного навчання в ліцеї є стан здоров'я учнів. Учнівська  молодь складає особливу соціальну групу населення, об'єднану певними віковими межами (15-18 років), інтенсивною розумовою працею - процесом професійного навчання, способом життя і особливим віковим менталітетом. Здоров'я ліцеїстів в значній мірі визначається соціально-гігієнічними параметрами побуту і навчального процесу, а підлітки, які навчаються в професійних аграрних ліцеях, є тим специфічним шаром суспільства, для яких характерна сукупність факторів ризику різного характеру, потенційно небезпечних для здоров'я, що робить проблему збереження здоров'я учнів цієї групи особливо актуальною.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вивчити стан здоров’я підлітків - учнів професійного аграрного ліцею та виявити фактори ризику навчального та виробничого середовища, які можуть негативно впливати на стан їхнього здоров’я.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методи: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дослідженні приймало участь 131 ліцеїст (128 чоловічої статі, 3-жіночої), віком 15-18 років, які опановують аграрні спеціальності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Одноробівського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аграрного ліцею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Харківської області). 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Перший етап дослідження було присвячено гігієнічній оцінці умов навчання.  Умови навчання досліджувалися методом гігієнічного обстеження об’єкту на його відповідність діючим санітарним нормам. 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здоров’я ліцеїстів вивчався за допомогою медико-соціальних методів дослідження, спрямованих на вивчення стану здоров’я підлітків за результатами динаміки поглиблених медичних оглядів, показниками гострої та хронічної захворюваності з наступним розподіленням за групами здоров'я та статистичною обробкою матеріалу з використанням критерію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Стьюдента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Результати: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попередніх досліджень, було виявлено, що підлітки, які опановують аграрні професії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Одноробівського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аграрного ліцею, включені у складну систему взаємовідносин з факторами навчального та виробничого середовища, які можуть впливати на стан здоров'я.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Гігієнічна оцінка умов навчання показала, що навчальний процес здійснювався у приміщеннях постійного перебування студентів: в навчальних кабінетах,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лабораторiях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професiйно-технiчного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спецiального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профiлю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кабiнетах-лабораторiях-майстернях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сiльськогосподарських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автомобiлях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побудованих за стандартним проектом та згідно до освітніх стандартів, передбачених для ліцеїв даного профілю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Санітарно-гігієнічна характеристика умов професійного навчання підлітків виявила, що площі учбових та виробничих приміщень відповідають гігієнічним вимогам [3]. Крім того, на території ліцею додатково обладнано “Пункт технічного обслуговування тракторів, комбайнів, с/г техніки” площею 470 кв. м. та “Слюсарна майстерня” площею  195 кв. м., укомплектовані необхідними обладнанням та інструментами для виконання програми виробничого навчання.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дослідження показали, що параметри мікроклімату, шуму та електромагнітного випромінювання на навчальних в кабінетах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лабораторiях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професiйно-технiчного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спецiального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профiлю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не перевищували допустимих величин [4,6,12,14]. Але, звертає на себе увагу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невідповідність величин освітлення приміщень. Якщо величини коефіцієнта природнього та сумісного освітлення (КПО) у навчальних кабінетах відповідали гігієнічній нормі (не менш 0,7 % і 1,2 %, відповідно), складаючи 0, 72 ± 0,15 % і 1,23 ± 0,31 % відповідно, то 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лабораторiях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професiйно-технiчного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спецiального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профiлю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показники КПО були нижчими від гігієнічних нормативів. Відповідно до категорій точності зорових робіт КПО при природньому освітленні на навчальних місцях учнів становив 1,5 ± 0,22 %; а при сумісному - 1,14% ± 0,65 % (за норми 3,0 % та 1,2 % відповідно). 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штучного освітлення на навчальних місцях студентів показала його невідповідність існуючим гігієнічним регламентам. Якщо в навчальних кабінетах освітленість робочих поверхонь у середньому становила 405,4 ± 7,2 лк (за норми 400 лк), то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лабораторiях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професiйно-технiчного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спецiального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профiлю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також були нижче нормативних, а саме 253, 57± 5,4 лк (за норми 300 лк)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[10].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дослідження характеру життєдіяльності ліцеїстів показали статистично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достовірні відмінності (від р&lt;0,05 до р&lt;0,01) між досліджуваними групами за показниками рухової активності, режиму дня та харчування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(табл.1)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Виявлено, що найбільш достовірна різниця спостерігалася за показниками рухової активності: якщо у на 1-му курсі навчання його величина була оптимальною і склала 11,24±0,68 у. о., то на 2–му курсі цей показник знизився до 9,0± 0,44 у. о. (р&lt;0,01), а на 3-ому курсі досягав вже величини 8,95± 0,47 (р&lt;0,01).</w:t>
      </w: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Дослідження адекватності режиму дня показало, що серед підлітків 2 –го курсу були досить поширені порушення режимно-організаційного характеру в навчанні та в структурі вільного часу. Це відбилося на величині цього показника на 2-му курсі (9,68±0,40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у.о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.), який суттєво поступився аналогічному показнику на 1 та 3-му курсах навчання (відповідно 11,59±0,83 у. о., при р&lt;0,05 та 10,57±0,52, при p&gt;0,05).</w:t>
      </w:r>
    </w:p>
    <w:p w:rsidR="00887D91" w:rsidRDefault="00887D91" w:rsidP="00887D9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lastRenderedPageBreak/>
        <w:t xml:space="preserve">Таблиця 1. Порівняльна характеристика умов життєдіяльності підлітків, які опановують аграрні спеціальності (М ± m;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p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) (у. о.)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1843"/>
        <w:gridCol w:w="1701"/>
        <w:gridCol w:w="1701"/>
        <w:gridCol w:w="1814"/>
        <w:gridCol w:w="1729"/>
      </w:tblGrid>
      <w:tr w:rsidR="00887D91" w:rsidTr="00887D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Групи</w:t>
            </w:r>
          </w:p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порівняння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Шкала М (психологічний мікроклімат)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Шкала А (рухова активність)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Шкала Р</w:t>
            </w:r>
          </w:p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(режим дня)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Шкала Х (харчування)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Шкала Г (особиста гігієна)</w:t>
            </w:r>
          </w:p>
        </w:tc>
      </w:tr>
      <w:tr w:rsidR="00887D91" w:rsidTr="00887D91">
        <w:trPr>
          <w:trHeight w:val="4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±0,40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11,24±0,68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11,59±0,83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12,48±0,76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14,28±0,58</w:t>
            </w:r>
          </w:p>
        </w:tc>
      </w:tr>
      <w:tr w:rsidR="00887D91" w:rsidTr="00887D91">
        <w:trPr>
          <w:trHeight w:val="6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2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15,11±0,48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9,0±0,44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9,68±0,40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11,89±0,47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15,0±0,48</w:t>
            </w:r>
          </w:p>
        </w:tc>
      </w:tr>
      <w:tr w:rsidR="00887D91" w:rsidTr="00887D91">
        <w:trPr>
          <w:trHeight w:val="6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3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14,90± 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8,95± 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10,57±0,52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10,57±0,50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13,57±0,58</w:t>
            </w:r>
          </w:p>
        </w:tc>
      </w:tr>
      <w:tr w:rsidR="00887D91" w:rsidTr="00887D91">
        <w:trPr>
          <w:trHeight w:val="2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&lt;0,01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&lt;0,05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887D91" w:rsidTr="00887D91">
        <w:trPr>
          <w:trHeight w:val="2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</w:tr>
      <w:tr w:rsidR="00887D91" w:rsidTr="00887D91">
        <w:trPr>
          <w:trHeight w:val="2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1/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&lt;0,01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&lt;0,05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91" w:rsidRDefault="00887D91">
            <w:pPr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&gt;0,05</w:t>
            </w:r>
          </w:p>
        </w:tc>
      </w:tr>
    </w:tbl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887D91" w:rsidRDefault="00887D91" w:rsidP="00887D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Аналіз якісної та кількісної складових харчування довів, що за інтегральним показником його адекватності спостерігалося суттєве погіршення від 1-го до 3-го курсу спостереження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12,48±0,76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у.о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. до 10,57±0,50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у.о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., при 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&lt;0,05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Далі, згідно з метою дослідження, були проаналізовані результати поглиблених медичних оглядів підлітків 1-ого ( 40 осіб) , 2-го(44 особи) та 3-го</w:t>
      </w:r>
    </w:p>
    <w:p w:rsidR="00887D91" w:rsidRDefault="00887D91" w:rsidP="00887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(47 осіб) курсів, які опановують аграрні спеціальності в ліцеї, які показали, що серед обстеженого контингенту виявлялися  представники  I, ІІ, ІІІ 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здоров'я.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Проведене дослідження допомогло визначити процентний вміст представників кожної із груп здоров’я в на кожному році навчання (рис. 1, рис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 рис. 3). 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кількість ліцеїстів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I (37,5±7,65%) та ІІ групи (47,5±7,89%) здоров’я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1-му курсі суттєво перевищувала відсоток підлітків ІІІ і IV груп здоров’я (12,5±5,23% та 2,5±2,47%, при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 0,05 та  p &lt; 0,001 відповідно). 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свою чергу, кількість ліцеїстів ІІ групи здоров’я на 2-му курсі навчання  була 52,27±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7,53%, що достовірно перевищувала відсоток підлітків в I (29,54±2,67%) та IІІ (18,18±5,81%) групах здоров’я цього року навчання, при  p &lt; 0,05 та  p &lt; 0,001 відповідно.</w:t>
      </w:r>
    </w:p>
    <w:p w:rsidR="00887D91" w:rsidRDefault="00887D91" w:rsidP="00887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Відсоткова кількість підлітків 3 курсу навчання характеризувалася збільшенням ІІ групи здоров’я (63,83±7%) порівняно з 1-им та 2-ми курсами (p &gt; 0,05). Саме цей показник достовірно перевищував відсоток ліцеїстів I (21,28±5,97%) та IІІ (14,89±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5,19%) груп здоров’я, при p &lt; 0,001.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аналізі результатів розподілу ліцеїстів по групах здоров’я, в залежності від курсу та спеціальностей, достовірних відмінностей не виявлено.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кількістю випадків, по окремим класам хвороб, спостерігалася наступна їх розповсюдженість: на першому місці були хвороби органів травлення 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(13,74±5,44%);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друге місце посідали ока та придаткового апарату  - 16 випадків (12,21±5,18%);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третє місце - хвороби системи кровообігу – 9 випадків (6,87±3,99%), четверте місце розділили  хвороби кістково-м’язової системи і сполучної тканини та хвороби нервової системи – по 8 випадків (6,11±3,79%);  п’яте місце - хвороби сечостатевої системи – 7 випадків (5,34±3,55%);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шосте місце 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хвороби органів дихання</w:t>
      </w:r>
      <w:r>
        <w:rPr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 випадків (4,58± 3,05%); сьоме -  хвороби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шкіри,  підшкірної клітковини – 4 випадки (3,05±2,71%);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восьме місце - поділяли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хвороби ендокринної системи, розлади психіки та поведінки – по 3 випадки (2,29±2,37%);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дев’яте місце – 2 випадки (1,53±1,94%)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інфекцiйнi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паразитарні хвороби; десяте місце вроджені аномалії (вади розвитку), деформації та хромосомні порушення – 1 випадок (0,76±1,37%).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67125" cy="28860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33850" cy="25812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09975" cy="25717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порівняльний аналіз патологічної ураженості, під якою розуміють частоту хронічних захворювань і функціональних відхилень,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 «Міжнародної статистичної класифікації хвороб та споріднених проблем охорони здоров'я»  –   МКХ-10,  у   відсотках  до  загального  числа  </w:t>
      </w:r>
    </w:p>
    <w:p w:rsidR="00887D91" w:rsidRDefault="00887D91" w:rsidP="00887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(табл.2).  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порівняльний аналіз розповсюдженості захворювань серед підлітків – ліцеїстів відповідно до «Міжнародної статистичної класифікації хвороб та споріднених проблем охорони здоров'я»  –   МКХ-10,  у   відсотках  до  загального  числа  обстежених показав вірогідне  зниження кількості здорових учнів на 3 курсі, порівняно з 1 курсом – з 52,5±7,89%до 5,53±6,36%.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Порівняльний аналіз структури захворюваності підлітків, які опановують аграрні спеціальності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Одноробівському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професійному аграрному ліцеї, % (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=131)</w:t>
      </w:r>
    </w:p>
    <w:tbl>
      <w:tblPr>
        <w:tblStyle w:val="a4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117"/>
        <w:gridCol w:w="1429"/>
        <w:gridCol w:w="1532"/>
        <w:gridCol w:w="1586"/>
        <w:gridCol w:w="1134"/>
        <w:gridCol w:w="993"/>
        <w:gridCol w:w="141"/>
        <w:gridCol w:w="1134"/>
      </w:tblGrid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 хвороб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клас. МКХ-10)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n=40</w:t>
            </w:r>
          </w:p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випадків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n=44</w:t>
            </w:r>
          </w:p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 випадків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- 46)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 випадків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3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травлення, [K20-K31]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20±6,3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11,36±4,78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10,64±4,48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±2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2,27±2,25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 та придаткового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15,9± 5,51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12,77±4,87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ендокринної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2,27±2,25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2,11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кровообігу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5±2,47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6,81± 3,79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4,07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[N00 N99]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сечостатевої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2,5±2,47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4,54± 3,14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4,07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[A00 B99]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інфекц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паразитарні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2,5±2,47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[Q00 Q99]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Природжені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хромосомної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аномалії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2,5±2,47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[J00 J99]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2,5±2,47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4,54± 3,14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3,56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[G00 G99]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2,5±2,47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11,36±4,78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2,94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[L00 L99]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клітковини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2,27±2,25</w:t>
            </w:r>
          </w:p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[M00 M99]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кiстково-м'язової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6,81±3,79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10,64±4,48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p&gt;0,05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87D91" w:rsidTr="00887D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патології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52,5±7,89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38,6±7,34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25,53±6,36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1" w:rsidRDefault="0088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p&lt;0,05</w:t>
            </w:r>
          </w:p>
        </w:tc>
      </w:tr>
    </w:tbl>
    <w:p w:rsidR="00887D91" w:rsidRDefault="00887D91" w:rsidP="0088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Р1 – вірогідність відмінностей між показниками кількості захворювань на 1 та 2 курсах навчання. </w:t>
      </w:r>
    </w:p>
    <w:p w:rsidR="00887D91" w:rsidRDefault="00887D91" w:rsidP="0088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Р2 –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вірогідність відмінностей між показниками кількості захворювань на 1 та 3 курсах навчання..</w:t>
      </w:r>
    </w:p>
    <w:p w:rsidR="00887D91" w:rsidRDefault="00887D91" w:rsidP="00887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Р3 – вірогідність відмінностей між показниками кількості захворювань на 2 та 3 курсах навчання.</w:t>
      </w:r>
    </w:p>
    <w:p w:rsidR="00887D91" w:rsidRDefault="00887D91" w:rsidP="00887D9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Як показали результати досліджень, достовірної різниці між кількістю випадків захворювань за всіма дослідними групами виявлено не було (P &gt; 0,05), але звертає на себе увагу збільшення відсотку деяких класів хвороб, а саме: хвороб ока та придаткового апарату, хвороб системи кровообігу, хвороб сечостатевої системи, хвороб системи дихання,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кiстково-м'язової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та сполучної тканини. Також відмічалося значне підвищення відсотку хвороб нервової системи у ліцеїстів 2-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(11,36±4,78%, порівняно з  1-им 2,5±2,47% та 3-ім 4,25±2,94% курсами).</w:t>
      </w:r>
      <w:r>
        <w:rPr>
          <w:lang w:val="uk-UA"/>
        </w:rPr>
        <w:t xml:space="preserve"> 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Такий стан патологічної ураженості обстеженого контингенту  може бути розцінений, як результат тривалого, неконтрольованого впливу на організм підлітків таких негативних факторів, як недостатня освітленість приміщень, порушення режиму харчування,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відсутність різноманітності та повноцінності харчового раціону, поширені порушення режимно-організаційного характеру в навчанні та в структурі вільного часу,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гіподинамія, а також вплив комплексу негативних факторів навчально-виробничого режиму та професійно обумовлених факторів.</w:t>
      </w:r>
    </w:p>
    <w:p w:rsidR="00887D91" w:rsidRDefault="00887D91" w:rsidP="00887D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887D91" w:rsidRDefault="00887D91" w:rsidP="00887D91">
      <w:pPr>
        <w:pStyle w:val="a3"/>
        <w:tabs>
          <w:tab w:val="left" w:pos="80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Гігієнічна оцінка умов навчання підлітків, що опановують аграрні спеціальності на базі професійного аграрного ліцею, показала відповідність учбових та виробничих приміщень гігієнічним вимогам, а проведені дослідження засвідчили,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зовнішньосередовищні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навчання ліцеїстів характеризувалися сприятливими показниками мікроклімату, шуму та електромагнітного випромінювання. Суттєвим недоліком виявилась недостатня освітленість навчально-виробничих приміщень, яка є істотним несприятливим фактором, здатним негативно впливати на функціональний стан здоров’я учнів, визивати перенапругу та передчасне стомлення, що у сукупності є фактором ризику виникнення станів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дизадаптації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подальшому порушень з боку зорового аналізатора.</w:t>
      </w:r>
    </w:p>
    <w:p w:rsidR="00887D91" w:rsidRDefault="00887D91" w:rsidP="00887D91">
      <w:pPr>
        <w:pStyle w:val="a3"/>
        <w:tabs>
          <w:tab w:val="left" w:pos="80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Виявлено, що життєдіяльність більшості ліцеїстів (70% опитаних) професійного аграрного ліцею проходила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правил особистої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гігієни та здорового способу життя та за умов сприятливого психологічного мікроклімату у колективі. Негативними явищами у життєдіяльності ліцеїстів відзначалися: порушення вимог щодо організації харчування (48 % опитаних), порушення режиму дня (46 % опитаних), низька рухова активність (51 % опитаних).</w:t>
      </w:r>
    </w:p>
    <w:p w:rsidR="00887D91" w:rsidRDefault="00887D91" w:rsidP="00887D91">
      <w:pPr>
        <w:pStyle w:val="a3"/>
        <w:tabs>
          <w:tab w:val="left" w:pos="993"/>
          <w:tab w:val="left" w:pos="1134"/>
          <w:tab w:val="left" w:pos="1418"/>
          <w:tab w:val="left" w:pos="80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Хронічна захворюваність ліцеїстів характеризувалася значною розповсюдженістю хвороб (47,5% - на 1-му курсі, 61,4% - на 2-му курсі, 74,47% - на 3-му курсі). В структурі захворюваності за кількістю випадків, по окремим класам хвороб, спостерігалася наступна їх послідовність: на першому місці були хвороби органів травлення - 18 випадків(13,74±5,44%); друге місце посідали ока та придаткового апарату  - 16 випадків (12,21±5,18%); третє місце - хвороби системи кровообігу – 9 випадків (6,87±3,99%).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патологічна ураженість цього контингенту та  збільшення відсотку деяких класів хвороб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бути тим негативним фоном, здатним істотно знижувати і ускладнювати адаптаційний процес до навчально-професійного режиму, що вимагає розробки комплексної системи профілактичних заходів, направлених на попередження розвитку захворюваності підлітків під час навчання в професійному ліцеї.</w:t>
      </w:r>
    </w:p>
    <w:p w:rsidR="00887D91" w:rsidRDefault="00887D91" w:rsidP="00887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2AA" w:rsidRPr="00887D91" w:rsidRDefault="00F132AA">
      <w:pPr>
        <w:rPr>
          <w:lang w:val="uk-UA"/>
        </w:rPr>
      </w:pPr>
    </w:p>
    <w:sectPr w:rsidR="00F132AA" w:rsidRPr="0088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91"/>
    <w:rsid w:val="00887D91"/>
    <w:rsid w:val="00F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91"/>
    <w:pPr>
      <w:ind w:left="720"/>
      <w:contextualSpacing/>
    </w:pPr>
  </w:style>
  <w:style w:type="table" w:styleId="a4">
    <w:name w:val="Table Grid"/>
    <w:basedOn w:val="a1"/>
    <w:uiPriority w:val="39"/>
    <w:rsid w:val="0088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91"/>
    <w:pPr>
      <w:ind w:left="720"/>
      <w:contextualSpacing/>
    </w:pPr>
  </w:style>
  <w:style w:type="table" w:styleId="a4">
    <w:name w:val="Table Grid"/>
    <w:basedOn w:val="a1"/>
    <w:uiPriority w:val="39"/>
    <w:rsid w:val="0088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0;&#1089;&#1077;&#1088;&#1090;&#1072;&#1094;&#1110;&#1103;\Exel\&#1057;&#1086;&#1089;&#1086;&#1090;&#1086;&#1103;&#1085;&#1080;&#1077;%20&#1079;&#1076;&#1086;&#1088;&#1086;&#1074;&#1100;&#1103;.od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0;&#1089;&#1077;&#1088;&#1090;&#1072;&#1094;&#1110;&#1103;\Exel\&#1057;&#1086;&#1089;&#1086;&#1090;&#1086;&#1103;&#1085;&#1080;&#1077;%20&#1079;&#1076;&#1086;&#1088;&#1086;&#1074;&#1100;&#1103;.od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0;&#1089;&#1077;&#1088;&#1090;&#1072;&#1094;&#1110;&#1103;\Exel\&#1057;&#1086;&#1089;&#1086;&#1090;&#1086;&#1103;&#1085;&#1080;&#1077;%20&#1079;&#1076;&#1086;&#1088;&#1086;&#1074;&#1100;&#1103;.od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600" b="1">
                <a:latin typeface="Times New Roman" pitchFamily="18" charset="0"/>
                <a:cs typeface="Times New Roman" pitchFamily="18" charset="0"/>
              </a:rPr>
              <a:t>Рис. 2.Розподіл підлітків 2 курсу навчання за групами здоров'я</a:t>
            </a:r>
          </a:p>
        </c:rich>
      </c:tx>
      <c:layout>
        <c:manualLayout>
          <c:xMode val="edge"/>
          <c:yMode val="edge"/>
          <c:x val="0.15649400818634623"/>
          <c:y val="0.76326396700412447"/>
        </c:manualLayout>
      </c:layout>
      <c:overlay val="0"/>
      <c:spPr>
        <a:noFill/>
        <a:ln>
          <a:noFill/>
        </a:ln>
      </c:spPr>
    </c:title>
    <c:autoTitleDeleted val="0"/>
    <c:view3D>
      <c:rotX val="29"/>
      <c:rotY val="0"/>
      <c:rAngAx val="0"/>
      <c:perspective val="3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2.0876826722338204E-2"/>
          <c:y val="0.16174471246649724"/>
          <c:w val="0.96164581723735476"/>
          <c:h val="0.5300549236900943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61616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rgbClr val="B3B3B3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81818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rgbClr val="505050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29,54%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52,27%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18,18%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Sheet1!$G$83:$G$86</c:f>
              <c:strCache>
                <c:ptCount val="4"/>
                <c:pt idx="0">
                  <c:v>I гр.</c:v>
                </c:pt>
                <c:pt idx="1">
                  <c:v>II гр.</c:v>
                </c:pt>
                <c:pt idx="2">
                  <c:v>III гр.</c:v>
                </c:pt>
                <c:pt idx="3">
                  <c:v>IV гр.</c:v>
                </c:pt>
              </c:strCache>
            </c:strRef>
          </c:cat>
          <c:val>
            <c:numRef>
              <c:f>Sheet1!$H$83:$H$86</c:f>
              <c:numCache>
                <c:formatCode>[$-419]General</c:formatCode>
                <c:ptCount val="4"/>
                <c:pt idx="0">
                  <c:v>13</c:v>
                </c:pt>
                <c:pt idx="1">
                  <c:v>23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rgbClr val="61616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rgbClr val="B3B3B3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81818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rgbClr val="505050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Sheet1!$I$83:$I$86</c:f>
              <c:numCache>
                <c:formatCode>[$-419]General</c:formatCode>
                <c:ptCount val="4"/>
                <c:pt idx="0">
                  <c:v>29.54</c:v>
                </c:pt>
                <c:pt idx="1">
                  <c:v>52.27</c:v>
                </c:pt>
                <c:pt idx="2">
                  <c:v>18.18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24342434753067141"/>
          <c:y val="2.998236331569664E-2"/>
          <c:w val="0.50619236269787782"/>
          <c:h val="7.9730658667666543E-2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8">
      <a:solidFill>
        <a:schemeClr val="bg1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600" b="1">
                <a:latin typeface="Times New Roman" pitchFamily="18" charset="0"/>
                <a:cs typeface="Times New Roman" pitchFamily="18" charset="0"/>
              </a:rPr>
              <a:t>Рис. 1.Розподіл підлітків 1 курсу навчання за групами здоров'я</a:t>
            </a:r>
          </a:p>
        </c:rich>
      </c:tx>
      <c:layout>
        <c:manualLayout>
          <c:xMode val="edge"/>
          <c:yMode val="edge"/>
          <c:x val="0.12627889419228003"/>
          <c:y val="0.79861111111111116"/>
        </c:manualLayout>
      </c:layout>
      <c:overlay val="0"/>
      <c:spPr>
        <a:noFill/>
        <a:ln>
          <a:noFill/>
        </a:ln>
      </c:spPr>
    </c:title>
    <c:autoTitleDeleted val="0"/>
    <c:view3D>
      <c:rotX val="29"/>
      <c:rotY val="0"/>
      <c:rAngAx val="0"/>
      <c:perspective val="3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8.9902613524660765E-2"/>
          <c:y val="0.22338692038495192"/>
          <c:w val="0.81388926118277771"/>
          <c:h val="0.550112876515435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61616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rgbClr val="B3B3B3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81818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rgbClr val="505050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Sheet1!$B$83:$B$86</c:f>
              <c:strCache>
                <c:ptCount val="4"/>
                <c:pt idx="0">
                  <c:v>I гр.</c:v>
                </c:pt>
                <c:pt idx="1">
                  <c:v>II гр.</c:v>
                </c:pt>
                <c:pt idx="2">
                  <c:v>III гр.</c:v>
                </c:pt>
                <c:pt idx="3">
                  <c:v>IV гр.</c:v>
                </c:pt>
              </c:strCache>
            </c:strRef>
          </c:cat>
          <c:val>
            <c:numRef>
              <c:f>Sheet1!$C$83:$C$86</c:f>
              <c:numCache>
                <c:formatCode>[$-419]General</c:formatCode>
                <c:ptCount val="4"/>
                <c:pt idx="0">
                  <c:v>15</c:v>
                </c:pt>
                <c:pt idx="1">
                  <c:v>19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rgbClr val="61616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rgbClr val="B3B3B3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81818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rgbClr val="505050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Sheet1!$D$83:$D$86</c:f>
              <c:numCache>
                <c:formatCode>[$-419]General</c:formatCode>
                <c:ptCount val="4"/>
                <c:pt idx="0">
                  <c:v>37.5</c:v>
                </c:pt>
                <c:pt idx="1">
                  <c:v>47.5</c:v>
                </c:pt>
                <c:pt idx="2">
                  <c:v>12.5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dPt>
            <c:idx val="0"/>
            <c:bubble3D val="0"/>
            <c:spPr>
              <a:solidFill>
                <a:srgbClr val="61616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rgbClr val="B3B3B3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rgbClr val="818181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rgbClr val="505050"/>
              </a:solidFill>
              <a:ln w="9528">
                <a:solidFill>
                  <a:srgbClr val="F9F9F9"/>
                </a:solidFill>
                <a:prstDash val="solid"/>
                <a:round/>
              </a:ln>
              <a:effectLst>
                <a:outerShdw dist="19997" dir="5400000" algn="tl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Sheet1!$E$83:$E$86</c:f>
              <c:numCache>
                <c:formatCode>[$-419]General</c:formatCode>
                <c:ptCount val="4"/>
                <c:pt idx="0">
                  <c:v>7.65</c:v>
                </c:pt>
                <c:pt idx="1">
                  <c:v>7.89</c:v>
                </c:pt>
                <c:pt idx="2">
                  <c:v>5.23</c:v>
                </c:pt>
                <c:pt idx="3">
                  <c:v>2.4700000000000002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0.26274181943473279"/>
          <c:y val="7.3412698412698402E-2"/>
          <c:w val="0.46808135469552792"/>
          <c:h val="8.9696991001124854E-2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8">
      <a:solidFill>
        <a:schemeClr val="bg1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600" b="1">
                <a:latin typeface="Times New Roman" pitchFamily="18" charset="0"/>
                <a:cs typeface="Times New Roman" pitchFamily="18" charset="0"/>
              </a:rPr>
              <a:t>Рис. 3.Розподіл підлітків 3 курсу навчання за групами здоров'я</a:t>
            </a:r>
          </a:p>
        </c:rich>
      </c:tx>
      <c:layout>
        <c:manualLayout>
          <c:xMode val="edge"/>
          <c:yMode val="edge"/>
          <c:x val="0.14798033720361226"/>
          <c:y val="0.71123790622674277"/>
        </c:manualLayout>
      </c:layout>
      <c:overlay val="0"/>
      <c:spPr>
        <a:noFill/>
        <a:ln>
          <a:noFill/>
        </a:ln>
      </c:spPr>
    </c:title>
    <c:autoTitleDeleted val="0"/>
    <c:view3D>
      <c:rotX val="29"/>
      <c:rotY val="0"/>
      <c:rAngAx val="0"/>
      <c:perspective val="3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1.4126787921596327E-2"/>
          <c:y val="0.16757140038715704"/>
          <c:w val="0.98542139330041367"/>
          <c:h val="0.54067069741282336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rgbClr val="616161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B3B3B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18181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505050"/>
              </a:solidFill>
              <a:ln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63,83%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14,89%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Sheet1!$M$83:$M$86</c:f>
              <c:strCache>
                <c:ptCount val="4"/>
                <c:pt idx="0">
                  <c:v>I гр.</c:v>
                </c:pt>
                <c:pt idx="1">
                  <c:v>II гр.</c:v>
                </c:pt>
                <c:pt idx="2">
                  <c:v>III гр.</c:v>
                </c:pt>
                <c:pt idx="3">
                  <c:v>IV гр.</c:v>
                </c:pt>
              </c:strCache>
            </c:strRef>
          </c:cat>
          <c:val>
            <c:numRef>
              <c:f>Sheet1!$N$83:$N$86</c:f>
              <c:numCache>
                <c:formatCode>[$-419]General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rgbClr val="616161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B3B3B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18181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505050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Sheet1!$O$83:$O$86</c:f>
              <c:numCache>
                <c:formatCode>[$-419]General</c:formatCode>
                <c:ptCount val="4"/>
                <c:pt idx="0">
                  <c:v>21.28</c:v>
                </c:pt>
                <c:pt idx="1">
                  <c:v>63.83</c:v>
                </c:pt>
                <c:pt idx="2">
                  <c:v>14.89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25727456737399351"/>
          <c:y val="5.8546266435127746E-2"/>
          <c:w val="0.51369945282263441"/>
          <c:h val="8.9696991001124854E-2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8">
      <a:solidFill>
        <a:schemeClr val="bg1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2018-11-20T11:08:00Z</dcterms:created>
  <dcterms:modified xsi:type="dcterms:W3CDTF">2018-11-20T11:09:00Z</dcterms:modified>
</cp:coreProperties>
</file>