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9C7" w:rsidRDefault="001169C7" w:rsidP="001169C7">
      <w:pPr>
        <w:spacing w:after="0" w:line="360" w:lineRule="auto"/>
        <w:jc w:val="center"/>
        <w:rPr>
          <w:rFonts w:ascii="Times New Roman" w:eastAsia="Calibri" w:hAnsi="Times New Roman" w:cs="Times New Roman"/>
          <w:b/>
          <w:sz w:val="28"/>
          <w:szCs w:val="28"/>
          <w:lang w:val="uk-UA"/>
        </w:rPr>
      </w:pPr>
      <w:proofErr w:type="spellStart"/>
      <w:r>
        <w:rPr>
          <w:rFonts w:ascii="Times New Roman" w:hAnsi="Times New Roman" w:cs="Times New Roman"/>
          <w:sz w:val="28"/>
          <w:szCs w:val="28"/>
        </w:rPr>
        <w:t>Коробчанський</w:t>
      </w:r>
      <w:proofErr w:type="spellEnd"/>
      <w:r>
        <w:rPr>
          <w:rFonts w:ascii="Times New Roman" w:hAnsi="Times New Roman" w:cs="Times New Roman"/>
          <w:sz w:val="28"/>
          <w:szCs w:val="28"/>
        </w:rPr>
        <w:t xml:space="preserve"> В.О. </w:t>
      </w:r>
      <w:proofErr w:type="spellStart"/>
      <w:r>
        <w:rPr>
          <w:rFonts w:ascii="Times New Roman" w:hAnsi="Times New Roman" w:cs="Times New Roman"/>
          <w:sz w:val="28"/>
          <w:szCs w:val="28"/>
        </w:rPr>
        <w:t>Богачова</w:t>
      </w:r>
      <w:proofErr w:type="spellEnd"/>
      <w:r>
        <w:rPr>
          <w:rFonts w:ascii="Times New Roman" w:hAnsi="Times New Roman" w:cs="Times New Roman"/>
          <w:sz w:val="28"/>
          <w:szCs w:val="28"/>
        </w:rPr>
        <w:t xml:space="preserve"> О.С.</w:t>
      </w:r>
      <w:bookmarkStart w:id="0" w:name="_GoBack"/>
      <w:bookmarkEnd w:id="0"/>
    </w:p>
    <w:p w:rsidR="001169C7" w:rsidRDefault="001169C7" w:rsidP="001169C7">
      <w:pPr>
        <w:spacing w:after="0" w:line="36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ГІГІЄНІЧНА ХАРАКТЕРИСТИКА ВПЛИВУ УМОВ НАВЧАННЯ НА ФУНКЦІОНАЛЬНИЙ СТАН УЧНІВ ПРОФЕСІЙНОГО АГРАРНОГО ЛІЦЕЮ</w:t>
      </w:r>
    </w:p>
    <w:p w:rsidR="001169C7" w:rsidRDefault="001169C7" w:rsidP="001169C7">
      <w:pPr>
        <w:spacing w:after="0" w:line="360" w:lineRule="auto"/>
        <w:jc w:val="center"/>
        <w:rPr>
          <w:rFonts w:ascii="Times New Roman" w:eastAsia="Calibri" w:hAnsi="Times New Roman" w:cs="Times New Roman"/>
          <w:b/>
          <w:sz w:val="28"/>
          <w:szCs w:val="28"/>
          <w:lang w:val="uk-UA"/>
        </w:rPr>
      </w:pPr>
    </w:p>
    <w:p w:rsidR="001169C7" w:rsidRDefault="001169C7" w:rsidP="001169C7">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Дослідження проведено у рамках науково-дослідної роботи кафедри гігієни та екології №1 Харківського національного медичного університету “Розробка та впровадження принципів медицини граничних станів”, №  </w:t>
      </w:r>
      <w:proofErr w:type="spellStart"/>
      <w:r>
        <w:rPr>
          <w:rFonts w:ascii="Times New Roman" w:eastAsia="Calibri" w:hAnsi="Times New Roman" w:cs="Times New Roman"/>
          <w:sz w:val="28"/>
          <w:szCs w:val="28"/>
          <w:lang w:val="uk-UA"/>
        </w:rPr>
        <w:t>держреєстрації</w:t>
      </w:r>
      <w:proofErr w:type="spellEnd"/>
      <w:r>
        <w:rPr>
          <w:rFonts w:ascii="Times New Roman" w:eastAsia="Calibri" w:hAnsi="Times New Roman" w:cs="Times New Roman"/>
          <w:sz w:val="28"/>
          <w:szCs w:val="28"/>
          <w:lang w:val="uk-UA"/>
        </w:rPr>
        <w:t xml:space="preserve"> 0115</w:t>
      </w:r>
      <w:r>
        <w:rPr>
          <w:rFonts w:ascii="Times New Roman" w:eastAsia="Calibri" w:hAnsi="Times New Roman" w:cs="Times New Roman"/>
          <w:sz w:val="28"/>
          <w:szCs w:val="28"/>
          <w:lang w:val="en-US"/>
        </w:rPr>
        <w:t>U</w:t>
      </w:r>
      <w:r>
        <w:rPr>
          <w:rFonts w:ascii="Times New Roman" w:eastAsia="Calibri" w:hAnsi="Times New Roman" w:cs="Times New Roman"/>
          <w:sz w:val="28"/>
          <w:szCs w:val="28"/>
          <w:lang w:val="uk-UA"/>
        </w:rPr>
        <w:t>000992.</w:t>
      </w:r>
    </w:p>
    <w:p w:rsidR="001169C7" w:rsidRDefault="001169C7" w:rsidP="001169C7">
      <w:pPr>
        <w:spacing w:after="0" w:line="360" w:lineRule="auto"/>
        <w:ind w:firstLine="709"/>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Вступ</w:t>
      </w:r>
    </w:p>
    <w:p w:rsidR="001169C7" w:rsidRDefault="001169C7" w:rsidP="001169C7">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 даними Державних центрів зайнятості України, аграрні спеціальності набувають все більшої популярності. Це безпосередньо пов’язано із покращенням аграрної перспективи України. Доказом цього є прогнозоване збільшення основних показників виробництва сільськогосподарської продукції у період до 2020 року: зерна з нинішніх 60 млн. тон до 100 млн., поголів'я великої рогатої худоби - на 10-15% (до 6 млн. голів) [http://www.minagro.gov.ua/].</w:t>
      </w:r>
    </w:p>
    <w:p w:rsidR="001169C7" w:rsidRDefault="001169C7" w:rsidP="001169C7">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rPr>
        <w:t>В свою чергу, забезпечення подальшого розвитку аграрного сектору держави безпосередньо пов’язано насамперед з відтворенням кадрового потенціалу галузі. Зараз в аграрному секторі зайнято близько 3,5 млн. робітників (22 % від загальної чисельності працюючих). За прогнозами Державної служби статистики України, через п'ять років сільському господарству буде потрібно не менше 5 млн. висококваліфікованих фахівців сільськогосподарських професій та спеціальностей. Саме на вирішення цієї проблеми сьогодні спрямована діяльність 58 ліцеїв аграрного профілю, через які щорічно отримують професійну освіту близько 12 тисяч випускників [1].</w:t>
      </w:r>
    </w:p>
    <w:p w:rsidR="001169C7" w:rsidRDefault="001169C7" w:rsidP="001169C7">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Тому на особливу увагу заслуговує якість системи професійної освіти молоді, яка опановує аграрні спеціальності на базі професійних ліцеїв. Така освітня система складається з оволодіння відповідними знаннями, </w:t>
      </w:r>
      <w:r>
        <w:rPr>
          <w:rFonts w:ascii="Times New Roman" w:eastAsia="Calibri" w:hAnsi="Times New Roman" w:cs="Times New Roman"/>
          <w:sz w:val="28"/>
          <w:szCs w:val="28"/>
          <w:lang w:val="uk-UA" w:eastAsia="ru-RU"/>
        </w:rPr>
        <w:lastRenderedPageBreak/>
        <w:t xml:space="preserve">практичними вміннями та навичками, на тлі створення передумов для збереження та зміцнення здоров’я. </w:t>
      </w:r>
    </w:p>
    <w:p w:rsidR="001169C7" w:rsidRDefault="001169C7" w:rsidP="001169C7">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При цьому слід враховувати, що саме підлітковий вік, у якому юнак отримує професію, є найбільш сенситивним до зовнішнього впливу, що сприяє з одного боку, успішності навчання, а з іншого - робить учнів більш уразливими до професійно зумовлених та побутових чинників ризику [2]. </w:t>
      </w:r>
    </w:p>
    <w:p w:rsidR="001169C7" w:rsidRDefault="001169C7" w:rsidP="001169C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ru-RU"/>
        </w:rPr>
        <w:t xml:space="preserve">Загально визнаним є те, що на </w:t>
      </w:r>
      <w:r>
        <w:rPr>
          <w:rFonts w:ascii="Times New Roman" w:eastAsia="Calibri" w:hAnsi="Times New Roman" w:cs="Times New Roman"/>
          <w:sz w:val="28"/>
          <w:szCs w:val="28"/>
          <w:lang w:val="uk-UA"/>
        </w:rPr>
        <w:t xml:space="preserve">формування здоров'я молоді в процесі навчання впливає дві основні групи факторів. Перша, - це об'єктивні чинники, як правило групового характеру, які пов'язані з навчальним процесом, а саме: тривалість навчального дня, навчальне навантаження, обумовлене розкладом, перерви між заняттями, стан навчальних аудиторій і т.д. Друга, - суб'єктивні, пов’язані із особливостями життєдіяльності індивідууму: режим харчування, рухова активність, організація дозвілля, наявність або відсутність шкідливих звичок і т. д. [3]. </w:t>
      </w:r>
    </w:p>
    <w:p w:rsidR="001169C7" w:rsidRDefault="001169C7" w:rsidP="001169C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rPr>
        <w:t xml:space="preserve">За даними ряду авторів, інтенсифікація процесу навчання у професійному навчальному закладі, відповідно до вимог науково-технічного прогресу, призводить до збільшення навчального навантаження, яке нерідко викликає значні погіршення працездатності і стану здоров'я учнів, що чітко відзначаються вже на першому році навчання </w:t>
      </w:r>
      <w:r>
        <w:rPr>
          <w:rFonts w:ascii="Times New Roman" w:eastAsia="Calibri" w:hAnsi="Times New Roman" w:cs="Times New Roman"/>
          <w:sz w:val="28"/>
          <w:szCs w:val="28"/>
          <w:lang w:val="uk-UA"/>
        </w:rPr>
        <w:t>[3,4].</w:t>
      </w:r>
      <w:r>
        <w:rPr>
          <w:rFonts w:ascii="Times New Roman" w:eastAsia="Calibri" w:hAnsi="Times New Roman" w:cs="Times New Roman"/>
          <w:sz w:val="28"/>
          <w:szCs w:val="28"/>
          <w:lang w:val="uk-UA" w:eastAsia="uk-UA"/>
        </w:rPr>
        <w:t xml:space="preserve"> При цьому обґрунтовано стверджується, що основними критеріями адаптації є показники здоров'я, фізичного розвитку та розумової працездатності, які безпосередньо корелюють з характером життєдіяльності учнів до найбільш важливих складових якого належать: психологічний мікроклімат у сім’ї та колективі, ступінь рухової активності, особливості режиму дня, харчування, наявність навичок особистої гігієни, відсутність шкідливих звичок</w:t>
      </w:r>
      <w:r>
        <w:rPr>
          <w:rFonts w:ascii="Times New Roman" w:eastAsia="Calibri" w:hAnsi="Times New Roman" w:cs="Times New Roman"/>
          <w:sz w:val="28"/>
          <w:szCs w:val="28"/>
          <w:lang w:val="uk-UA"/>
        </w:rPr>
        <w:t xml:space="preserve"> [5,6]</w:t>
      </w:r>
      <w:r>
        <w:rPr>
          <w:rFonts w:ascii="Times New Roman" w:eastAsia="Calibri" w:hAnsi="Times New Roman" w:cs="Times New Roman"/>
          <w:sz w:val="28"/>
          <w:szCs w:val="28"/>
          <w:lang w:val="uk-UA" w:eastAsia="uk-UA"/>
        </w:rPr>
        <w:t xml:space="preserve">. </w:t>
      </w:r>
    </w:p>
    <w:p w:rsidR="001169C7" w:rsidRDefault="001169C7" w:rsidP="001169C7">
      <w:pPr>
        <w:spacing w:after="0" w:line="360"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Незважаючи на певну кількість публікацій, присвячених вивченню впливу умов та характеру навчання на функціональний стан підлітків різного віку та профілю навчання </w:t>
      </w:r>
      <w:r>
        <w:rPr>
          <w:rFonts w:ascii="Times New Roman" w:eastAsia="Calibri" w:hAnsi="Times New Roman" w:cs="Times New Roman"/>
          <w:sz w:val="28"/>
          <w:szCs w:val="28"/>
          <w:lang w:val="uk-UA"/>
        </w:rPr>
        <w:t>[6,7]</w:t>
      </w:r>
      <w:r>
        <w:rPr>
          <w:rFonts w:ascii="Times New Roman" w:eastAsia="Calibri" w:hAnsi="Times New Roman" w:cs="Times New Roman"/>
          <w:sz w:val="28"/>
          <w:szCs w:val="28"/>
          <w:lang w:val="uk-UA" w:eastAsia="uk-UA"/>
        </w:rPr>
        <w:t xml:space="preserve">, особливостям їхнього росту та розвитку, динаміці загального та психічного здоров’я учнів </w:t>
      </w:r>
      <w:r>
        <w:rPr>
          <w:rFonts w:ascii="Times New Roman" w:eastAsia="Calibri" w:hAnsi="Times New Roman" w:cs="Times New Roman"/>
          <w:sz w:val="28"/>
          <w:szCs w:val="28"/>
          <w:lang w:val="uk-UA"/>
        </w:rPr>
        <w:t>[8,9,10]</w:t>
      </w:r>
      <w:r>
        <w:rPr>
          <w:rFonts w:ascii="Times New Roman" w:eastAsia="Calibri" w:hAnsi="Times New Roman" w:cs="Times New Roman"/>
          <w:sz w:val="28"/>
          <w:szCs w:val="28"/>
          <w:lang w:val="uk-UA" w:eastAsia="uk-UA"/>
        </w:rPr>
        <w:t xml:space="preserve">, нині залишається відкритим питання щодо визначення загальних закономірностей та </w:t>
      </w:r>
      <w:r>
        <w:rPr>
          <w:rFonts w:ascii="Times New Roman" w:eastAsia="Calibri" w:hAnsi="Times New Roman" w:cs="Times New Roman"/>
          <w:sz w:val="28"/>
          <w:szCs w:val="28"/>
          <w:lang w:val="uk-UA" w:eastAsia="uk-UA"/>
        </w:rPr>
        <w:lastRenderedPageBreak/>
        <w:t>особливостей впливу умов навчання на функціональний стан учнів, які опановують сучасні сільськогосподарські спеціальності</w:t>
      </w:r>
      <w:r>
        <w:rPr>
          <w:rFonts w:ascii="Calibri" w:eastAsia="Calibri" w:hAnsi="Calibri" w:cs="Times New Roman"/>
          <w:lang w:val="uk-UA"/>
        </w:rPr>
        <w:t xml:space="preserve"> </w:t>
      </w:r>
      <w:r>
        <w:rPr>
          <w:rFonts w:ascii="Times New Roman" w:eastAsia="Calibri" w:hAnsi="Times New Roman" w:cs="Times New Roman"/>
          <w:sz w:val="28"/>
          <w:szCs w:val="28"/>
          <w:lang w:val="uk-UA"/>
        </w:rPr>
        <w:t xml:space="preserve">у </w:t>
      </w:r>
      <w:r>
        <w:rPr>
          <w:rFonts w:ascii="Times New Roman" w:eastAsia="Calibri" w:hAnsi="Times New Roman" w:cs="Times New Roman"/>
          <w:sz w:val="28"/>
          <w:szCs w:val="28"/>
          <w:lang w:val="uk-UA" w:eastAsia="uk-UA"/>
        </w:rPr>
        <w:t>професійному аграрному ліцеї.</w:t>
      </w:r>
    </w:p>
    <w:p w:rsidR="001169C7" w:rsidRDefault="001169C7" w:rsidP="001169C7">
      <w:pPr>
        <w:spacing w:after="0" w:line="360" w:lineRule="auto"/>
        <w:ind w:firstLine="709"/>
        <w:jc w:val="both"/>
        <w:rPr>
          <w:rFonts w:ascii="Times New Roman" w:eastAsia="Calibri" w:hAnsi="Times New Roman" w:cs="Times New Roman"/>
          <w:bCs/>
          <w:sz w:val="28"/>
          <w:szCs w:val="28"/>
          <w:lang w:val="uk-UA"/>
        </w:rPr>
      </w:pPr>
      <w:r>
        <w:rPr>
          <w:rFonts w:ascii="Times New Roman" w:eastAsia="Calibri" w:hAnsi="Times New Roman" w:cs="Times New Roman"/>
          <w:b/>
          <w:bCs/>
          <w:sz w:val="28"/>
          <w:szCs w:val="28"/>
          <w:lang w:val="uk-UA"/>
        </w:rPr>
        <w:t>Мета дослідження:</w:t>
      </w:r>
      <w:r>
        <w:rPr>
          <w:rFonts w:ascii="Times New Roman" w:eastAsia="Calibri" w:hAnsi="Times New Roman" w:cs="Times New Roman"/>
          <w:bCs/>
          <w:sz w:val="28"/>
          <w:szCs w:val="28"/>
          <w:lang w:val="uk-UA"/>
        </w:rPr>
        <w:t xml:space="preserve"> встановити загальні закономірності та особливості впливу чинників навчально-виробничого середовища на функціональний стан учнів професійного аграрного ліцею, які опановують різні сільськогосподарські професії.</w:t>
      </w:r>
    </w:p>
    <w:p w:rsidR="001169C7" w:rsidRDefault="001169C7" w:rsidP="001169C7">
      <w:pPr>
        <w:spacing w:after="0" w:line="360" w:lineRule="auto"/>
        <w:ind w:firstLine="709"/>
        <w:jc w:val="both"/>
        <w:rPr>
          <w:rFonts w:ascii="Times New Roman" w:eastAsia="Calibri" w:hAnsi="Times New Roman" w:cs="Times New Roman"/>
          <w:b/>
          <w:sz w:val="28"/>
          <w:szCs w:val="28"/>
          <w:lang w:val="uk-UA" w:eastAsia="uk-UA"/>
        </w:rPr>
      </w:pPr>
      <w:r>
        <w:rPr>
          <w:rFonts w:ascii="Times New Roman" w:eastAsia="Calibri" w:hAnsi="Times New Roman" w:cs="Times New Roman"/>
          <w:b/>
          <w:sz w:val="28"/>
          <w:szCs w:val="28"/>
          <w:lang w:val="uk-UA" w:eastAsia="uk-UA"/>
        </w:rPr>
        <w:t>Матеріали та методи дослідження</w:t>
      </w:r>
    </w:p>
    <w:p w:rsidR="001169C7" w:rsidRDefault="001169C7" w:rsidP="001169C7">
      <w:pPr>
        <w:spacing w:after="0" w:line="360"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Під безпосереднім спостереженням знаходилися 109 ліцеїстів чоловічої статі, віком 15-18 років, які опановують аграрні спеціальності на базі </w:t>
      </w:r>
      <w:proofErr w:type="spellStart"/>
      <w:r>
        <w:rPr>
          <w:rFonts w:ascii="Times New Roman" w:eastAsia="Calibri" w:hAnsi="Times New Roman" w:cs="Times New Roman"/>
          <w:sz w:val="28"/>
          <w:szCs w:val="28"/>
          <w:lang w:val="uk-UA" w:eastAsia="uk-UA"/>
        </w:rPr>
        <w:t>Одноробівського</w:t>
      </w:r>
      <w:proofErr w:type="spellEnd"/>
      <w:r>
        <w:rPr>
          <w:rFonts w:ascii="Times New Roman" w:eastAsia="Calibri" w:hAnsi="Times New Roman" w:cs="Times New Roman"/>
          <w:sz w:val="28"/>
          <w:szCs w:val="28"/>
          <w:lang w:val="uk-UA" w:eastAsia="uk-UA"/>
        </w:rPr>
        <w:t xml:space="preserve"> професійного аграрного ліцею ( </w:t>
      </w:r>
      <w:proofErr w:type="spellStart"/>
      <w:r>
        <w:rPr>
          <w:rFonts w:ascii="Times New Roman" w:eastAsia="Calibri" w:hAnsi="Times New Roman" w:cs="Times New Roman"/>
          <w:sz w:val="28"/>
          <w:szCs w:val="28"/>
          <w:lang w:val="uk-UA" w:eastAsia="uk-UA"/>
        </w:rPr>
        <w:t>Золочівський</w:t>
      </w:r>
      <w:proofErr w:type="spellEnd"/>
      <w:r>
        <w:rPr>
          <w:rFonts w:ascii="Times New Roman" w:eastAsia="Calibri" w:hAnsi="Times New Roman" w:cs="Times New Roman"/>
          <w:sz w:val="28"/>
          <w:szCs w:val="28"/>
          <w:lang w:val="uk-UA" w:eastAsia="uk-UA"/>
        </w:rPr>
        <w:t xml:space="preserve"> район Харківської області). До </w:t>
      </w:r>
      <w:r>
        <w:rPr>
          <w:rFonts w:ascii="Times New Roman" w:eastAsia="Calibri" w:hAnsi="Times New Roman" w:cs="Times New Roman"/>
          <w:sz w:val="28"/>
          <w:szCs w:val="28"/>
          <w:lang w:val="en-US" w:eastAsia="uk-UA"/>
        </w:rPr>
        <w:t>I</w:t>
      </w:r>
      <w:r w:rsidRPr="001169C7">
        <w:rPr>
          <w:rFonts w:ascii="Times New Roman" w:eastAsia="Calibri" w:hAnsi="Times New Roman" w:cs="Times New Roman"/>
          <w:sz w:val="28"/>
          <w:szCs w:val="28"/>
          <w:lang w:eastAsia="uk-UA"/>
        </w:rPr>
        <w:t xml:space="preserve"> </w:t>
      </w:r>
      <w:r>
        <w:rPr>
          <w:rFonts w:ascii="Times New Roman" w:eastAsia="Calibri" w:hAnsi="Times New Roman" w:cs="Times New Roman"/>
          <w:sz w:val="28"/>
          <w:szCs w:val="28"/>
          <w:lang w:val="uk-UA" w:eastAsia="uk-UA"/>
        </w:rPr>
        <w:t xml:space="preserve">групи порівняння увійшли учні 1-го курсу, які протягом навчального року, згідно до навчального плану, засвоювали професію «слюсар з ремонту сільськогосподарських машин та обладнання». До </w:t>
      </w:r>
      <w:r>
        <w:rPr>
          <w:rFonts w:ascii="Times New Roman" w:eastAsia="Calibri" w:hAnsi="Times New Roman" w:cs="Times New Roman"/>
          <w:sz w:val="28"/>
          <w:szCs w:val="28"/>
          <w:lang w:val="en-US" w:eastAsia="uk-UA"/>
        </w:rPr>
        <w:t>II</w:t>
      </w:r>
      <w:r>
        <w:rPr>
          <w:rFonts w:ascii="Times New Roman" w:eastAsia="Calibri" w:hAnsi="Times New Roman" w:cs="Times New Roman"/>
          <w:sz w:val="28"/>
          <w:szCs w:val="28"/>
          <w:lang w:val="uk-UA" w:eastAsia="uk-UA"/>
        </w:rPr>
        <w:t xml:space="preserve"> групи увійшли ліцеїсти другого року навчання, які опановували професію «тракторист - машиніст сільськогосподарського (лісогосподарського) виробництва». До </w:t>
      </w:r>
      <w:r>
        <w:rPr>
          <w:rFonts w:ascii="Times New Roman" w:eastAsia="Calibri" w:hAnsi="Times New Roman" w:cs="Times New Roman"/>
          <w:sz w:val="28"/>
          <w:szCs w:val="28"/>
          <w:lang w:val="en-US" w:eastAsia="uk-UA"/>
        </w:rPr>
        <w:t>III</w:t>
      </w:r>
      <w:r>
        <w:rPr>
          <w:rFonts w:ascii="Times New Roman" w:eastAsia="Calibri" w:hAnsi="Times New Roman" w:cs="Times New Roman"/>
          <w:sz w:val="28"/>
          <w:szCs w:val="28"/>
          <w:lang w:val="uk-UA" w:eastAsia="uk-UA"/>
        </w:rPr>
        <w:t xml:space="preserve"> групи порівняння увійшли особи, які на третьому році навчання, оволодівали професією «водій автотранспортних засобів». </w:t>
      </w:r>
    </w:p>
    <w:p w:rsidR="001169C7" w:rsidRDefault="001169C7" w:rsidP="001169C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rPr>
        <w:t>Відповідно до мети досліджень,</w:t>
      </w:r>
      <w:r>
        <w:rPr>
          <w:rFonts w:ascii="Times New Roman" w:eastAsia="Calibri" w:hAnsi="Times New Roman" w:cs="Times New Roman"/>
          <w:sz w:val="28"/>
          <w:szCs w:val="28"/>
          <w:lang w:val="uk-UA"/>
        </w:rPr>
        <w:t xml:space="preserve"> характер навчання оцінювався шляхом пр</w:t>
      </w:r>
      <w:r>
        <w:rPr>
          <w:rFonts w:ascii="Times New Roman" w:eastAsia="Calibri" w:hAnsi="Times New Roman" w:cs="Times New Roman"/>
          <w:sz w:val="28"/>
          <w:szCs w:val="28"/>
          <w:lang w:val="uk-UA" w:eastAsia="uk-UA"/>
        </w:rPr>
        <w:t xml:space="preserve">оведення порівняльного </w:t>
      </w:r>
      <w:proofErr w:type="spellStart"/>
      <w:r>
        <w:rPr>
          <w:rFonts w:ascii="Times New Roman" w:eastAsia="Calibri" w:hAnsi="Times New Roman" w:cs="Times New Roman"/>
          <w:sz w:val="28"/>
          <w:szCs w:val="28"/>
          <w:lang w:val="uk-UA" w:eastAsia="uk-UA"/>
        </w:rPr>
        <w:t>фізіолого-гігієнічного</w:t>
      </w:r>
      <w:proofErr w:type="spellEnd"/>
      <w:r>
        <w:rPr>
          <w:rFonts w:ascii="Times New Roman" w:eastAsia="Calibri" w:hAnsi="Times New Roman" w:cs="Times New Roman"/>
          <w:sz w:val="28"/>
          <w:szCs w:val="28"/>
          <w:lang w:val="uk-UA" w:eastAsia="uk-UA"/>
        </w:rPr>
        <w:t xml:space="preserve"> аналізу ступеню впливу факторів навчально-виробничого середовища на функціональний стан </w:t>
      </w:r>
      <w:r>
        <w:rPr>
          <w:rFonts w:ascii="Times New Roman" w:eastAsia="Calibri" w:hAnsi="Times New Roman" w:cs="Times New Roman"/>
          <w:sz w:val="28"/>
          <w:szCs w:val="28"/>
          <w:lang w:val="uk-UA"/>
        </w:rPr>
        <w:t>підлітків, за критеріями віку, терміну навчання та особливостями професії, що засвоюється у ліцеї.</w:t>
      </w:r>
    </w:p>
    <w:p w:rsidR="001169C7" w:rsidRDefault="001169C7" w:rsidP="001169C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Умови навчання досліджувалися методом гігієнічного обстеження об’єкту на його відповідність діючим санітарним нормам.</w:t>
      </w:r>
    </w:p>
    <w:p w:rsidR="001169C7" w:rsidRDefault="001169C7" w:rsidP="001169C7">
      <w:pPr>
        <w:spacing w:after="0" w:line="360"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Характеристика життєдіяльності ліцеїстів давалася на підставі анкетування досліджуваних з використанням опитувальника «Спосіб життя». У відповідності до методики було проведено порівняння середньої кількості набраних балів за такими показниками, як психологічний мікроклімат, </w:t>
      </w:r>
      <w:r>
        <w:rPr>
          <w:rFonts w:ascii="Times New Roman" w:eastAsia="Calibri" w:hAnsi="Times New Roman" w:cs="Times New Roman"/>
          <w:sz w:val="28"/>
          <w:szCs w:val="28"/>
          <w:lang w:val="uk-UA" w:eastAsia="uk-UA"/>
        </w:rPr>
        <w:lastRenderedPageBreak/>
        <w:t xml:space="preserve">рухова активність, режим дня, харчування та особиста гігієна, при чому показники оцінювались як оптимальні при кількості балів 10 і вище [11]. </w:t>
      </w:r>
    </w:p>
    <w:p w:rsidR="001169C7" w:rsidRDefault="001169C7" w:rsidP="001169C7">
      <w:pPr>
        <w:spacing w:after="0" w:line="360" w:lineRule="auto"/>
        <w:ind w:firstLine="709"/>
        <w:jc w:val="both"/>
        <w:rPr>
          <w:rFonts w:ascii="Calibri" w:eastAsia="Calibri" w:hAnsi="Calibri" w:cs="Times New Roman"/>
          <w:lang w:val="uk-UA"/>
        </w:rPr>
      </w:pPr>
      <w:r>
        <w:rPr>
          <w:rFonts w:ascii="Times New Roman" w:eastAsia="Calibri" w:hAnsi="Times New Roman" w:cs="Times New Roman"/>
          <w:sz w:val="28"/>
          <w:szCs w:val="28"/>
          <w:lang w:val="uk-UA" w:eastAsia="uk-UA"/>
        </w:rPr>
        <w:t xml:space="preserve">Функціональний стан ліцеїстів оцінювався на підставі вивчення показників розумової працездатності коректурним методом, із використанням таблиць О.Г. Іванова-Смоленського за розрахунком коефіцієнтів точності, розумової працездатності та стійкості уваги </w:t>
      </w:r>
      <w:r>
        <w:rPr>
          <w:rFonts w:ascii="Times New Roman" w:eastAsia="Calibri" w:hAnsi="Times New Roman" w:cs="Times New Roman"/>
          <w:sz w:val="28"/>
          <w:szCs w:val="28"/>
          <w:lang w:val="uk-UA"/>
        </w:rPr>
        <w:t>[12]</w:t>
      </w:r>
      <w:r>
        <w:rPr>
          <w:rFonts w:ascii="Times New Roman" w:eastAsia="Calibri" w:hAnsi="Times New Roman" w:cs="Times New Roman"/>
          <w:sz w:val="28"/>
          <w:szCs w:val="28"/>
          <w:lang w:val="uk-UA" w:eastAsia="uk-UA"/>
        </w:rPr>
        <w:t>.</w:t>
      </w:r>
      <w:r>
        <w:rPr>
          <w:rFonts w:ascii="Calibri" w:eastAsia="Calibri" w:hAnsi="Calibri" w:cs="Times New Roman"/>
          <w:lang w:val="uk-UA"/>
        </w:rPr>
        <w:t xml:space="preserve"> </w:t>
      </w:r>
    </w:p>
    <w:p w:rsidR="001169C7" w:rsidRDefault="001169C7" w:rsidP="001169C7">
      <w:pPr>
        <w:spacing w:after="0" w:line="360" w:lineRule="auto"/>
        <w:ind w:firstLine="709"/>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Результати дослідження та їх обговорення</w:t>
      </w:r>
    </w:p>
    <w:p w:rsidR="001169C7" w:rsidRDefault="001169C7" w:rsidP="001169C7">
      <w:pPr>
        <w:spacing w:after="0" w:line="36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Оцінка умов навчання показала, що навчальний процес здійснювався у приміщеннях, побудованих за стандартним проектом та згідно до освітніх стандартів, передбачених для ліцеїв даного профілю[13].</w:t>
      </w:r>
    </w:p>
    <w:p w:rsidR="001169C7" w:rsidRDefault="001169C7" w:rsidP="001169C7">
      <w:pPr>
        <w:spacing w:after="0" w:line="360" w:lineRule="auto"/>
        <w:ind w:firstLine="567"/>
        <w:jc w:val="both"/>
        <w:rPr>
          <w:rFonts w:ascii="Calibri" w:eastAsia="Calibri" w:hAnsi="Calibri" w:cs="Times New Roman"/>
          <w:lang w:val="uk-UA"/>
        </w:rPr>
      </w:pPr>
      <w:r>
        <w:rPr>
          <w:rFonts w:ascii="Times New Roman" w:eastAsia="Times New Roman" w:hAnsi="Times New Roman" w:cs="Times New Roman"/>
          <w:sz w:val="28"/>
          <w:szCs w:val="28"/>
          <w:lang w:val="uk-UA" w:eastAsia="ru-RU"/>
        </w:rPr>
        <w:t xml:space="preserve">Вивчення санітарно-гігієнічних умов навчання та опанування аграрними спеціальностями підлітків, здійснювалось у приміщеннях постійного перебування студентів: в навчальних кабінетах, </w:t>
      </w:r>
      <w:proofErr w:type="spellStart"/>
      <w:r>
        <w:rPr>
          <w:rFonts w:ascii="Times New Roman" w:eastAsia="Times New Roman" w:hAnsi="Times New Roman" w:cs="Times New Roman"/>
          <w:sz w:val="28"/>
          <w:szCs w:val="28"/>
          <w:lang w:val="uk-UA" w:eastAsia="ru-RU"/>
        </w:rPr>
        <w:t>лабораторiях</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професiйно-технiчного</w:t>
      </w:r>
      <w:proofErr w:type="spellEnd"/>
      <w:r>
        <w:rPr>
          <w:rFonts w:ascii="Times New Roman" w:eastAsia="Times New Roman" w:hAnsi="Times New Roman" w:cs="Times New Roman"/>
          <w:sz w:val="28"/>
          <w:szCs w:val="28"/>
          <w:lang w:val="uk-UA" w:eastAsia="ru-RU"/>
        </w:rPr>
        <w:t xml:space="preserve"> i </w:t>
      </w:r>
      <w:proofErr w:type="spellStart"/>
      <w:r>
        <w:rPr>
          <w:rFonts w:ascii="Times New Roman" w:eastAsia="Times New Roman" w:hAnsi="Times New Roman" w:cs="Times New Roman"/>
          <w:sz w:val="28"/>
          <w:szCs w:val="28"/>
          <w:lang w:val="uk-UA" w:eastAsia="ru-RU"/>
        </w:rPr>
        <w:t>спецiального</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профiлю</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к</w:t>
      </w:r>
      <w:r>
        <w:rPr>
          <w:rFonts w:ascii="Times New Roman" w:eastAsia="Calibri" w:hAnsi="Times New Roman" w:cs="Times New Roman"/>
          <w:spacing w:val="-10"/>
          <w:sz w:val="28"/>
          <w:szCs w:val="28"/>
          <w:lang w:val="uk-UA"/>
        </w:rPr>
        <w:t>абiнетах-лабораторiях-майстернях</w:t>
      </w:r>
      <w:proofErr w:type="spellEnd"/>
      <w:r>
        <w:rPr>
          <w:rFonts w:ascii="Times New Roman" w:eastAsia="Calibri" w:hAnsi="Times New Roman" w:cs="Times New Roman"/>
          <w:spacing w:val="-10"/>
          <w:sz w:val="28"/>
          <w:szCs w:val="28"/>
          <w:lang w:val="uk-UA"/>
        </w:rPr>
        <w:t xml:space="preserve"> по </w:t>
      </w:r>
      <w:proofErr w:type="spellStart"/>
      <w:r>
        <w:rPr>
          <w:rFonts w:ascii="Times New Roman" w:eastAsia="Calibri" w:hAnsi="Times New Roman" w:cs="Times New Roman"/>
          <w:spacing w:val="-10"/>
          <w:sz w:val="28"/>
          <w:szCs w:val="28"/>
          <w:lang w:val="uk-UA"/>
        </w:rPr>
        <w:t>сiльськогосподарських</w:t>
      </w:r>
      <w:proofErr w:type="spellEnd"/>
      <w:r>
        <w:rPr>
          <w:rFonts w:ascii="Times New Roman" w:eastAsia="Calibri" w:hAnsi="Times New Roman" w:cs="Times New Roman"/>
          <w:spacing w:val="-10"/>
          <w:sz w:val="28"/>
          <w:szCs w:val="28"/>
          <w:lang w:val="uk-UA"/>
        </w:rPr>
        <w:t xml:space="preserve"> </w:t>
      </w:r>
      <w:proofErr w:type="spellStart"/>
      <w:r>
        <w:rPr>
          <w:rFonts w:ascii="Times New Roman" w:eastAsia="Calibri" w:hAnsi="Times New Roman" w:cs="Times New Roman"/>
          <w:spacing w:val="-10"/>
          <w:sz w:val="28"/>
          <w:szCs w:val="28"/>
          <w:lang w:val="uk-UA"/>
        </w:rPr>
        <w:t>автомобiлях</w:t>
      </w:r>
      <w:proofErr w:type="spellEnd"/>
      <w:r>
        <w:rPr>
          <w:rFonts w:ascii="Times New Roman" w:eastAsia="Calibri" w:hAnsi="Times New Roman" w:cs="Times New Roman"/>
          <w:spacing w:val="-10"/>
          <w:sz w:val="28"/>
          <w:szCs w:val="28"/>
          <w:lang w:val="uk-UA"/>
        </w:rPr>
        <w:t>.</w:t>
      </w:r>
      <w:r>
        <w:rPr>
          <w:rFonts w:ascii="Calibri" w:eastAsia="Calibri" w:hAnsi="Calibri" w:cs="Times New Roman"/>
          <w:lang w:val="uk-UA"/>
        </w:rPr>
        <w:t xml:space="preserve"> </w:t>
      </w:r>
    </w:p>
    <w:p w:rsidR="001169C7" w:rsidRDefault="001169C7" w:rsidP="001169C7">
      <w:pPr>
        <w:widowControl w:val="0"/>
        <w:autoSpaceDE w:val="0"/>
        <w:autoSpaceDN w:val="0"/>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Проведені дослідження довели, що параметри мікроклімату, електромагнітного випромінювання на навчальних місцях учнів не перевищували допустимих величин [14]. Так, середня температура повітря в навчальних кабінетах в холодний період року становила 18,8 ± 0,1</w:t>
      </w:r>
      <w:r>
        <w:rPr>
          <w:rFonts w:ascii="Times New Roman" w:eastAsia="Times New Roman" w:hAnsi="Times New Roman" w:cs="Times New Roman"/>
          <w:sz w:val="28"/>
          <w:szCs w:val="28"/>
          <w:vertAlign w:val="superscript"/>
          <w:lang w:val="uk-UA" w:eastAsia="ru-RU"/>
        </w:rPr>
        <w:t xml:space="preserve"> </w:t>
      </w:r>
      <w:proofErr w:type="spellStart"/>
      <w:r>
        <w:rPr>
          <w:rFonts w:ascii="Times New Roman" w:eastAsia="Times New Roman" w:hAnsi="Times New Roman" w:cs="Times New Roman"/>
          <w:sz w:val="28"/>
          <w:szCs w:val="28"/>
          <w:vertAlign w:val="superscript"/>
          <w:lang w:val="uk-UA" w:eastAsia="ru-RU"/>
        </w:rPr>
        <w:t>о</w:t>
      </w:r>
      <w:r>
        <w:rPr>
          <w:rFonts w:ascii="Times New Roman" w:eastAsia="Times New Roman" w:hAnsi="Times New Roman" w:cs="Times New Roman"/>
          <w:sz w:val="28"/>
          <w:szCs w:val="28"/>
          <w:lang w:val="uk-UA" w:eastAsia="ru-RU"/>
        </w:rPr>
        <w:t>С</w:t>
      </w:r>
      <w:proofErr w:type="spellEnd"/>
      <w:r>
        <w:rPr>
          <w:rFonts w:ascii="Times New Roman" w:eastAsia="Times New Roman" w:hAnsi="Times New Roman" w:cs="Times New Roman"/>
          <w:sz w:val="28"/>
          <w:szCs w:val="28"/>
          <w:lang w:val="uk-UA" w:eastAsia="ru-RU"/>
        </w:rPr>
        <w:t>, а в теплий – 21,3 ± 0,1</w:t>
      </w:r>
      <w:r>
        <w:rPr>
          <w:rFonts w:ascii="Times New Roman" w:eastAsia="Times New Roman" w:hAnsi="Times New Roman" w:cs="Times New Roman"/>
          <w:sz w:val="28"/>
          <w:szCs w:val="28"/>
          <w:vertAlign w:val="superscript"/>
          <w:lang w:val="uk-UA" w:eastAsia="ru-RU"/>
        </w:rPr>
        <w:t xml:space="preserve"> </w:t>
      </w:r>
      <w:proofErr w:type="spellStart"/>
      <w:r>
        <w:rPr>
          <w:rFonts w:ascii="Times New Roman" w:eastAsia="Times New Roman" w:hAnsi="Times New Roman" w:cs="Times New Roman"/>
          <w:sz w:val="28"/>
          <w:szCs w:val="28"/>
          <w:vertAlign w:val="superscript"/>
          <w:lang w:val="uk-UA" w:eastAsia="ru-RU"/>
        </w:rPr>
        <w:t>о</w:t>
      </w:r>
      <w:r>
        <w:rPr>
          <w:rFonts w:ascii="Times New Roman" w:eastAsia="Times New Roman" w:hAnsi="Times New Roman" w:cs="Times New Roman"/>
          <w:sz w:val="28"/>
          <w:szCs w:val="28"/>
          <w:lang w:val="uk-UA" w:eastAsia="ru-RU"/>
        </w:rPr>
        <w:t>С</w:t>
      </w:r>
      <w:proofErr w:type="spellEnd"/>
      <w:r>
        <w:rPr>
          <w:rFonts w:ascii="Times New Roman" w:eastAsia="Times New Roman" w:hAnsi="Times New Roman" w:cs="Times New Roman"/>
          <w:sz w:val="28"/>
          <w:szCs w:val="28"/>
          <w:lang w:val="uk-UA" w:eastAsia="ru-RU"/>
        </w:rPr>
        <w:t xml:space="preserve">, що відповідало оптимальним значенням. Відносна вологість (45 ± 0,5 % у теплу пору року, 54,3± 0,4 % – у холодну) і швидкість руху повітря (0,12 ± 0,05 м/с у літній період, 0,18 ± 0,02 м/с – у зимовий) також перебували в межах оптимальних величин . </w:t>
      </w:r>
    </w:p>
    <w:p w:rsidR="001169C7" w:rsidRDefault="001169C7" w:rsidP="001169C7">
      <w:pPr>
        <w:widowControl w:val="0"/>
        <w:autoSpaceDE w:val="0"/>
        <w:autoSpaceDN w:val="0"/>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Середня величина електромагнітного випромінювання на навчальних місцях в комп’ютерному класі студентів складала в середньому за електричною складовою – 2,2 В/м; за магнітною складовою – 22,5 </w:t>
      </w:r>
      <w:proofErr w:type="spellStart"/>
      <w:r>
        <w:rPr>
          <w:rFonts w:ascii="Times New Roman" w:eastAsia="Times New Roman" w:hAnsi="Times New Roman" w:cs="Times New Roman"/>
          <w:sz w:val="28"/>
          <w:szCs w:val="28"/>
          <w:lang w:val="uk-UA" w:eastAsia="ru-RU"/>
        </w:rPr>
        <w:t>нТл</w:t>
      </w:r>
      <w:proofErr w:type="spellEnd"/>
      <w:r>
        <w:rPr>
          <w:rFonts w:ascii="Times New Roman" w:eastAsia="Times New Roman" w:hAnsi="Times New Roman" w:cs="Times New Roman"/>
          <w:sz w:val="28"/>
          <w:szCs w:val="28"/>
          <w:lang w:val="uk-UA" w:eastAsia="ru-RU"/>
        </w:rPr>
        <w:t xml:space="preserve"> (за норми 2,5 в/м  та 25 </w:t>
      </w:r>
      <w:proofErr w:type="spellStart"/>
      <w:r>
        <w:rPr>
          <w:rFonts w:ascii="Times New Roman" w:eastAsia="Times New Roman" w:hAnsi="Times New Roman" w:cs="Times New Roman"/>
          <w:sz w:val="28"/>
          <w:szCs w:val="28"/>
          <w:lang w:val="uk-UA" w:eastAsia="ru-RU"/>
        </w:rPr>
        <w:t>нТл</w:t>
      </w:r>
      <w:proofErr w:type="spellEnd"/>
      <w:r>
        <w:rPr>
          <w:rFonts w:ascii="Times New Roman" w:eastAsia="Times New Roman" w:hAnsi="Times New Roman" w:cs="Times New Roman"/>
          <w:sz w:val="28"/>
          <w:szCs w:val="28"/>
          <w:lang w:val="uk-UA" w:eastAsia="ru-RU"/>
        </w:rPr>
        <w:t xml:space="preserve"> ) [15,16].</w:t>
      </w:r>
    </w:p>
    <w:p w:rsidR="001169C7" w:rsidRDefault="001169C7" w:rsidP="001169C7">
      <w:pPr>
        <w:widowControl w:val="0"/>
        <w:autoSpaceDE w:val="0"/>
        <w:autoSpaceDN w:val="0"/>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Шум на навчальних місцях в кабінетах та </w:t>
      </w:r>
      <w:proofErr w:type="spellStart"/>
      <w:r>
        <w:rPr>
          <w:rFonts w:ascii="Times New Roman" w:eastAsia="Times New Roman" w:hAnsi="Times New Roman" w:cs="Times New Roman"/>
          <w:sz w:val="28"/>
          <w:szCs w:val="28"/>
          <w:lang w:val="uk-UA" w:eastAsia="ru-RU"/>
        </w:rPr>
        <w:t>лабораторiях</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професiйно-технiчного</w:t>
      </w:r>
      <w:proofErr w:type="spellEnd"/>
      <w:r>
        <w:rPr>
          <w:rFonts w:ascii="Times New Roman" w:eastAsia="Times New Roman" w:hAnsi="Times New Roman" w:cs="Times New Roman"/>
          <w:sz w:val="28"/>
          <w:szCs w:val="28"/>
          <w:lang w:val="uk-UA" w:eastAsia="ru-RU"/>
        </w:rPr>
        <w:t xml:space="preserve"> i </w:t>
      </w:r>
      <w:proofErr w:type="spellStart"/>
      <w:r>
        <w:rPr>
          <w:rFonts w:ascii="Times New Roman" w:eastAsia="Times New Roman" w:hAnsi="Times New Roman" w:cs="Times New Roman"/>
          <w:sz w:val="28"/>
          <w:szCs w:val="28"/>
          <w:lang w:val="uk-UA" w:eastAsia="ru-RU"/>
        </w:rPr>
        <w:t>спецiального</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профiлю</w:t>
      </w:r>
      <w:proofErr w:type="spellEnd"/>
      <w:r>
        <w:rPr>
          <w:rFonts w:ascii="Times New Roman" w:eastAsia="Times New Roman" w:hAnsi="Times New Roman" w:cs="Times New Roman"/>
          <w:sz w:val="28"/>
          <w:szCs w:val="28"/>
          <w:lang w:val="uk-UA" w:eastAsia="ru-RU"/>
        </w:rPr>
        <w:t xml:space="preserve"> студентів характеризувався як постійний, широкосмуговий з перевагою звукового тиску в діапазоні середніх і високих </w:t>
      </w:r>
      <w:r>
        <w:rPr>
          <w:rFonts w:ascii="Times New Roman" w:eastAsia="Times New Roman" w:hAnsi="Times New Roman" w:cs="Times New Roman"/>
          <w:sz w:val="28"/>
          <w:szCs w:val="28"/>
          <w:lang w:val="uk-UA" w:eastAsia="ru-RU"/>
        </w:rPr>
        <w:lastRenderedPageBreak/>
        <w:t xml:space="preserve">частот та не перевищував допустимий регламент і максимально досягав 54 ± 1,1 </w:t>
      </w:r>
      <w:proofErr w:type="spellStart"/>
      <w:r>
        <w:rPr>
          <w:rFonts w:ascii="Times New Roman" w:eastAsia="Times New Roman" w:hAnsi="Times New Roman" w:cs="Times New Roman"/>
          <w:sz w:val="28"/>
          <w:szCs w:val="28"/>
          <w:lang w:val="uk-UA" w:eastAsia="ru-RU"/>
        </w:rPr>
        <w:t>дБА</w:t>
      </w:r>
      <w:proofErr w:type="spellEnd"/>
      <w:r>
        <w:rPr>
          <w:rFonts w:ascii="Times New Roman" w:eastAsia="Times New Roman" w:hAnsi="Times New Roman" w:cs="Times New Roman"/>
          <w:sz w:val="28"/>
          <w:szCs w:val="28"/>
          <w:lang w:val="uk-UA" w:eastAsia="ru-RU"/>
        </w:rPr>
        <w:t xml:space="preserve">, за норми не більше 55 </w:t>
      </w:r>
      <w:proofErr w:type="spellStart"/>
      <w:r>
        <w:rPr>
          <w:rFonts w:ascii="Times New Roman" w:eastAsia="Times New Roman" w:hAnsi="Times New Roman" w:cs="Times New Roman"/>
          <w:sz w:val="28"/>
          <w:szCs w:val="28"/>
          <w:lang w:val="uk-UA" w:eastAsia="ru-RU"/>
        </w:rPr>
        <w:t>дБА</w:t>
      </w:r>
      <w:proofErr w:type="spellEnd"/>
      <w:r>
        <w:rPr>
          <w:rFonts w:ascii="Times New Roman" w:eastAsia="Times New Roman" w:hAnsi="Times New Roman" w:cs="Times New Roman"/>
          <w:sz w:val="28"/>
          <w:szCs w:val="28"/>
          <w:lang w:val="uk-UA" w:eastAsia="ru-RU"/>
        </w:rPr>
        <w:t xml:space="preserve"> [17]. </w:t>
      </w:r>
    </w:p>
    <w:p w:rsidR="001169C7" w:rsidRDefault="001169C7" w:rsidP="001169C7">
      <w:pPr>
        <w:widowControl w:val="0"/>
        <w:autoSpaceDE w:val="0"/>
        <w:autoSpaceDN w:val="0"/>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 показником коефіцієнта природнього освітлення (КПО) величини природнього та сумісного освітлення у навчальних кабінетах відповідали гігієнічній нормі (не менш 0,7 % і 1,2 %, відповідно), складаючи 0, 72 ± 0,15 % і 1,23 ± 0,31 % відповідно. В той же час, у </w:t>
      </w:r>
      <w:proofErr w:type="spellStart"/>
      <w:r>
        <w:rPr>
          <w:rFonts w:ascii="Times New Roman" w:eastAsia="Times New Roman" w:hAnsi="Times New Roman" w:cs="Times New Roman"/>
          <w:sz w:val="28"/>
          <w:szCs w:val="28"/>
          <w:lang w:val="uk-UA" w:eastAsia="ru-RU"/>
        </w:rPr>
        <w:t>лабораторiях</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професiйно-технiчного</w:t>
      </w:r>
      <w:proofErr w:type="spellEnd"/>
      <w:r>
        <w:rPr>
          <w:rFonts w:ascii="Times New Roman" w:eastAsia="Times New Roman" w:hAnsi="Times New Roman" w:cs="Times New Roman"/>
          <w:sz w:val="28"/>
          <w:szCs w:val="28"/>
          <w:lang w:val="uk-UA" w:eastAsia="ru-RU"/>
        </w:rPr>
        <w:t xml:space="preserve"> i </w:t>
      </w:r>
      <w:proofErr w:type="spellStart"/>
      <w:r>
        <w:rPr>
          <w:rFonts w:ascii="Times New Roman" w:eastAsia="Times New Roman" w:hAnsi="Times New Roman" w:cs="Times New Roman"/>
          <w:sz w:val="28"/>
          <w:szCs w:val="28"/>
          <w:lang w:val="uk-UA" w:eastAsia="ru-RU"/>
        </w:rPr>
        <w:t>спецiального</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профiлю</w:t>
      </w:r>
      <w:proofErr w:type="spellEnd"/>
      <w:r>
        <w:rPr>
          <w:rFonts w:ascii="Times New Roman" w:eastAsia="Times New Roman" w:hAnsi="Times New Roman" w:cs="Times New Roman"/>
          <w:sz w:val="28"/>
          <w:szCs w:val="28"/>
          <w:lang w:val="uk-UA" w:eastAsia="ru-RU"/>
        </w:rPr>
        <w:t xml:space="preserve">, показники КПО були нижчими від гігієнічних нормативів. Відповідно до категорій точності зорових робіт КПО при природньому освітленні на навчальних місцях учнів становив 1,5± 0,22 %; а при сумісному - 1,14% ± 0,65 % (за норми 3,0 % та 1,2 % відповідно) [18]. </w:t>
      </w:r>
    </w:p>
    <w:p w:rsidR="001169C7" w:rsidRDefault="001169C7" w:rsidP="001169C7">
      <w:pPr>
        <w:autoSpaceDE w:val="0"/>
        <w:autoSpaceDN w:val="0"/>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Оцінка штучного освітлення на навчальних місцях студентів показала його невідповідність існуючим гігієнічним регламентам. Якщо в навчальних кабінетах освітленість робочих поверхонь у середньому становила 405,4 ± 7,2 лк (за норми 400 лк), то в </w:t>
      </w:r>
      <w:proofErr w:type="spellStart"/>
      <w:r>
        <w:rPr>
          <w:rFonts w:ascii="Times New Roman" w:eastAsia="Times New Roman" w:hAnsi="Times New Roman" w:cs="Times New Roman"/>
          <w:sz w:val="28"/>
          <w:szCs w:val="28"/>
          <w:lang w:val="uk-UA" w:eastAsia="ru-RU"/>
        </w:rPr>
        <w:t>лабораторiях</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професiйно-технiчного</w:t>
      </w:r>
      <w:proofErr w:type="spellEnd"/>
      <w:r>
        <w:rPr>
          <w:rFonts w:ascii="Times New Roman" w:eastAsia="Times New Roman" w:hAnsi="Times New Roman" w:cs="Times New Roman"/>
          <w:sz w:val="28"/>
          <w:szCs w:val="28"/>
          <w:lang w:val="uk-UA" w:eastAsia="ru-RU"/>
        </w:rPr>
        <w:t xml:space="preserve"> i </w:t>
      </w:r>
      <w:proofErr w:type="spellStart"/>
      <w:r>
        <w:rPr>
          <w:rFonts w:ascii="Times New Roman" w:eastAsia="Times New Roman" w:hAnsi="Times New Roman" w:cs="Times New Roman"/>
          <w:sz w:val="28"/>
          <w:szCs w:val="28"/>
          <w:lang w:val="uk-UA" w:eastAsia="ru-RU"/>
        </w:rPr>
        <w:t>спецiального</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профiлю</w:t>
      </w:r>
      <w:proofErr w:type="spellEnd"/>
      <w:r>
        <w:rPr>
          <w:rFonts w:ascii="Times New Roman" w:eastAsia="Times New Roman" w:hAnsi="Times New Roman" w:cs="Times New Roman"/>
          <w:sz w:val="28"/>
          <w:szCs w:val="28"/>
          <w:lang w:val="uk-UA" w:eastAsia="ru-RU"/>
        </w:rPr>
        <w:t xml:space="preserve"> показники також були нижче нормативних, а саме 253, 57± 5,4 лк (за норми 300 лк) [18].</w:t>
      </w:r>
    </w:p>
    <w:p w:rsidR="001169C7" w:rsidRDefault="001169C7" w:rsidP="001169C7">
      <w:pPr>
        <w:spacing w:after="0" w:line="360" w:lineRule="auto"/>
        <w:ind w:firstLine="709"/>
        <w:jc w:val="both"/>
        <w:rPr>
          <w:rFonts w:ascii="Times New Roman" w:eastAsia="Arial Unicode MS" w:hAnsi="Times New Roman" w:cs="Times New Roman"/>
          <w:sz w:val="28"/>
          <w:szCs w:val="28"/>
          <w:lang w:val="uk-UA" w:eastAsia="ru-RU"/>
        </w:rPr>
      </w:pPr>
      <w:r>
        <w:rPr>
          <w:rFonts w:ascii="Times New Roman" w:eastAsia="Calibri" w:hAnsi="Times New Roman" w:cs="Times New Roman"/>
          <w:sz w:val="28"/>
          <w:szCs w:val="28"/>
          <w:lang w:val="uk-UA"/>
        </w:rPr>
        <w:t xml:space="preserve">Проведені дослідження характеру життєдіяльності ліцеїстів довели, що статистично </w:t>
      </w:r>
      <w:r>
        <w:rPr>
          <w:rFonts w:ascii="Times New Roman" w:eastAsia="Arial Unicode MS" w:hAnsi="Times New Roman" w:cs="Times New Roman"/>
          <w:sz w:val="28"/>
          <w:szCs w:val="28"/>
          <w:lang w:val="uk-UA" w:eastAsia="ru-RU"/>
        </w:rPr>
        <w:t xml:space="preserve">достовірні відмінності (від р&lt;0,05 до р&lt;0,01) між досліджуваними групами спостерігалися за показниками рухової активності, режиму дня та харчування </w:t>
      </w:r>
      <w:r>
        <w:rPr>
          <w:rFonts w:ascii="Times New Roman" w:eastAsia="Calibri" w:hAnsi="Times New Roman" w:cs="Times New Roman"/>
          <w:sz w:val="28"/>
          <w:szCs w:val="28"/>
          <w:lang w:val="uk-UA" w:eastAsia="uk-UA"/>
        </w:rPr>
        <w:t>(табл.1)</w:t>
      </w:r>
      <w:r>
        <w:rPr>
          <w:rFonts w:ascii="Times New Roman" w:eastAsia="Arial Unicode MS" w:hAnsi="Times New Roman" w:cs="Times New Roman"/>
          <w:sz w:val="28"/>
          <w:szCs w:val="28"/>
          <w:lang w:val="uk-UA" w:eastAsia="ru-RU"/>
        </w:rPr>
        <w:t xml:space="preserve">. </w:t>
      </w:r>
    </w:p>
    <w:p w:rsidR="001169C7" w:rsidRDefault="001169C7" w:rsidP="001169C7">
      <w:pPr>
        <w:spacing w:after="0" w:line="360" w:lineRule="auto"/>
        <w:ind w:firstLine="709"/>
        <w:jc w:val="center"/>
        <w:rPr>
          <w:rFonts w:ascii="Times New Roman" w:eastAsia="Arial Unicode MS" w:hAnsi="Times New Roman" w:cs="Times New Roman"/>
          <w:b/>
          <w:sz w:val="28"/>
          <w:szCs w:val="28"/>
          <w:lang w:val="uk-UA" w:eastAsia="ru-RU"/>
        </w:rPr>
      </w:pPr>
      <w:r>
        <w:rPr>
          <w:rFonts w:ascii="Times New Roman" w:eastAsia="Arial Unicode MS" w:hAnsi="Times New Roman" w:cs="Times New Roman"/>
          <w:b/>
          <w:sz w:val="28"/>
          <w:szCs w:val="28"/>
          <w:lang w:val="uk-UA" w:eastAsia="ru-RU"/>
        </w:rPr>
        <w:t xml:space="preserve">Таблиця 1. Порівняльна характеристика умов життєдіяльності підлітків, які опановують аграрні спеціальності (М ± m; </w:t>
      </w:r>
      <w:r>
        <w:rPr>
          <w:rFonts w:ascii="Times New Roman" w:eastAsia="Arial Unicode MS" w:hAnsi="Times New Roman" w:cs="Times New Roman"/>
          <w:b/>
          <w:bCs/>
          <w:sz w:val="28"/>
          <w:szCs w:val="28"/>
          <w:lang w:val="uk-UA" w:eastAsia="ru-RU"/>
        </w:rPr>
        <w:t>p</w:t>
      </w:r>
      <w:r>
        <w:rPr>
          <w:rFonts w:ascii="Times New Roman" w:eastAsia="Arial Unicode MS" w:hAnsi="Times New Roman" w:cs="Times New Roman"/>
          <w:b/>
          <w:sz w:val="28"/>
          <w:szCs w:val="28"/>
          <w:lang w:val="uk-UA" w:eastAsia="ru-RU"/>
        </w:rPr>
        <w:t>) (у. о.)</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2"/>
        <w:gridCol w:w="1843"/>
        <w:gridCol w:w="1701"/>
        <w:gridCol w:w="1701"/>
        <w:gridCol w:w="1814"/>
        <w:gridCol w:w="1729"/>
      </w:tblGrid>
      <w:tr w:rsidR="001169C7" w:rsidTr="001169C7">
        <w:tc>
          <w:tcPr>
            <w:tcW w:w="1413" w:type="dxa"/>
            <w:tcBorders>
              <w:top w:val="single" w:sz="4" w:space="0" w:color="auto"/>
              <w:left w:val="single" w:sz="4" w:space="0" w:color="auto"/>
              <w:bottom w:val="single" w:sz="4" w:space="0" w:color="auto"/>
              <w:right w:val="single" w:sz="4" w:space="0" w:color="auto"/>
            </w:tcBorders>
            <w:vAlign w:val="center"/>
            <w:hideMark/>
          </w:tcPr>
          <w:p w:rsidR="001169C7" w:rsidRDefault="001169C7">
            <w:pPr>
              <w:spacing w:after="0" w:line="360" w:lineRule="auto"/>
              <w:rPr>
                <w:rFonts w:ascii="Times New Roman" w:eastAsia="Arial Unicode MS" w:hAnsi="Times New Roman" w:cs="Times New Roman"/>
                <w:color w:val="000000"/>
                <w:sz w:val="28"/>
                <w:szCs w:val="28"/>
                <w:lang w:val="uk-UA" w:eastAsia="ru-RU"/>
              </w:rPr>
            </w:pPr>
            <w:r>
              <w:rPr>
                <w:rFonts w:ascii="Times New Roman" w:eastAsia="Arial Unicode MS" w:hAnsi="Times New Roman" w:cs="Times New Roman"/>
                <w:color w:val="000000"/>
                <w:sz w:val="28"/>
                <w:szCs w:val="28"/>
                <w:lang w:val="uk-UA" w:eastAsia="ru-RU"/>
              </w:rPr>
              <w:t>Групи</w:t>
            </w:r>
          </w:p>
          <w:p w:rsidR="001169C7" w:rsidRDefault="001169C7">
            <w:pPr>
              <w:spacing w:after="0" w:line="360" w:lineRule="auto"/>
              <w:rPr>
                <w:rFonts w:ascii="Times New Roman" w:eastAsia="Arial Unicode MS" w:hAnsi="Times New Roman" w:cs="Times New Roman"/>
                <w:color w:val="000000"/>
                <w:sz w:val="28"/>
                <w:szCs w:val="28"/>
                <w:lang w:val="uk-UA" w:eastAsia="ru-RU"/>
              </w:rPr>
            </w:pPr>
            <w:r>
              <w:rPr>
                <w:rFonts w:ascii="Times New Roman" w:eastAsia="Arial Unicode MS" w:hAnsi="Times New Roman" w:cs="Times New Roman"/>
                <w:color w:val="000000"/>
                <w:sz w:val="28"/>
                <w:szCs w:val="28"/>
                <w:lang w:val="uk-UA" w:eastAsia="ru-RU"/>
              </w:rPr>
              <w:t>порівняння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69C7" w:rsidRDefault="001169C7">
            <w:pPr>
              <w:spacing w:after="0" w:line="360" w:lineRule="auto"/>
              <w:rPr>
                <w:rFonts w:ascii="Times New Roman" w:eastAsia="Arial Unicode MS" w:hAnsi="Times New Roman" w:cs="Times New Roman"/>
                <w:color w:val="000000"/>
                <w:sz w:val="28"/>
                <w:szCs w:val="28"/>
                <w:lang w:val="uk-UA" w:eastAsia="ru-RU"/>
              </w:rPr>
            </w:pPr>
            <w:r>
              <w:rPr>
                <w:rFonts w:ascii="Times New Roman" w:eastAsia="Arial Unicode MS" w:hAnsi="Times New Roman" w:cs="Times New Roman"/>
                <w:color w:val="000000"/>
                <w:sz w:val="28"/>
                <w:szCs w:val="28"/>
                <w:lang w:val="uk-UA" w:eastAsia="ru-RU"/>
              </w:rPr>
              <w:t>Шкала М (психологічний мікроклімат)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69C7" w:rsidRDefault="001169C7">
            <w:pPr>
              <w:spacing w:after="0" w:line="360" w:lineRule="auto"/>
              <w:rPr>
                <w:rFonts w:ascii="Times New Roman" w:eastAsia="Arial Unicode MS" w:hAnsi="Times New Roman" w:cs="Times New Roman"/>
                <w:color w:val="000000"/>
                <w:sz w:val="28"/>
                <w:szCs w:val="28"/>
                <w:lang w:val="uk-UA" w:eastAsia="ru-RU"/>
              </w:rPr>
            </w:pPr>
            <w:r>
              <w:rPr>
                <w:rFonts w:ascii="Times New Roman" w:eastAsia="Arial Unicode MS" w:hAnsi="Times New Roman" w:cs="Times New Roman"/>
                <w:color w:val="000000"/>
                <w:sz w:val="28"/>
                <w:szCs w:val="28"/>
                <w:lang w:val="uk-UA" w:eastAsia="ru-RU"/>
              </w:rPr>
              <w:t>Шкала А (рухова активність)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69C7" w:rsidRDefault="001169C7">
            <w:pPr>
              <w:spacing w:after="0" w:line="360" w:lineRule="auto"/>
              <w:rPr>
                <w:rFonts w:ascii="Times New Roman" w:eastAsia="Arial Unicode MS" w:hAnsi="Times New Roman" w:cs="Times New Roman"/>
                <w:color w:val="000000"/>
                <w:sz w:val="28"/>
                <w:szCs w:val="28"/>
                <w:lang w:val="uk-UA" w:eastAsia="ru-RU"/>
              </w:rPr>
            </w:pPr>
            <w:r>
              <w:rPr>
                <w:rFonts w:ascii="Times New Roman" w:eastAsia="Arial Unicode MS" w:hAnsi="Times New Roman" w:cs="Times New Roman"/>
                <w:color w:val="000000"/>
                <w:sz w:val="28"/>
                <w:szCs w:val="28"/>
                <w:lang w:val="uk-UA" w:eastAsia="ru-RU"/>
              </w:rPr>
              <w:t>Шкала Р</w:t>
            </w:r>
          </w:p>
          <w:p w:rsidR="001169C7" w:rsidRDefault="001169C7">
            <w:pPr>
              <w:spacing w:after="0" w:line="360" w:lineRule="auto"/>
              <w:rPr>
                <w:rFonts w:ascii="Times New Roman" w:eastAsia="Arial Unicode MS" w:hAnsi="Times New Roman" w:cs="Times New Roman"/>
                <w:color w:val="000000"/>
                <w:sz w:val="28"/>
                <w:szCs w:val="28"/>
                <w:lang w:val="uk-UA" w:eastAsia="ru-RU"/>
              </w:rPr>
            </w:pPr>
            <w:r>
              <w:rPr>
                <w:rFonts w:ascii="Times New Roman" w:eastAsia="Arial Unicode MS" w:hAnsi="Times New Roman" w:cs="Times New Roman"/>
                <w:color w:val="000000"/>
                <w:sz w:val="28"/>
                <w:szCs w:val="28"/>
                <w:lang w:val="uk-UA" w:eastAsia="ru-RU"/>
              </w:rPr>
              <w:t>(режим дня)</w:t>
            </w:r>
          </w:p>
        </w:tc>
        <w:tc>
          <w:tcPr>
            <w:tcW w:w="1814" w:type="dxa"/>
            <w:tcBorders>
              <w:top w:val="single" w:sz="4" w:space="0" w:color="auto"/>
              <w:left w:val="single" w:sz="4" w:space="0" w:color="auto"/>
              <w:bottom w:val="single" w:sz="4" w:space="0" w:color="auto"/>
              <w:right w:val="single" w:sz="4" w:space="0" w:color="auto"/>
            </w:tcBorders>
            <w:vAlign w:val="center"/>
            <w:hideMark/>
          </w:tcPr>
          <w:p w:rsidR="001169C7" w:rsidRDefault="001169C7">
            <w:pPr>
              <w:spacing w:after="0" w:line="360" w:lineRule="auto"/>
              <w:rPr>
                <w:rFonts w:ascii="Times New Roman" w:eastAsia="Arial Unicode MS" w:hAnsi="Times New Roman" w:cs="Times New Roman"/>
                <w:color w:val="000000"/>
                <w:sz w:val="28"/>
                <w:szCs w:val="28"/>
                <w:lang w:val="uk-UA" w:eastAsia="ru-RU"/>
              </w:rPr>
            </w:pPr>
            <w:r>
              <w:rPr>
                <w:rFonts w:ascii="Times New Roman" w:eastAsia="Arial Unicode MS" w:hAnsi="Times New Roman" w:cs="Times New Roman"/>
                <w:color w:val="000000"/>
                <w:sz w:val="28"/>
                <w:szCs w:val="28"/>
                <w:lang w:val="uk-UA" w:eastAsia="ru-RU"/>
              </w:rPr>
              <w:t>Шкала Х (харчування)</w:t>
            </w:r>
          </w:p>
        </w:tc>
        <w:tc>
          <w:tcPr>
            <w:tcW w:w="1729" w:type="dxa"/>
            <w:tcBorders>
              <w:top w:val="single" w:sz="4" w:space="0" w:color="auto"/>
              <w:left w:val="single" w:sz="4" w:space="0" w:color="auto"/>
              <w:bottom w:val="single" w:sz="4" w:space="0" w:color="auto"/>
              <w:right w:val="single" w:sz="4" w:space="0" w:color="auto"/>
            </w:tcBorders>
            <w:vAlign w:val="center"/>
            <w:hideMark/>
          </w:tcPr>
          <w:p w:rsidR="001169C7" w:rsidRDefault="001169C7">
            <w:pPr>
              <w:spacing w:after="0" w:line="360" w:lineRule="auto"/>
              <w:rPr>
                <w:rFonts w:ascii="Times New Roman" w:eastAsia="Arial Unicode MS" w:hAnsi="Times New Roman" w:cs="Times New Roman"/>
                <w:color w:val="000000"/>
                <w:sz w:val="28"/>
                <w:szCs w:val="28"/>
                <w:lang w:val="uk-UA" w:eastAsia="ru-RU"/>
              </w:rPr>
            </w:pPr>
            <w:r>
              <w:rPr>
                <w:rFonts w:ascii="Times New Roman" w:eastAsia="Arial Unicode MS" w:hAnsi="Times New Roman" w:cs="Times New Roman"/>
                <w:color w:val="000000"/>
                <w:sz w:val="28"/>
                <w:szCs w:val="28"/>
                <w:lang w:val="uk-UA" w:eastAsia="ru-RU"/>
              </w:rPr>
              <w:t>Шкала Г (особиста гігієна)</w:t>
            </w:r>
          </w:p>
        </w:tc>
      </w:tr>
      <w:tr w:rsidR="001169C7" w:rsidTr="001169C7">
        <w:trPr>
          <w:trHeight w:val="457"/>
        </w:trPr>
        <w:tc>
          <w:tcPr>
            <w:tcW w:w="1413" w:type="dxa"/>
            <w:tcBorders>
              <w:top w:val="single" w:sz="4" w:space="0" w:color="auto"/>
              <w:left w:val="single" w:sz="4" w:space="0" w:color="auto"/>
              <w:bottom w:val="single" w:sz="4" w:space="0" w:color="auto"/>
              <w:right w:val="single" w:sz="4" w:space="0" w:color="auto"/>
            </w:tcBorders>
            <w:vAlign w:val="center"/>
            <w:hideMark/>
          </w:tcPr>
          <w:p w:rsidR="001169C7" w:rsidRDefault="001169C7">
            <w:pPr>
              <w:spacing w:after="0" w:line="360" w:lineRule="auto"/>
              <w:jc w:val="center"/>
              <w:rPr>
                <w:rFonts w:ascii="Times New Roman" w:eastAsia="Arial Unicode MS" w:hAnsi="Times New Roman" w:cs="Times New Roman"/>
                <w:color w:val="000000"/>
                <w:sz w:val="28"/>
                <w:szCs w:val="28"/>
                <w:lang w:val="uk-UA" w:eastAsia="ru-RU"/>
              </w:rPr>
            </w:pPr>
            <w:r>
              <w:rPr>
                <w:rFonts w:ascii="Times New Roman" w:eastAsia="Arial Unicode MS" w:hAnsi="Times New Roman" w:cs="Times New Roman"/>
                <w:color w:val="000000"/>
                <w:sz w:val="28"/>
                <w:szCs w:val="28"/>
                <w:lang w:val="en-US" w:eastAsia="ru-RU"/>
              </w:rPr>
              <w:t>I</w:t>
            </w:r>
            <w:r>
              <w:rPr>
                <w:rFonts w:ascii="Times New Roman" w:eastAsia="Arial Unicode MS" w:hAnsi="Times New Roman" w:cs="Times New Roman"/>
                <w:color w:val="000000"/>
                <w:sz w:val="28"/>
                <w:szCs w:val="28"/>
                <w:lang w:val="uk-UA" w:eastAsia="ru-RU"/>
              </w:rPr>
              <w:t xml:space="preserve"> група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69C7" w:rsidRDefault="001169C7">
            <w:pPr>
              <w:spacing w:after="0" w:line="360" w:lineRule="auto"/>
              <w:rPr>
                <w:rFonts w:ascii="Times New Roman" w:eastAsia="Arial Unicode MS" w:hAnsi="Times New Roman" w:cs="Times New Roman"/>
                <w:color w:val="000000"/>
                <w:sz w:val="28"/>
                <w:szCs w:val="28"/>
                <w:lang w:val="uk-UA" w:eastAsia="ru-RU"/>
              </w:rPr>
            </w:pPr>
            <w:r>
              <w:rPr>
                <w:rFonts w:ascii="Times New Roman" w:eastAsia="Arial Unicode MS" w:hAnsi="Times New Roman" w:cs="Times New Roman"/>
                <w:color w:val="000000"/>
                <w:sz w:val="28"/>
                <w:szCs w:val="28"/>
                <w:lang w:val="en-US" w:eastAsia="ru-RU"/>
              </w:rPr>
              <w:t>16</w:t>
            </w:r>
            <w:r>
              <w:rPr>
                <w:rFonts w:ascii="Times New Roman" w:eastAsia="Arial Unicode MS" w:hAnsi="Times New Roman" w:cs="Times New Roman"/>
                <w:color w:val="000000"/>
                <w:sz w:val="28"/>
                <w:szCs w:val="28"/>
                <w:lang w:val="uk-UA" w:eastAsia="ru-RU"/>
              </w:rPr>
              <w:t>,</w:t>
            </w:r>
            <w:r>
              <w:rPr>
                <w:rFonts w:ascii="Times New Roman" w:eastAsia="Arial Unicode MS" w:hAnsi="Times New Roman" w:cs="Times New Roman"/>
                <w:color w:val="000000"/>
                <w:sz w:val="28"/>
                <w:szCs w:val="28"/>
                <w:lang w:val="en-US" w:eastAsia="ru-RU"/>
              </w:rPr>
              <w:t>14</w:t>
            </w:r>
            <w:r>
              <w:rPr>
                <w:rFonts w:ascii="Times New Roman" w:eastAsia="Arial Unicode MS" w:hAnsi="Times New Roman" w:cs="Times New Roman"/>
                <w:color w:val="000000"/>
                <w:sz w:val="28"/>
                <w:szCs w:val="28"/>
                <w:lang w:val="uk-UA" w:eastAsia="ru-RU"/>
              </w:rPr>
              <w:t>±0,40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69C7" w:rsidRDefault="001169C7">
            <w:pPr>
              <w:spacing w:after="0" w:line="360" w:lineRule="auto"/>
              <w:rPr>
                <w:rFonts w:ascii="Times New Roman" w:eastAsia="Arial Unicode MS" w:hAnsi="Times New Roman" w:cs="Times New Roman"/>
                <w:color w:val="000000"/>
                <w:sz w:val="28"/>
                <w:szCs w:val="28"/>
                <w:lang w:val="uk-UA" w:eastAsia="ru-RU"/>
              </w:rPr>
            </w:pPr>
            <w:r>
              <w:rPr>
                <w:rFonts w:ascii="Times New Roman" w:eastAsia="Arial Unicode MS" w:hAnsi="Times New Roman" w:cs="Times New Roman"/>
                <w:color w:val="000000"/>
                <w:sz w:val="28"/>
                <w:szCs w:val="28"/>
                <w:lang w:val="uk-UA" w:eastAsia="ru-RU"/>
              </w:rPr>
              <w:t>11,24±0,68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69C7" w:rsidRDefault="001169C7">
            <w:pPr>
              <w:spacing w:after="0" w:line="360" w:lineRule="auto"/>
              <w:rPr>
                <w:rFonts w:ascii="Times New Roman" w:eastAsia="Arial Unicode MS" w:hAnsi="Times New Roman" w:cs="Times New Roman"/>
                <w:color w:val="000000"/>
                <w:sz w:val="28"/>
                <w:szCs w:val="28"/>
                <w:lang w:val="uk-UA" w:eastAsia="ru-RU"/>
              </w:rPr>
            </w:pPr>
            <w:r>
              <w:rPr>
                <w:rFonts w:ascii="Times New Roman" w:eastAsia="Arial Unicode MS" w:hAnsi="Times New Roman" w:cs="Times New Roman"/>
                <w:color w:val="000000"/>
                <w:sz w:val="28"/>
                <w:szCs w:val="28"/>
                <w:lang w:val="uk-UA" w:eastAsia="ru-RU"/>
              </w:rPr>
              <w:t>11,59±0,83</w:t>
            </w:r>
          </w:p>
        </w:tc>
        <w:tc>
          <w:tcPr>
            <w:tcW w:w="1814" w:type="dxa"/>
            <w:tcBorders>
              <w:top w:val="single" w:sz="4" w:space="0" w:color="auto"/>
              <w:left w:val="single" w:sz="4" w:space="0" w:color="auto"/>
              <w:bottom w:val="single" w:sz="4" w:space="0" w:color="auto"/>
              <w:right w:val="single" w:sz="4" w:space="0" w:color="auto"/>
            </w:tcBorders>
            <w:vAlign w:val="center"/>
            <w:hideMark/>
          </w:tcPr>
          <w:p w:rsidR="001169C7" w:rsidRDefault="001169C7">
            <w:pPr>
              <w:spacing w:after="0" w:line="360" w:lineRule="auto"/>
              <w:rPr>
                <w:rFonts w:ascii="Times New Roman" w:eastAsia="Arial Unicode MS" w:hAnsi="Times New Roman" w:cs="Times New Roman"/>
                <w:color w:val="000000"/>
                <w:sz w:val="28"/>
                <w:szCs w:val="28"/>
                <w:lang w:val="uk-UA" w:eastAsia="ru-RU"/>
              </w:rPr>
            </w:pPr>
            <w:r>
              <w:rPr>
                <w:rFonts w:ascii="Times New Roman" w:eastAsia="Arial Unicode MS" w:hAnsi="Times New Roman" w:cs="Times New Roman"/>
                <w:color w:val="000000"/>
                <w:sz w:val="28"/>
                <w:szCs w:val="28"/>
                <w:lang w:val="uk-UA" w:eastAsia="ru-RU"/>
              </w:rPr>
              <w:t>12,48±0,76</w:t>
            </w:r>
          </w:p>
        </w:tc>
        <w:tc>
          <w:tcPr>
            <w:tcW w:w="1729" w:type="dxa"/>
            <w:tcBorders>
              <w:top w:val="single" w:sz="4" w:space="0" w:color="auto"/>
              <w:left w:val="single" w:sz="4" w:space="0" w:color="auto"/>
              <w:bottom w:val="single" w:sz="4" w:space="0" w:color="auto"/>
              <w:right w:val="single" w:sz="4" w:space="0" w:color="auto"/>
            </w:tcBorders>
            <w:vAlign w:val="center"/>
            <w:hideMark/>
          </w:tcPr>
          <w:p w:rsidR="001169C7" w:rsidRDefault="001169C7">
            <w:pPr>
              <w:spacing w:after="0" w:line="360" w:lineRule="auto"/>
              <w:rPr>
                <w:rFonts w:ascii="Times New Roman" w:eastAsia="Arial Unicode MS" w:hAnsi="Times New Roman" w:cs="Times New Roman"/>
                <w:color w:val="000000"/>
                <w:sz w:val="28"/>
                <w:szCs w:val="28"/>
                <w:lang w:val="uk-UA" w:eastAsia="ru-RU"/>
              </w:rPr>
            </w:pPr>
            <w:r>
              <w:rPr>
                <w:rFonts w:ascii="Times New Roman" w:eastAsia="Arial Unicode MS" w:hAnsi="Times New Roman" w:cs="Times New Roman"/>
                <w:color w:val="000000"/>
                <w:sz w:val="28"/>
                <w:szCs w:val="28"/>
                <w:lang w:val="uk-UA" w:eastAsia="ru-RU"/>
              </w:rPr>
              <w:t>14,28±0,58</w:t>
            </w:r>
          </w:p>
        </w:tc>
      </w:tr>
      <w:tr w:rsidR="001169C7" w:rsidTr="001169C7">
        <w:trPr>
          <w:trHeight w:val="690"/>
        </w:trPr>
        <w:tc>
          <w:tcPr>
            <w:tcW w:w="1413" w:type="dxa"/>
            <w:tcBorders>
              <w:top w:val="single" w:sz="4" w:space="0" w:color="auto"/>
              <w:left w:val="single" w:sz="4" w:space="0" w:color="auto"/>
              <w:bottom w:val="single" w:sz="4" w:space="0" w:color="auto"/>
              <w:right w:val="single" w:sz="4" w:space="0" w:color="auto"/>
            </w:tcBorders>
            <w:vAlign w:val="center"/>
            <w:hideMark/>
          </w:tcPr>
          <w:p w:rsidR="001169C7" w:rsidRDefault="001169C7">
            <w:pPr>
              <w:spacing w:after="0" w:line="360" w:lineRule="auto"/>
              <w:jc w:val="center"/>
              <w:rPr>
                <w:rFonts w:ascii="Times New Roman" w:eastAsia="Arial Unicode MS" w:hAnsi="Times New Roman" w:cs="Times New Roman"/>
                <w:color w:val="000000"/>
                <w:sz w:val="28"/>
                <w:szCs w:val="28"/>
                <w:lang w:val="uk-UA" w:eastAsia="ru-RU"/>
              </w:rPr>
            </w:pPr>
            <w:r>
              <w:rPr>
                <w:rFonts w:ascii="Times New Roman" w:eastAsia="Arial Unicode MS" w:hAnsi="Times New Roman" w:cs="Times New Roman"/>
                <w:color w:val="000000"/>
                <w:sz w:val="28"/>
                <w:szCs w:val="28"/>
                <w:lang w:val="en-US" w:eastAsia="ru-RU"/>
              </w:rPr>
              <w:t>II</w:t>
            </w:r>
            <w:r>
              <w:rPr>
                <w:rFonts w:ascii="Times New Roman" w:eastAsia="Arial Unicode MS" w:hAnsi="Times New Roman" w:cs="Times New Roman"/>
                <w:color w:val="000000"/>
                <w:sz w:val="28"/>
                <w:szCs w:val="28"/>
                <w:lang w:val="uk-UA" w:eastAsia="ru-RU"/>
              </w:rPr>
              <w:t xml:space="preserve"> група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69C7" w:rsidRDefault="001169C7">
            <w:pPr>
              <w:spacing w:after="0" w:line="360" w:lineRule="auto"/>
              <w:rPr>
                <w:rFonts w:ascii="Times New Roman" w:eastAsia="Arial Unicode MS" w:hAnsi="Times New Roman" w:cs="Times New Roman"/>
                <w:color w:val="000000"/>
                <w:sz w:val="28"/>
                <w:szCs w:val="28"/>
                <w:lang w:val="uk-UA" w:eastAsia="ru-RU"/>
              </w:rPr>
            </w:pPr>
            <w:r>
              <w:rPr>
                <w:rFonts w:ascii="Times New Roman" w:eastAsia="Arial Unicode MS" w:hAnsi="Times New Roman" w:cs="Times New Roman"/>
                <w:color w:val="000000"/>
                <w:sz w:val="28"/>
                <w:szCs w:val="28"/>
                <w:lang w:val="uk-UA" w:eastAsia="ru-RU"/>
              </w:rPr>
              <w:t>15,11±0,48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69C7" w:rsidRDefault="001169C7">
            <w:pPr>
              <w:spacing w:after="0" w:line="360" w:lineRule="auto"/>
              <w:rPr>
                <w:rFonts w:ascii="Times New Roman" w:eastAsia="Arial Unicode MS" w:hAnsi="Times New Roman" w:cs="Times New Roman"/>
                <w:color w:val="000000"/>
                <w:sz w:val="28"/>
                <w:szCs w:val="28"/>
                <w:lang w:val="uk-UA" w:eastAsia="ru-RU"/>
              </w:rPr>
            </w:pPr>
            <w:r>
              <w:rPr>
                <w:rFonts w:ascii="Times New Roman" w:eastAsia="Arial Unicode MS" w:hAnsi="Times New Roman" w:cs="Times New Roman"/>
                <w:color w:val="000000"/>
                <w:sz w:val="28"/>
                <w:szCs w:val="28"/>
                <w:lang w:val="uk-UA" w:eastAsia="ru-RU"/>
              </w:rPr>
              <w:t>9,0±0,44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69C7" w:rsidRDefault="001169C7">
            <w:pPr>
              <w:spacing w:after="0" w:line="360" w:lineRule="auto"/>
              <w:rPr>
                <w:rFonts w:ascii="Times New Roman" w:eastAsia="Arial Unicode MS" w:hAnsi="Times New Roman" w:cs="Times New Roman"/>
                <w:color w:val="000000"/>
                <w:sz w:val="28"/>
                <w:szCs w:val="28"/>
                <w:lang w:val="uk-UA" w:eastAsia="ru-RU"/>
              </w:rPr>
            </w:pPr>
            <w:r>
              <w:rPr>
                <w:rFonts w:ascii="Times New Roman" w:eastAsia="Arial Unicode MS" w:hAnsi="Times New Roman" w:cs="Times New Roman"/>
                <w:color w:val="000000"/>
                <w:sz w:val="28"/>
                <w:szCs w:val="28"/>
                <w:lang w:val="uk-UA" w:eastAsia="ru-RU"/>
              </w:rPr>
              <w:t>9,68±0,40</w:t>
            </w:r>
          </w:p>
        </w:tc>
        <w:tc>
          <w:tcPr>
            <w:tcW w:w="1814" w:type="dxa"/>
            <w:tcBorders>
              <w:top w:val="single" w:sz="4" w:space="0" w:color="auto"/>
              <w:left w:val="single" w:sz="4" w:space="0" w:color="auto"/>
              <w:bottom w:val="single" w:sz="4" w:space="0" w:color="auto"/>
              <w:right w:val="single" w:sz="4" w:space="0" w:color="auto"/>
            </w:tcBorders>
            <w:vAlign w:val="center"/>
            <w:hideMark/>
          </w:tcPr>
          <w:p w:rsidR="001169C7" w:rsidRDefault="001169C7">
            <w:pPr>
              <w:spacing w:after="0" w:line="360" w:lineRule="auto"/>
              <w:rPr>
                <w:rFonts w:ascii="Times New Roman" w:eastAsia="Arial Unicode MS" w:hAnsi="Times New Roman" w:cs="Times New Roman"/>
                <w:color w:val="000000"/>
                <w:sz w:val="28"/>
                <w:szCs w:val="28"/>
                <w:lang w:val="uk-UA" w:eastAsia="ru-RU"/>
              </w:rPr>
            </w:pPr>
            <w:r>
              <w:rPr>
                <w:rFonts w:ascii="Times New Roman" w:eastAsia="Arial Unicode MS" w:hAnsi="Times New Roman" w:cs="Times New Roman"/>
                <w:color w:val="000000"/>
                <w:sz w:val="28"/>
                <w:szCs w:val="28"/>
                <w:lang w:val="uk-UA" w:eastAsia="ru-RU"/>
              </w:rPr>
              <w:t>11,89±0,47</w:t>
            </w:r>
          </w:p>
        </w:tc>
        <w:tc>
          <w:tcPr>
            <w:tcW w:w="1729" w:type="dxa"/>
            <w:tcBorders>
              <w:top w:val="single" w:sz="4" w:space="0" w:color="auto"/>
              <w:left w:val="single" w:sz="4" w:space="0" w:color="auto"/>
              <w:bottom w:val="single" w:sz="4" w:space="0" w:color="auto"/>
              <w:right w:val="single" w:sz="4" w:space="0" w:color="auto"/>
            </w:tcBorders>
            <w:vAlign w:val="center"/>
            <w:hideMark/>
          </w:tcPr>
          <w:p w:rsidR="001169C7" w:rsidRDefault="001169C7">
            <w:pPr>
              <w:spacing w:after="0" w:line="360" w:lineRule="auto"/>
              <w:rPr>
                <w:rFonts w:ascii="Times New Roman" w:eastAsia="Arial Unicode MS" w:hAnsi="Times New Roman" w:cs="Times New Roman"/>
                <w:color w:val="000000"/>
                <w:sz w:val="28"/>
                <w:szCs w:val="28"/>
                <w:lang w:val="uk-UA" w:eastAsia="ru-RU"/>
              </w:rPr>
            </w:pPr>
            <w:r>
              <w:rPr>
                <w:rFonts w:ascii="Times New Roman" w:eastAsia="Arial Unicode MS" w:hAnsi="Times New Roman" w:cs="Times New Roman"/>
                <w:color w:val="000000"/>
                <w:sz w:val="28"/>
                <w:szCs w:val="28"/>
                <w:lang w:val="uk-UA" w:eastAsia="ru-RU"/>
              </w:rPr>
              <w:t>15,0±0,48</w:t>
            </w:r>
          </w:p>
        </w:tc>
      </w:tr>
      <w:tr w:rsidR="001169C7" w:rsidTr="001169C7">
        <w:trPr>
          <w:trHeight w:val="690"/>
        </w:trPr>
        <w:tc>
          <w:tcPr>
            <w:tcW w:w="1413" w:type="dxa"/>
            <w:tcBorders>
              <w:top w:val="single" w:sz="4" w:space="0" w:color="auto"/>
              <w:left w:val="single" w:sz="4" w:space="0" w:color="auto"/>
              <w:bottom w:val="single" w:sz="4" w:space="0" w:color="auto"/>
              <w:right w:val="single" w:sz="4" w:space="0" w:color="auto"/>
            </w:tcBorders>
            <w:vAlign w:val="center"/>
            <w:hideMark/>
          </w:tcPr>
          <w:p w:rsidR="001169C7" w:rsidRDefault="001169C7">
            <w:pPr>
              <w:spacing w:after="0" w:line="360" w:lineRule="auto"/>
              <w:jc w:val="center"/>
              <w:rPr>
                <w:rFonts w:ascii="Times New Roman" w:eastAsia="Arial Unicode MS" w:hAnsi="Times New Roman" w:cs="Times New Roman"/>
                <w:color w:val="000000"/>
                <w:sz w:val="28"/>
                <w:szCs w:val="28"/>
                <w:lang w:val="uk-UA" w:eastAsia="ru-RU"/>
              </w:rPr>
            </w:pPr>
            <w:r>
              <w:rPr>
                <w:rFonts w:ascii="Times New Roman" w:eastAsia="Arial Unicode MS" w:hAnsi="Times New Roman" w:cs="Times New Roman"/>
                <w:color w:val="000000"/>
                <w:sz w:val="28"/>
                <w:szCs w:val="28"/>
                <w:lang w:val="en-US" w:eastAsia="ru-RU"/>
              </w:rPr>
              <w:lastRenderedPageBreak/>
              <w:t>III</w:t>
            </w:r>
            <w:r>
              <w:rPr>
                <w:rFonts w:ascii="Times New Roman" w:eastAsia="Arial Unicode MS" w:hAnsi="Times New Roman" w:cs="Times New Roman"/>
                <w:color w:val="000000"/>
                <w:sz w:val="28"/>
                <w:szCs w:val="28"/>
                <w:lang w:val="uk-UA" w:eastAsia="ru-RU"/>
              </w:rPr>
              <w:t xml:space="preserve"> група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69C7" w:rsidRDefault="001169C7">
            <w:pPr>
              <w:spacing w:after="0" w:line="360" w:lineRule="auto"/>
              <w:rPr>
                <w:rFonts w:ascii="Times New Roman" w:eastAsia="Arial Unicode MS" w:hAnsi="Times New Roman" w:cs="Times New Roman"/>
                <w:color w:val="000000"/>
                <w:sz w:val="28"/>
                <w:szCs w:val="28"/>
                <w:lang w:val="uk-UA" w:eastAsia="ru-RU"/>
              </w:rPr>
            </w:pPr>
            <w:r>
              <w:rPr>
                <w:rFonts w:ascii="Times New Roman" w:eastAsia="Arial Unicode MS" w:hAnsi="Times New Roman" w:cs="Times New Roman"/>
                <w:color w:val="000000"/>
                <w:sz w:val="28"/>
                <w:szCs w:val="28"/>
                <w:lang w:val="uk-UA" w:eastAsia="ru-RU"/>
              </w:rPr>
              <w:t>14,90± 0,51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69C7" w:rsidRDefault="001169C7">
            <w:pPr>
              <w:spacing w:after="0" w:line="360" w:lineRule="auto"/>
              <w:rPr>
                <w:rFonts w:ascii="Times New Roman" w:eastAsia="Arial Unicode MS" w:hAnsi="Times New Roman" w:cs="Times New Roman"/>
                <w:color w:val="000000"/>
                <w:sz w:val="28"/>
                <w:szCs w:val="28"/>
                <w:lang w:val="uk-UA" w:eastAsia="ru-RU"/>
              </w:rPr>
            </w:pPr>
            <w:r>
              <w:rPr>
                <w:rFonts w:ascii="Times New Roman" w:eastAsia="Arial Unicode MS" w:hAnsi="Times New Roman" w:cs="Times New Roman"/>
                <w:color w:val="000000"/>
                <w:sz w:val="28"/>
                <w:szCs w:val="28"/>
                <w:lang w:val="uk-UA" w:eastAsia="ru-RU"/>
              </w:rPr>
              <w:t>8,95± 0,47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69C7" w:rsidRDefault="001169C7">
            <w:pPr>
              <w:spacing w:after="0" w:line="360" w:lineRule="auto"/>
              <w:rPr>
                <w:rFonts w:ascii="Times New Roman" w:eastAsia="Arial Unicode MS" w:hAnsi="Times New Roman" w:cs="Times New Roman"/>
                <w:color w:val="000000"/>
                <w:sz w:val="28"/>
                <w:szCs w:val="28"/>
                <w:lang w:val="uk-UA" w:eastAsia="ru-RU"/>
              </w:rPr>
            </w:pPr>
            <w:r>
              <w:rPr>
                <w:rFonts w:ascii="Times New Roman" w:eastAsia="Arial Unicode MS" w:hAnsi="Times New Roman" w:cs="Times New Roman"/>
                <w:color w:val="000000"/>
                <w:sz w:val="28"/>
                <w:szCs w:val="28"/>
                <w:lang w:val="uk-UA" w:eastAsia="ru-RU"/>
              </w:rPr>
              <w:t>10,57±0,52</w:t>
            </w:r>
          </w:p>
        </w:tc>
        <w:tc>
          <w:tcPr>
            <w:tcW w:w="1814" w:type="dxa"/>
            <w:tcBorders>
              <w:top w:val="single" w:sz="4" w:space="0" w:color="auto"/>
              <w:left w:val="single" w:sz="4" w:space="0" w:color="auto"/>
              <w:bottom w:val="single" w:sz="4" w:space="0" w:color="auto"/>
              <w:right w:val="single" w:sz="4" w:space="0" w:color="auto"/>
            </w:tcBorders>
            <w:vAlign w:val="center"/>
            <w:hideMark/>
          </w:tcPr>
          <w:p w:rsidR="001169C7" w:rsidRDefault="001169C7">
            <w:pPr>
              <w:spacing w:after="0" w:line="360" w:lineRule="auto"/>
              <w:rPr>
                <w:rFonts w:ascii="Times New Roman" w:eastAsia="Arial Unicode MS" w:hAnsi="Times New Roman" w:cs="Times New Roman"/>
                <w:color w:val="000000"/>
                <w:sz w:val="28"/>
                <w:szCs w:val="28"/>
                <w:lang w:val="uk-UA" w:eastAsia="ru-RU"/>
              </w:rPr>
            </w:pPr>
            <w:r>
              <w:rPr>
                <w:rFonts w:ascii="Times New Roman" w:eastAsia="Arial Unicode MS" w:hAnsi="Times New Roman" w:cs="Times New Roman"/>
                <w:color w:val="000000"/>
                <w:sz w:val="28"/>
                <w:szCs w:val="28"/>
                <w:lang w:val="uk-UA" w:eastAsia="ru-RU"/>
              </w:rPr>
              <w:t>10,57±0,50</w:t>
            </w:r>
          </w:p>
        </w:tc>
        <w:tc>
          <w:tcPr>
            <w:tcW w:w="1729" w:type="dxa"/>
            <w:tcBorders>
              <w:top w:val="single" w:sz="4" w:space="0" w:color="auto"/>
              <w:left w:val="single" w:sz="4" w:space="0" w:color="auto"/>
              <w:bottom w:val="single" w:sz="4" w:space="0" w:color="auto"/>
              <w:right w:val="single" w:sz="4" w:space="0" w:color="auto"/>
            </w:tcBorders>
            <w:vAlign w:val="center"/>
            <w:hideMark/>
          </w:tcPr>
          <w:p w:rsidR="001169C7" w:rsidRDefault="001169C7">
            <w:pPr>
              <w:spacing w:after="0" w:line="360" w:lineRule="auto"/>
              <w:rPr>
                <w:rFonts w:ascii="Times New Roman" w:eastAsia="Arial Unicode MS" w:hAnsi="Times New Roman" w:cs="Times New Roman"/>
                <w:color w:val="000000"/>
                <w:sz w:val="28"/>
                <w:szCs w:val="28"/>
                <w:lang w:val="uk-UA" w:eastAsia="ru-RU"/>
              </w:rPr>
            </w:pPr>
            <w:r>
              <w:rPr>
                <w:rFonts w:ascii="Times New Roman" w:eastAsia="Arial Unicode MS" w:hAnsi="Times New Roman" w:cs="Times New Roman"/>
                <w:color w:val="000000"/>
                <w:sz w:val="28"/>
                <w:szCs w:val="28"/>
                <w:lang w:val="uk-UA" w:eastAsia="ru-RU"/>
              </w:rPr>
              <w:t>13,57±0,58</w:t>
            </w:r>
          </w:p>
        </w:tc>
      </w:tr>
      <w:tr w:rsidR="001169C7" w:rsidTr="001169C7">
        <w:trPr>
          <w:trHeight w:val="206"/>
        </w:trPr>
        <w:tc>
          <w:tcPr>
            <w:tcW w:w="1413" w:type="dxa"/>
            <w:tcBorders>
              <w:top w:val="single" w:sz="4" w:space="0" w:color="auto"/>
              <w:left w:val="single" w:sz="4" w:space="0" w:color="auto"/>
              <w:bottom w:val="single" w:sz="4" w:space="0" w:color="auto"/>
              <w:right w:val="single" w:sz="4" w:space="0" w:color="auto"/>
            </w:tcBorders>
            <w:vAlign w:val="center"/>
            <w:hideMark/>
          </w:tcPr>
          <w:p w:rsidR="001169C7" w:rsidRDefault="001169C7">
            <w:pPr>
              <w:spacing w:after="0" w:line="360" w:lineRule="auto"/>
              <w:ind w:firstLine="709"/>
              <w:jc w:val="center"/>
              <w:rPr>
                <w:rFonts w:ascii="Times New Roman" w:eastAsia="Arial Unicode MS" w:hAnsi="Times New Roman" w:cs="Times New Roman"/>
                <w:color w:val="000000"/>
                <w:sz w:val="28"/>
                <w:szCs w:val="28"/>
                <w:lang w:val="uk-UA" w:eastAsia="ru-RU"/>
              </w:rPr>
            </w:pPr>
            <w:r>
              <w:rPr>
                <w:rFonts w:ascii="Times New Roman" w:eastAsia="Arial Unicode MS" w:hAnsi="Times New Roman" w:cs="Times New Roman"/>
                <w:color w:val="000000"/>
                <w:sz w:val="28"/>
                <w:szCs w:val="28"/>
                <w:lang w:val="en-US" w:eastAsia="ru-RU"/>
              </w:rPr>
              <w:t>p</w:t>
            </w:r>
            <w:r>
              <w:rPr>
                <w:rFonts w:ascii="Times New Roman" w:eastAsia="Arial Unicode MS" w:hAnsi="Times New Roman" w:cs="Times New Roman"/>
                <w:color w:val="000000"/>
                <w:sz w:val="28"/>
                <w:szCs w:val="28"/>
                <w:vertAlign w:val="subscript"/>
                <w:lang w:val="uk-UA" w:eastAsia="ru-RU"/>
              </w:rPr>
              <w:t>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69C7" w:rsidRDefault="001169C7">
            <w:pPr>
              <w:spacing w:after="0" w:line="360" w:lineRule="auto"/>
              <w:ind w:firstLine="709"/>
              <w:jc w:val="center"/>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&gt;0,05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69C7" w:rsidRDefault="001169C7">
            <w:pPr>
              <w:spacing w:after="0" w:line="360" w:lineRule="auto"/>
              <w:ind w:firstLine="709"/>
              <w:jc w:val="center"/>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&lt;0,01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69C7" w:rsidRDefault="001169C7">
            <w:pPr>
              <w:spacing w:after="0" w:line="360" w:lineRule="auto"/>
              <w:ind w:firstLine="709"/>
              <w:jc w:val="center"/>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&lt;0,05</w:t>
            </w:r>
          </w:p>
        </w:tc>
        <w:tc>
          <w:tcPr>
            <w:tcW w:w="1814" w:type="dxa"/>
            <w:tcBorders>
              <w:top w:val="single" w:sz="4" w:space="0" w:color="auto"/>
              <w:left w:val="single" w:sz="4" w:space="0" w:color="auto"/>
              <w:bottom w:val="single" w:sz="4" w:space="0" w:color="auto"/>
              <w:right w:val="single" w:sz="4" w:space="0" w:color="auto"/>
            </w:tcBorders>
            <w:vAlign w:val="center"/>
            <w:hideMark/>
          </w:tcPr>
          <w:p w:rsidR="001169C7" w:rsidRDefault="001169C7">
            <w:pPr>
              <w:spacing w:after="0" w:line="360" w:lineRule="auto"/>
              <w:ind w:firstLine="709"/>
              <w:jc w:val="center"/>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&gt;0,05</w:t>
            </w:r>
          </w:p>
        </w:tc>
        <w:tc>
          <w:tcPr>
            <w:tcW w:w="1729" w:type="dxa"/>
            <w:tcBorders>
              <w:top w:val="single" w:sz="4" w:space="0" w:color="auto"/>
              <w:left w:val="single" w:sz="4" w:space="0" w:color="auto"/>
              <w:bottom w:val="single" w:sz="4" w:space="0" w:color="auto"/>
              <w:right w:val="single" w:sz="4" w:space="0" w:color="auto"/>
            </w:tcBorders>
            <w:vAlign w:val="center"/>
            <w:hideMark/>
          </w:tcPr>
          <w:p w:rsidR="001169C7" w:rsidRDefault="001169C7">
            <w:pPr>
              <w:spacing w:after="0" w:line="360" w:lineRule="auto"/>
              <w:ind w:firstLine="709"/>
              <w:jc w:val="center"/>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&gt;0,05</w:t>
            </w:r>
          </w:p>
        </w:tc>
      </w:tr>
      <w:tr w:rsidR="001169C7" w:rsidTr="001169C7">
        <w:trPr>
          <w:trHeight w:val="206"/>
        </w:trPr>
        <w:tc>
          <w:tcPr>
            <w:tcW w:w="1413" w:type="dxa"/>
            <w:tcBorders>
              <w:top w:val="single" w:sz="4" w:space="0" w:color="auto"/>
              <w:left w:val="single" w:sz="4" w:space="0" w:color="auto"/>
              <w:bottom w:val="single" w:sz="4" w:space="0" w:color="auto"/>
              <w:right w:val="single" w:sz="4" w:space="0" w:color="auto"/>
            </w:tcBorders>
            <w:vAlign w:val="center"/>
            <w:hideMark/>
          </w:tcPr>
          <w:p w:rsidR="001169C7" w:rsidRDefault="001169C7">
            <w:pPr>
              <w:spacing w:after="0" w:line="360" w:lineRule="auto"/>
              <w:ind w:firstLine="709"/>
              <w:jc w:val="center"/>
              <w:rPr>
                <w:rFonts w:ascii="Times New Roman" w:eastAsia="Arial Unicode MS" w:hAnsi="Times New Roman" w:cs="Times New Roman"/>
                <w:color w:val="000000"/>
                <w:sz w:val="28"/>
                <w:szCs w:val="28"/>
                <w:lang w:val="en-US" w:eastAsia="ru-RU"/>
              </w:rPr>
            </w:pPr>
            <w:r>
              <w:rPr>
                <w:rFonts w:ascii="Times New Roman" w:eastAsia="Arial Unicode MS" w:hAnsi="Times New Roman" w:cs="Times New Roman"/>
                <w:color w:val="000000"/>
                <w:sz w:val="28"/>
                <w:szCs w:val="28"/>
                <w:lang w:val="en-US" w:eastAsia="ru-RU"/>
              </w:rPr>
              <w:t>p</w:t>
            </w:r>
            <w:r>
              <w:rPr>
                <w:rFonts w:ascii="Times New Roman" w:eastAsia="Arial Unicode MS" w:hAnsi="Times New Roman" w:cs="Times New Roman"/>
                <w:color w:val="000000"/>
                <w:sz w:val="28"/>
                <w:szCs w:val="28"/>
                <w:vertAlign w:val="subscript"/>
                <w:lang w:val="en-US" w:eastAsia="ru-RU"/>
              </w:rPr>
              <w:t>2</w:t>
            </w:r>
            <w:r>
              <w:rPr>
                <w:rFonts w:ascii="Times New Roman" w:eastAsia="Arial Unicode MS" w:hAnsi="Times New Roman" w:cs="Times New Roman"/>
                <w:color w:val="000000"/>
                <w:sz w:val="28"/>
                <w:szCs w:val="28"/>
                <w:vertAlign w:val="subscript"/>
                <w:lang w:val="uk-UA" w:eastAsia="ru-RU"/>
              </w:rPr>
              <w:t>/</w:t>
            </w:r>
            <w:r>
              <w:rPr>
                <w:rFonts w:ascii="Times New Roman" w:eastAsia="Arial Unicode MS" w:hAnsi="Times New Roman" w:cs="Times New Roman"/>
                <w:color w:val="000000"/>
                <w:sz w:val="28"/>
                <w:szCs w:val="28"/>
                <w:vertAlign w:val="subscript"/>
                <w:lang w:val="en-US" w:eastAsia="ru-RU"/>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69C7" w:rsidRDefault="001169C7">
            <w:pPr>
              <w:spacing w:after="0" w:line="360" w:lineRule="auto"/>
              <w:ind w:firstLine="709"/>
              <w:jc w:val="center"/>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&gt;0,05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69C7" w:rsidRDefault="001169C7">
            <w:pPr>
              <w:spacing w:after="0" w:line="360" w:lineRule="auto"/>
              <w:ind w:firstLine="709"/>
              <w:jc w:val="center"/>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&gt;0,05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69C7" w:rsidRDefault="001169C7">
            <w:pPr>
              <w:spacing w:after="0" w:line="360" w:lineRule="auto"/>
              <w:ind w:firstLine="709"/>
              <w:jc w:val="center"/>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&gt;0,05</w:t>
            </w:r>
          </w:p>
        </w:tc>
        <w:tc>
          <w:tcPr>
            <w:tcW w:w="1814" w:type="dxa"/>
            <w:tcBorders>
              <w:top w:val="single" w:sz="4" w:space="0" w:color="auto"/>
              <w:left w:val="single" w:sz="4" w:space="0" w:color="auto"/>
              <w:bottom w:val="single" w:sz="4" w:space="0" w:color="auto"/>
              <w:right w:val="single" w:sz="4" w:space="0" w:color="auto"/>
            </w:tcBorders>
            <w:vAlign w:val="center"/>
            <w:hideMark/>
          </w:tcPr>
          <w:p w:rsidR="001169C7" w:rsidRDefault="001169C7">
            <w:pPr>
              <w:spacing w:after="0" w:line="360" w:lineRule="auto"/>
              <w:ind w:firstLine="709"/>
              <w:jc w:val="center"/>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&gt;0,05</w:t>
            </w:r>
          </w:p>
        </w:tc>
        <w:tc>
          <w:tcPr>
            <w:tcW w:w="1729" w:type="dxa"/>
            <w:tcBorders>
              <w:top w:val="single" w:sz="4" w:space="0" w:color="auto"/>
              <w:left w:val="single" w:sz="4" w:space="0" w:color="auto"/>
              <w:bottom w:val="single" w:sz="4" w:space="0" w:color="auto"/>
              <w:right w:val="single" w:sz="4" w:space="0" w:color="auto"/>
            </w:tcBorders>
            <w:vAlign w:val="center"/>
            <w:hideMark/>
          </w:tcPr>
          <w:p w:rsidR="001169C7" w:rsidRDefault="001169C7">
            <w:pPr>
              <w:spacing w:after="0" w:line="360" w:lineRule="auto"/>
              <w:ind w:firstLine="709"/>
              <w:jc w:val="center"/>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&gt;0,05</w:t>
            </w:r>
          </w:p>
        </w:tc>
      </w:tr>
      <w:tr w:rsidR="001169C7" w:rsidTr="001169C7">
        <w:trPr>
          <w:trHeight w:val="206"/>
        </w:trPr>
        <w:tc>
          <w:tcPr>
            <w:tcW w:w="1413" w:type="dxa"/>
            <w:tcBorders>
              <w:top w:val="single" w:sz="4" w:space="0" w:color="auto"/>
              <w:left w:val="single" w:sz="4" w:space="0" w:color="auto"/>
              <w:bottom w:val="single" w:sz="4" w:space="0" w:color="auto"/>
              <w:right w:val="single" w:sz="4" w:space="0" w:color="auto"/>
            </w:tcBorders>
            <w:vAlign w:val="center"/>
            <w:hideMark/>
          </w:tcPr>
          <w:p w:rsidR="001169C7" w:rsidRDefault="001169C7">
            <w:pPr>
              <w:spacing w:after="0" w:line="360" w:lineRule="auto"/>
              <w:ind w:firstLine="709"/>
              <w:jc w:val="center"/>
              <w:rPr>
                <w:rFonts w:ascii="Times New Roman" w:eastAsia="Arial Unicode MS" w:hAnsi="Times New Roman" w:cs="Times New Roman"/>
                <w:color w:val="000000"/>
                <w:sz w:val="28"/>
                <w:szCs w:val="28"/>
                <w:lang w:val="en-US" w:eastAsia="ru-RU"/>
              </w:rPr>
            </w:pPr>
            <w:r>
              <w:rPr>
                <w:rFonts w:ascii="Times New Roman" w:eastAsia="Arial Unicode MS" w:hAnsi="Times New Roman" w:cs="Times New Roman"/>
                <w:color w:val="000000"/>
                <w:sz w:val="28"/>
                <w:szCs w:val="28"/>
                <w:lang w:val="en-US" w:eastAsia="ru-RU"/>
              </w:rPr>
              <w:t>p</w:t>
            </w:r>
            <w:r>
              <w:rPr>
                <w:rFonts w:ascii="Times New Roman" w:eastAsia="Arial Unicode MS" w:hAnsi="Times New Roman" w:cs="Times New Roman"/>
                <w:color w:val="000000"/>
                <w:sz w:val="28"/>
                <w:szCs w:val="28"/>
                <w:vertAlign w:val="subscript"/>
                <w:lang w:val="uk-UA" w:eastAsia="ru-RU"/>
              </w:rPr>
              <w:t>1/</w:t>
            </w:r>
            <w:r>
              <w:rPr>
                <w:rFonts w:ascii="Times New Roman" w:eastAsia="Arial Unicode MS" w:hAnsi="Times New Roman" w:cs="Times New Roman"/>
                <w:color w:val="000000"/>
                <w:sz w:val="28"/>
                <w:szCs w:val="28"/>
                <w:vertAlign w:val="subscript"/>
                <w:lang w:val="en-US" w:eastAsia="ru-RU"/>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69C7" w:rsidRDefault="001169C7">
            <w:pPr>
              <w:spacing w:after="0" w:line="360" w:lineRule="auto"/>
              <w:ind w:firstLine="709"/>
              <w:jc w:val="center"/>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&gt;0,05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69C7" w:rsidRDefault="001169C7">
            <w:pPr>
              <w:spacing w:after="0" w:line="360" w:lineRule="auto"/>
              <w:ind w:firstLine="709"/>
              <w:jc w:val="center"/>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&lt;0,01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69C7" w:rsidRDefault="001169C7">
            <w:pPr>
              <w:spacing w:after="0" w:line="360" w:lineRule="auto"/>
              <w:ind w:firstLine="709"/>
              <w:jc w:val="center"/>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&gt;0,05</w:t>
            </w:r>
          </w:p>
        </w:tc>
        <w:tc>
          <w:tcPr>
            <w:tcW w:w="1814" w:type="dxa"/>
            <w:tcBorders>
              <w:top w:val="single" w:sz="4" w:space="0" w:color="auto"/>
              <w:left w:val="single" w:sz="4" w:space="0" w:color="auto"/>
              <w:bottom w:val="single" w:sz="4" w:space="0" w:color="auto"/>
              <w:right w:val="single" w:sz="4" w:space="0" w:color="auto"/>
            </w:tcBorders>
            <w:vAlign w:val="center"/>
            <w:hideMark/>
          </w:tcPr>
          <w:p w:rsidR="001169C7" w:rsidRDefault="001169C7">
            <w:pPr>
              <w:spacing w:after="0" w:line="360" w:lineRule="auto"/>
              <w:ind w:firstLine="709"/>
              <w:jc w:val="center"/>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&lt;0,05</w:t>
            </w:r>
          </w:p>
        </w:tc>
        <w:tc>
          <w:tcPr>
            <w:tcW w:w="1729" w:type="dxa"/>
            <w:tcBorders>
              <w:top w:val="single" w:sz="4" w:space="0" w:color="auto"/>
              <w:left w:val="single" w:sz="4" w:space="0" w:color="auto"/>
              <w:bottom w:val="single" w:sz="4" w:space="0" w:color="auto"/>
              <w:right w:val="single" w:sz="4" w:space="0" w:color="auto"/>
            </w:tcBorders>
            <w:vAlign w:val="center"/>
            <w:hideMark/>
          </w:tcPr>
          <w:p w:rsidR="001169C7" w:rsidRDefault="001169C7">
            <w:pPr>
              <w:spacing w:after="0" w:line="360" w:lineRule="auto"/>
              <w:ind w:firstLine="709"/>
              <w:jc w:val="center"/>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&gt;0,05</w:t>
            </w:r>
          </w:p>
        </w:tc>
      </w:tr>
    </w:tbl>
    <w:p w:rsidR="001169C7" w:rsidRDefault="001169C7" w:rsidP="001169C7">
      <w:pPr>
        <w:spacing w:after="0" w:line="360" w:lineRule="auto"/>
        <w:ind w:firstLine="709"/>
        <w:jc w:val="both"/>
        <w:rPr>
          <w:rFonts w:ascii="Times New Roman" w:eastAsia="Arial Unicode MS" w:hAnsi="Times New Roman" w:cs="Times New Roman"/>
          <w:sz w:val="28"/>
          <w:szCs w:val="28"/>
          <w:lang w:val="uk-UA" w:eastAsia="ru-RU"/>
        </w:rPr>
      </w:pPr>
    </w:p>
    <w:p w:rsidR="001169C7" w:rsidRDefault="001169C7" w:rsidP="001169C7">
      <w:pPr>
        <w:spacing w:after="0" w:line="360" w:lineRule="auto"/>
        <w:ind w:firstLine="709"/>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 xml:space="preserve">При цьому звертає на себе увагу наступна закономірність: різниця між показниками психологічного мікроклімату та особистої гігієни у трьох групах спостереження не мала статистично значущих відмінностей (р&gt;0,05) на тлі оптимальності показників за цими шкалами (відповідно </w:t>
      </w:r>
      <w:r>
        <w:rPr>
          <w:rFonts w:ascii="Times New Roman" w:eastAsia="Arial Unicode MS" w:hAnsi="Times New Roman" w:cs="Times New Roman"/>
          <w:color w:val="000000"/>
          <w:sz w:val="28"/>
          <w:szCs w:val="28"/>
          <w:lang w:val="uk-UA" w:eastAsia="ru-RU"/>
        </w:rPr>
        <w:t xml:space="preserve">16,14±0,40 </w:t>
      </w:r>
      <w:proofErr w:type="spellStart"/>
      <w:r>
        <w:rPr>
          <w:rFonts w:ascii="Times New Roman" w:eastAsia="Arial Unicode MS" w:hAnsi="Times New Roman" w:cs="Times New Roman"/>
          <w:color w:val="000000"/>
          <w:sz w:val="28"/>
          <w:szCs w:val="28"/>
          <w:lang w:val="uk-UA" w:eastAsia="ru-RU"/>
        </w:rPr>
        <w:t>у.о</w:t>
      </w:r>
      <w:proofErr w:type="spellEnd"/>
      <w:r>
        <w:rPr>
          <w:rFonts w:ascii="Times New Roman" w:eastAsia="Arial Unicode MS" w:hAnsi="Times New Roman" w:cs="Times New Roman"/>
          <w:color w:val="000000"/>
          <w:sz w:val="28"/>
          <w:szCs w:val="28"/>
          <w:lang w:val="uk-UA" w:eastAsia="ru-RU"/>
        </w:rPr>
        <w:t xml:space="preserve">., 15,11±0,48 </w:t>
      </w:r>
      <w:proofErr w:type="spellStart"/>
      <w:r>
        <w:rPr>
          <w:rFonts w:ascii="Times New Roman" w:eastAsia="Arial Unicode MS" w:hAnsi="Times New Roman" w:cs="Times New Roman"/>
          <w:color w:val="000000"/>
          <w:sz w:val="28"/>
          <w:szCs w:val="28"/>
          <w:lang w:val="uk-UA" w:eastAsia="ru-RU"/>
        </w:rPr>
        <w:t>у.о</w:t>
      </w:r>
      <w:proofErr w:type="spellEnd"/>
      <w:r>
        <w:rPr>
          <w:rFonts w:ascii="Times New Roman" w:eastAsia="Arial Unicode MS" w:hAnsi="Times New Roman" w:cs="Times New Roman"/>
          <w:color w:val="000000"/>
          <w:sz w:val="28"/>
          <w:szCs w:val="28"/>
          <w:lang w:val="uk-UA" w:eastAsia="ru-RU"/>
        </w:rPr>
        <w:t xml:space="preserve">., 14,90± 0,51 </w:t>
      </w:r>
      <w:proofErr w:type="spellStart"/>
      <w:r>
        <w:rPr>
          <w:rFonts w:ascii="Times New Roman" w:eastAsia="Arial Unicode MS" w:hAnsi="Times New Roman" w:cs="Times New Roman"/>
          <w:color w:val="000000"/>
          <w:sz w:val="28"/>
          <w:szCs w:val="28"/>
          <w:lang w:val="uk-UA" w:eastAsia="ru-RU"/>
        </w:rPr>
        <w:t>у.о</w:t>
      </w:r>
      <w:proofErr w:type="spellEnd"/>
      <w:r>
        <w:rPr>
          <w:rFonts w:ascii="Times New Roman" w:eastAsia="Arial Unicode MS" w:hAnsi="Times New Roman" w:cs="Times New Roman"/>
          <w:color w:val="000000"/>
          <w:sz w:val="28"/>
          <w:szCs w:val="28"/>
          <w:lang w:val="uk-UA" w:eastAsia="ru-RU"/>
        </w:rPr>
        <w:t>.</w:t>
      </w:r>
      <w:r>
        <w:rPr>
          <w:rFonts w:ascii="Times New Roman" w:eastAsia="Arial Unicode MS" w:hAnsi="Times New Roman" w:cs="Times New Roman"/>
          <w:sz w:val="28"/>
          <w:szCs w:val="28"/>
          <w:lang w:val="uk-UA" w:eastAsia="ru-RU"/>
        </w:rPr>
        <w:t>).</w:t>
      </w:r>
    </w:p>
    <w:p w:rsidR="001169C7" w:rsidRDefault="001169C7" w:rsidP="001169C7">
      <w:pPr>
        <w:spacing w:after="0" w:line="360" w:lineRule="auto"/>
        <w:ind w:firstLine="709"/>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color w:val="000000"/>
          <w:sz w:val="28"/>
          <w:szCs w:val="28"/>
          <w:lang w:val="uk-UA" w:eastAsia="ru-RU"/>
        </w:rPr>
        <w:t xml:space="preserve">Як показали проведені дослідження, найбільш достовірна різниця між показниками усіх трьох років навчання спостерігалася за показниками рухової активності: якщо у </w:t>
      </w:r>
      <w:r>
        <w:rPr>
          <w:rFonts w:ascii="Times New Roman" w:eastAsia="Arial Unicode MS" w:hAnsi="Times New Roman" w:cs="Times New Roman"/>
          <w:color w:val="000000"/>
          <w:sz w:val="28"/>
          <w:szCs w:val="28"/>
          <w:lang w:val="en-US" w:eastAsia="ru-RU"/>
        </w:rPr>
        <w:t>I</w:t>
      </w:r>
      <w:r>
        <w:rPr>
          <w:rFonts w:ascii="Times New Roman" w:eastAsia="Arial Unicode MS" w:hAnsi="Times New Roman" w:cs="Times New Roman"/>
          <w:color w:val="000000"/>
          <w:sz w:val="28"/>
          <w:szCs w:val="28"/>
          <w:lang w:val="uk-UA" w:eastAsia="ru-RU"/>
        </w:rPr>
        <w:t xml:space="preserve"> групі порівняння (на 1-му курсі навчання) його величина була оптимальною і склала 11,24±0,68 у. о., то у </w:t>
      </w:r>
      <w:r>
        <w:rPr>
          <w:rFonts w:ascii="Times New Roman" w:eastAsia="Arial Unicode MS" w:hAnsi="Times New Roman" w:cs="Times New Roman"/>
          <w:color w:val="000000"/>
          <w:sz w:val="28"/>
          <w:szCs w:val="28"/>
          <w:lang w:val="en-US" w:eastAsia="ru-RU"/>
        </w:rPr>
        <w:t>II</w:t>
      </w:r>
      <w:r>
        <w:rPr>
          <w:rFonts w:ascii="Times New Roman" w:eastAsia="Arial Unicode MS" w:hAnsi="Times New Roman" w:cs="Times New Roman"/>
          <w:color w:val="000000"/>
          <w:sz w:val="28"/>
          <w:szCs w:val="28"/>
          <w:lang w:val="uk-UA" w:eastAsia="ru-RU"/>
        </w:rPr>
        <w:t xml:space="preserve"> групі (на 2–му курсі) цей показник погіршувався, знижуючись до 9,0± 0,44 у. о. (р</w:t>
      </w:r>
      <w:r>
        <w:rPr>
          <w:rFonts w:ascii="Times New Roman" w:eastAsia="Arial Unicode MS" w:hAnsi="Times New Roman" w:cs="Times New Roman"/>
          <w:sz w:val="28"/>
          <w:szCs w:val="28"/>
          <w:lang w:val="uk-UA" w:eastAsia="ru-RU"/>
        </w:rPr>
        <w:t xml:space="preserve">&lt;0,01), а у </w:t>
      </w:r>
      <w:r>
        <w:rPr>
          <w:rFonts w:ascii="Times New Roman" w:eastAsia="Arial Unicode MS" w:hAnsi="Times New Roman" w:cs="Times New Roman"/>
          <w:sz w:val="28"/>
          <w:szCs w:val="28"/>
          <w:lang w:val="en-US" w:eastAsia="ru-RU"/>
        </w:rPr>
        <w:t>III</w:t>
      </w:r>
      <w:r>
        <w:rPr>
          <w:rFonts w:ascii="Times New Roman" w:eastAsia="Arial Unicode MS" w:hAnsi="Times New Roman" w:cs="Times New Roman"/>
          <w:sz w:val="28"/>
          <w:szCs w:val="28"/>
          <w:lang w:val="uk-UA" w:eastAsia="ru-RU"/>
        </w:rPr>
        <w:t xml:space="preserve"> групі (3-й курс) досягав величини </w:t>
      </w:r>
      <w:r>
        <w:rPr>
          <w:rFonts w:ascii="Times New Roman" w:eastAsia="Arial Unicode MS" w:hAnsi="Times New Roman" w:cs="Times New Roman"/>
          <w:color w:val="000000"/>
          <w:sz w:val="28"/>
          <w:szCs w:val="28"/>
          <w:lang w:val="uk-UA" w:eastAsia="ru-RU"/>
        </w:rPr>
        <w:t>8,95± 0,47 (р</w:t>
      </w:r>
      <w:r>
        <w:rPr>
          <w:rFonts w:ascii="Times New Roman" w:eastAsia="Arial Unicode MS" w:hAnsi="Times New Roman" w:cs="Times New Roman"/>
          <w:sz w:val="28"/>
          <w:szCs w:val="28"/>
          <w:lang w:val="uk-UA" w:eastAsia="ru-RU"/>
        </w:rPr>
        <w:t>&lt;0,01).</w:t>
      </w:r>
    </w:p>
    <w:p w:rsidR="001169C7" w:rsidRDefault="001169C7" w:rsidP="001169C7">
      <w:pPr>
        <w:spacing w:after="0" w:line="360" w:lineRule="auto"/>
        <w:ind w:firstLine="709"/>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 xml:space="preserve">Детальне вивчення режиму дня показало, що серед представників </w:t>
      </w:r>
      <w:r>
        <w:rPr>
          <w:rFonts w:ascii="Times New Roman" w:eastAsia="Arial Unicode MS" w:hAnsi="Times New Roman" w:cs="Times New Roman"/>
          <w:sz w:val="28"/>
          <w:szCs w:val="28"/>
          <w:lang w:val="en-US" w:eastAsia="ru-RU"/>
        </w:rPr>
        <w:t>II</w:t>
      </w:r>
      <w:r>
        <w:rPr>
          <w:rFonts w:ascii="Times New Roman" w:eastAsia="Arial Unicode MS" w:hAnsi="Times New Roman" w:cs="Times New Roman"/>
          <w:sz w:val="28"/>
          <w:szCs w:val="28"/>
          <w:lang w:val="uk-UA" w:eastAsia="ru-RU"/>
        </w:rPr>
        <w:t xml:space="preserve"> групи порівняння були досить поширені порушення режимно-організаційного характеру в навчанні та в структурі вільного часу. Це відбилося на величині показника (</w:t>
      </w:r>
      <w:r>
        <w:rPr>
          <w:rFonts w:ascii="Times New Roman" w:eastAsia="Arial Unicode MS" w:hAnsi="Times New Roman" w:cs="Times New Roman"/>
          <w:color w:val="000000"/>
          <w:sz w:val="28"/>
          <w:szCs w:val="28"/>
          <w:lang w:val="uk-UA" w:eastAsia="ru-RU"/>
        </w:rPr>
        <w:t xml:space="preserve">9,68±0,40 </w:t>
      </w:r>
      <w:proofErr w:type="spellStart"/>
      <w:r>
        <w:rPr>
          <w:rFonts w:ascii="Times New Roman" w:eastAsia="Arial Unicode MS" w:hAnsi="Times New Roman" w:cs="Times New Roman"/>
          <w:color w:val="000000"/>
          <w:sz w:val="28"/>
          <w:szCs w:val="28"/>
          <w:lang w:val="uk-UA" w:eastAsia="ru-RU"/>
        </w:rPr>
        <w:t>у.о</w:t>
      </w:r>
      <w:proofErr w:type="spellEnd"/>
      <w:r>
        <w:rPr>
          <w:rFonts w:ascii="Times New Roman" w:eastAsia="Arial Unicode MS" w:hAnsi="Times New Roman" w:cs="Times New Roman"/>
          <w:color w:val="000000"/>
          <w:sz w:val="28"/>
          <w:szCs w:val="28"/>
          <w:lang w:val="uk-UA" w:eastAsia="ru-RU"/>
        </w:rPr>
        <w:t xml:space="preserve">.), який суттєво поступився аналогічному показнику у </w:t>
      </w:r>
      <w:r>
        <w:rPr>
          <w:rFonts w:ascii="Times New Roman" w:eastAsia="Arial Unicode MS" w:hAnsi="Times New Roman" w:cs="Times New Roman"/>
          <w:color w:val="000000"/>
          <w:sz w:val="28"/>
          <w:szCs w:val="28"/>
          <w:lang w:val="en-US" w:eastAsia="ru-RU"/>
        </w:rPr>
        <w:t>I</w:t>
      </w:r>
      <w:r w:rsidRPr="001169C7">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val="uk-UA" w:eastAsia="ru-RU"/>
        </w:rPr>
        <w:t>групі порівняння (відповідно 11,59±0,83 у. о., при р</w:t>
      </w:r>
      <w:r>
        <w:rPr>
          <w:rFonts w:ascii="Times New Roman" w:eastAsia="Arial Unicode MS" w:hAnsi="Times New Roman" w:cs="Times New Roman"/>
          <w:sz w:val="28"/>
          <w:szCs w:val="28"/>
          <w:lang w:val="uk-UA" w:eastAsia="ru-RU"/>
        </w:rPr>
        <w:t>&lt;0,05 ).</w:t>
      </w:r>
    </w:p>
    <w:p w:rsidR="001169C7" w:rsidRDefault="001169C7" w:rsidP="001169C7">
      <w:pPr>
        <w:spacing w:after="0" w:line="360" w:lineRule="auto"/>
        <w:ind w:firstLine="709"/>
        <w:jc w:val="both"/>
        <w:rPr>
          <w:rFonts w:ascii="Times New Roman" w:eastAsia="Arial Unicode MS" w:hAnsi="Times New Roman" w:cs="Times New Roman"/>
          <w:color w:val="000000"/>
          <w:sz w:val="28"/>
          <w:szCs w:val="28"/>
          <w:lang w:val="uk-UA" w:eastAsia="ru-RU"/>
        </w:rPr>
      </w:pPr>
      <w:r>
        <w:rPr>
          <w:rFonts w:ascii="Times New Roman" w:eastAsia="Arial Unicode MS" w:hAnsi="Times New Roman" w:cs="Times New Roman"/>
          <w:color w:val="000000"/>
          <w:sz w:val="28"/>
          <w:szCs w:val="28"/>
          <w:lang w:val="uk-UA" w:eastAsia="ru-RU"/>
        </w:rPr>
        <w:t xml:space="preserve">Аналіз якісної та кількісної складових харчування довів, що за інтегральним показником його адекватності, спостерігалося суттєве погіршення від </w:t>
      </w:r>
      <w:r>
        <w:rPr>
          <w:rFonts w:ascii="Times New Roman" w:eastAsia="Arial Unicode MS" w:hAnsi="Times New Roman" w:cs="Times New Roman"/>
          <w:color w:val="000000"/>
          <w:sz w:val="28"/>
          <w:szCs w:val="28"/>
          <w:lang w:val="en-US" w:eastAsia="ru-RU"/>
        </w:rPr>
        <w:t>I</w:t>
      </w:r>
      <w:r>
        <w:rPr>
          <w:rFonts w:ascii="Times New Roman" w:eastAsia="Arial Unicode MS" w:hAnsi="Times New Roman" w:cs="Times New Roman"/>
          <w:color w:val="000000"/>
          <w:sz w:val="28"/>
          <w:szCs w:val="28"/>
          <w:lang w:val="uk-UA" w:eastAsia="ru-RU"/>
        </w:rPr>
        <w:t xml:space="preserve"> до </w:t>
      </w:r>
      <w:r>
        <w:rPr>
          <w:rFonts w:ascii="Times New Roman" w:eastAsia="Arial Unicode MS" w:hAnsi="Times New Roman" w:cs="Times New Roman"/>
          <w:color w:val="000000"/>
          <w:sz w:val="28"/>
          <w:szCs w:val="28"/>
          <w:lang w:val="en-US" w:eastAsia="ru-RU"/>
        </w:rPr>
        <w:t>III</w:t>
      </w:r>
      <w:r>
        <w:rPr>
          <w:rFonts w:ascii="Times New Roman" w:eastAsia="Arial Unicode MS" w:hAnsi="Times New Roman" w:cs="Times New Roman"/>
          <w:color w:val="000000"/>
          <w:sz w:val="28"/>
          <w:szCs w:val="28"/>
          <w:lang w:val="uk-UA" w:eastAsia="ru-RU"/>
        </w:rPr>
        <w:t xml:space="preserve"> груп спостереження (</w:t>
      </w:r>
      <w:r>
        <w:rPr>
          <w:rFonts w:ascii="Times New Roman" w:eastAsia="Calibri" w:hAnsi="Times New Roman" w:cs="Times New Roman"/>
          <w:sz w:val="28"/>
          <w:szCs w:val="28"/>
          <w:lang w:val="uk-UA"/>
        </w:rPr>
        <w:t xml:space="preserve">з </w:t>
      </w:r>
      <w:r>
        <w:rPr>
          <w:rFonts w:ascii="Times New Roman" w:eastAsia="Arial Unicode MS" w:hAnsi="Times New Roman" w:cs="Times New Roman"/>
          <w:color w:val="000000"/>
          <w:sz w:val="28"/>
          <w:szCs w:val="28"/>
          <w:lang w:val="uk-UA" w:eastAsia="ru-RU"/>
        </w:rPr>
        <w:t xml:space="preserve">12,48±0,76 </w:t>
      </w:r>
      <w:proofErr w:type="spellStart"/>
      <w:r>
        <w:rPr>
          <w:rFonts w:ascii="Times New Roman" w:eastAsia="Arial Unicode MS" w:hAnsi="Times New Roman" w:cs="Times New Roman"/>
          <w:color w:val="000000"/>
          <w:sz w:val="28"/>
          <w:szCs w:val="28"/>
          <w:lang w:val="uk-UA" w:eastAsia="ru-RU"/>
        </w:rPr>
        <w:t>у.о</w:t>
      </w:r>
      <w:proofErr w:type="spellEnd"/>
      <w:r>
        <w:rPr>
          <w:rFonts w:ascii="Times New Roman" w:eastAsia="Arial Unicode MS" w:hAnsi="Times New Roman" w:cs="Times New Roman"/>
          <w:color w:val="000000"/>
          <w:sz w:val="28"/>
          <w:szCs w:val="28"/>
          <w:lang w:val="uk-UA" w:eastAsia="ru-RU"/>
        </w:rPr>
        <w:t xml:space="preserve">. до 10,57±0,50 </w:t>
      </w:r>
      <w:proofErr w:type="spellStart"/>
      <w:r>
        <w:rPr>
          <w:rFonts w:ascii="Times New Roman" w:eastAsia="Arial Unicode MS" w:hAnsi="Times New Roman" w:cs="Times New Roman"/>
          <w:color w:val="000000"/>
          <w:sz w:val="28"/>
          <w:szCs w:val="28"/>
          <w:lang w:val="uk-UA" w:eastAsia="ru-RU"/>
        </w:rPr>
        <w:t>у.о</w:t>
      </w:r>
      <w:proofErr w:type="spellEnd"/>
      <w:r>
        <w:rPr>
          <w:rFonts w:ascii="Times New Roman" w:eastAsia="Arial Unicode MS" w:hAnsi="Times New Roman" w:cs="Times New Roman"/>
          <w:color w:val="000000"/>
          <w:sz w:val="28"/>
          <w:szCs w:val="28"/>
          <w:lang w:val="uk-UA" w:eastAsia="ru-RU"/>
        </w:rPr>
        <w:t>., при р</w:t>
      </w:r>
      <w:r>
        <w:rPr>
          <w:rFonts w:ascii="Times New Roman" w:eastAsia="Arial Unicode MS" w:hAnsi="Times New Roman" w:cs="Times New Roman"/>
          <w:sz w:val="28"/>
          <w:szCs w:val="28"/>
          <w:lang w:val="uk-UA" w:eastAsia="ru-RU"/>
        </w:rPr>
        <w:t>&lt;0,05</w:t>
      </w:r>
      <w:r>
        <w:rPr>
          <w:rFonts w:ascii="Times New Roman" w:eastAsia="Arial Unicode MS" w:hAnsi="Times New Roman" w:cs="Times New Roman"/>
          <w:color w:val="000000"/>
          <w:sz w:val="28"/>
          <w:szCs w:val="28"/>
          <w:lang w:val="uk-UA" w:eastAsia="ru-RU"/>
        </w:rPr>
        <w:t>).</w:t>
      </w:r>
    </w:p>
    <w:p w:rsidR="001169C7" w:rsidRDefault="001169C7" w:rsidP="001169C7">
      <w:pPr>
        <w:widowControl w:val="0"/>
        <w:suppressAutoHyphens/>
        <w:autoSpaceDN w:val="0"/>
        <w:spacing w:after="0" w:line="360" w:lineRule="auto"/>
        <w:ind w:firstLine="709"/>
        <w:jc w:val="both"/>
        <w:textAlignment w:val="baseline"/>
        <w:rPr>
          <w:rFonts w:ascii="Times New Roman" w:eastAsia="Calibri" w:hAnsi="Times New Roman" w:cs="Times New Roman"/>
          <w:kern w:val="3"/>
          <w:sz w:val="28"/>
          <w:szCs w:val="28"/>
          <w:lang w:val="uk-UA" w:eastAsia="ja-JP" w:bidi="fa-IR"/>
        </w:rPr>
      </w:pPr>
      <w:r>
        <w:rPr>
          <w:rFonts w:ascii="Times New Roman" w:eastAsia="Calibri" w:hAnsi="Times New Roman" w:cs="Times New Roman"/>
          <w:kern w:val="3"/>
          <w:sz w:val="28"/>
          <w:szCs w:val="28"/>
          <w:lang w:val="uk-UA" w:eastAsia="ja-JP" w:bidi="fa-IR"/>
        </w:rPr>
        <w:t>Вплив умов життєдіяльності на функціональний стан ліцеїстів оцінювався на підставі динаміки дослідження показників розумової працездатності протягом року.</w:t>
      </w:r>
    </w:p>
    <w:p w:rsidR="001169C7" w:rsidRDefault="001169C7" w:rsidP="001169C7">
      <w:pPr>
        <w:widowControl w:val="0"/>
        <w:suppressAutoHyphens/>
        <w:autoSpaceDN w:val="0"/>
        <w:spacing w:after="0" w:line="360" w:lineRule="auto"/>
        <w:ind w:firstLine="709"/>
        <w:jc w:val="both"/>
        <w:textAlignment w:val="baseline"/>
        <w:rPr>
          <w:rFonts w:ascii="Times New Roman" w:eastAsia="Calibri" w:hAnsi="Times New Roman" w:cs="Times New Roman"/>
          <w:kern w:val="3"/>
          <w:sz w:val="28"/>
          <w:szCs w:val="28"/>
          <w:lang w:val="uk-UA" w:eastAsia="ja-JP" w:bidi="fa-IR"/>
        </w:rPr>
      </w:pPr>
      <w:r>
        <w:rPr>
          <w:rFonts w:ascii="Times New Roman" w:eastAsia="Calibri" w:hAnsi="Times New Roman" w:cs="Times New Roman"/>
          <w:kern w:val="3"/>
          <w:sz w:val="28"/>
          <w:szCs w:val="28"/>
          <w:lang w:val="uk-UA" w:eastAsia="ja-JP" w:bidi="fa-IR"/>
        </w:rPr>
        <w:lastRenderedPageBreak/>
        <w:t>Реакція організму на комплекс чинників навчального та побутового середовища визначалася за рахунок виміру показників розумової працездатності, яка характеризує функціональний стан вищої нервової діяльності організму на підставі віддзеркалення таких когнітивних психофізіологічних функцій, як пам’ять та увага.</w:t>
      </w:r>
    </w:p>
    <w:p w:rsidR="001169C7" w:rsidRDefault="001169C7" w:rsidP="001169C7">
      <w:pPr>
        <w:widowControl w:val="0"/>
        <w:suppressAutoHyphens/>
        <w:autoSpaceDN w:val="0"/>
        <w:spacing w:after="0" w:line="360" w:lineRule="auto"/>
        <w:ind w:firstLine="709"/>
        <w:jc w:val="both"/>
        <w:textAlignment w:val="baseline"/>
        <w:rPr>
          <w:rFonts w:ascii="Times New Roman" w:eastAsia="Calibri" w:hAnsi="Times New Roman" w:cs="Times New Roman"/>
          <w:kern w:val="3"/>
          <w:sz w:val="28"/>
          <w:szCs w:val="28"/>
          <w:lang w:val="uk-UA" w:eastAsia="ja-JP" w:bidi="fa-IR"/>
        </w:rPr>
      </w:pPr>
      <w:r>
        <w:rPr>
          <w:rFonts w:ascii="Times New Roman" w:eastAsia="Calibri" w:hAnsi="Times New Roman" w:cs="Times New Roman"/>
          <w:kern w:val="3"/>
          <w:sz w:val="28"/>
          <w:szCs w:val="28"/>
          <w:lang w:val="uk-UA" w:eastAsia="ja-JP" w:bidi="fa-IR"/>
        </w:rPr>
        <w:t>У динаміці періоду спостереження розумова працездатність ліцеїстів характеризувалася різноспрямованістю змін її окремих показників.</w:t>
      </w:r>
    </w:p>
    <w:p w:rsidR="001169C7" w:rsidRDefault="001169C7" w:rsidP="001169C7">
      <w:pPr>
        <w:widowControl w:val="0"/>
        <w:suppressAutoHyphens/>
        <w:autoSpaceDN w:val="0"/>
        <w:spacing w:after="0" w:line="360" w:lineRule="auto"/>
        <w:ind w:firstLine="709"/>
        <w:jc w:val="both"/>
        <w:textAlignment w:val="baseline"/>
        <w:rPr>
          <w:rFonts w:ascii="Times New Roman" w:eastAsia="Calibri" w:hAnsi="Times New Roman" w:cs="Times New Roman"/>
          <w:sz w:val="28"/>
          <w:szCs w:val="28"/>
          <w:lang w:val="uk-UA"/>
        </w:rPr>
      </w:pPr>
      <w:r>
        <w:rPr>
          <w:rFonts w:ascii="Times New Roman" w:eastAsia="Calibri" w:hAnsi="Times New Roman" w:cs="Times New Roman"/>
          <w:kern w:val="3"/>
          <w:sz w:val="28"/>
          <w:szCs w:val="28"/>
          <w:lang w:val="uk-UA" w:eastAsia="ja-JP" w:bidi="fa-IR"/>
        </w:rPr>
        <w:t xml:space="preserve">Величина коефіцієнту точності не зазнавала істотних змін протягом всього року навчання у </w:t>
      </w:r>
      <w:r>
        <w:rPr>
          <w:rFonts w:ascii="Times New Roman" w:eastAsia="Calibri" w:hAnsi="Times New Roman" w:cs="Times New Roman"/>
          <w:kern w:val="3"/>
          <w:sz w:val="28"/>
          <w:szCs w:val="28"/>
          <w:lang w:val="en-US" w:eastAsia="ja-JP" w:bidi="fa-IR"/>
        </w:rPr>
        <w:t>I</w:t>
      </w:r>
      <w:r>
        <w:rPr>
          <w:rFonts w:ascii="Times New Roman" w:eastAsia="Calibri" w:hAnsi="Times New Roman" w:cs="Times New Roman"/>
          <w:kern w:val="3"/>
          <w:sz w:val="28"/>
          <w:szCs w:val="28"/>
          <w:lang w:val="uk-UA" w:eastAsia="ja-JP" w:bidi="fa-IR"/>
        </w:rPr>
        <w:t xml:space="preserve"> та </w:t>
      </w:r>
      <w:r>
        <w:rPr>
          <w:rFonts w:ascii="Times New Roman" w:eastAsia="Calibri" w:hAnsi="Times New Roman" w:cs="Times New Roman"/>
          <w:kern w:val="3"/>
          <w:sz w:val="28"/>
          <w:szCs w:val="28"/>
          <w:lang w:val="en-US" w:eastAsia="ja-JP" w:bidi="fa-IR"/>
        </w:rPr>
        <w:t>III</w:t>
      </w:r>
      <w:r>
        <w:rPr>
          <w:rFonts w:ascii="Times New Roman" w:eastAsia="Calibri" w:hAnsi="Times New Roman" w:cs="Times New Roman"/>
          <w:kern w:val="3"/>
          <w:sz w:val="28"/>
          <w:szCs w:val="28"/>
          <w:lang w:val="uk-UA" w:eastAsia="ja-JP" w:bidi="fa-IR"/>
        </w:rPr>
        <w:t xml:space="preserve"> групах порівняння (р</w:t>
      </w:r>
      <w:r>
        <w:rPr>
          <w:rFonts w:ascii="Times New Roman" w:eastAsia="Arial Unicode MS" w:hAnsi="Times New Roman" w:cs="Times New Roman"/>
          <w:sz w:val="28"/>
          <w:szCs w:val="28"/>
          <w:lang w:val="uk-UA" w:eastAsia="ru-RU"/>
        </w:rPr>
        <w:t xml:space="preserve">&gt;0,05). Проте, у ліцеїстів </w:t>
      </w:r>
      <w:r>
        <w:rPr>
          <w:rFonts w:ascii="Times New Roman" w:eastAsia="Arial Unicode MS" w:hAnsi="Times New Roman" w:cs="Times New Roman"/>
          <w:sz w:val="28"/>
          <w:szCs w:val="28"/>
          <w:lang w:val="en-US" w:eastAsia="ru-RU"/>
        </w:rPr>
        <w:t>II</w:t>
      </w:r>
      <w:r>
        <w:rPr>
          <w:rFonts w:ascii="Times New Roman" w:eastAsia="Arial Unicode MS" w:hAnsi="Times New Roman" w:cs="Times New Roman"/>
          <w:sz w:val="28"/>
          <w:szCs w:val="28"/>
          <w:lang w:val="uk-UA" w:eastAsia="ru-RU"/>
        </w:rPr>
        <w:t xml:space="preserve"> групи вона суттєво погіршувалася </w:t>
      </w:r>
      <w:r>
        <w:rPr>
          <w:rFonts w:ascii="Times New Roman" w:eastAsia="Calibri" w:hAnsi="Times New Roman" w:cs="Times New Roman"/>
          <w:sz w:val="28"/>
          <w:szCs w:val="28"/>
          <w:lang w:val="uk-UA"/>
        </w:rPr>
        <w:t xml:space="preserve">з 0,97 ± 0,01 </w:t>
      </w:r>
      <w:proofErr w:type="spellStart"/>
      <w:r>
        <w:rPr>
          <w:rFonts w:ascii="Times New Roman" w:eastAsia="Calibri" w:hAnsi="Times New Roman" w:cs="Times New Roman"/>
          <w:sz w:val="28"/>
          <w:szCs w:val="28"/>
          <w:lang w:val="uk-UA"/>
        </w:rPr>
        <w:t>у.о</w:t>
      </w:r>
      <w:proofErr w:type="spellEnd"/>
      <w:r>
        <w:rPr>
          <w:rFonts w:ascii="Times New Roman" w:eastAsia="Calibri" w:hAnsi="Times New Roman" w:cs="Times New Roman"/>
          <w:sz w:val="28"/>
          <w:szCs w:val="28"/>
          <w:lang w:val="uk-UA"/>
        </w:rPr>
        <w:t xml:space="preserve">., до 0,95 ± 0,01 </w:t>
      </w:r>
      <w:proofErr w:type="spellStart"/>
      <w:r>
        <w:rPr>
          <w:rFonts w:ascii="Times New Roman" w:eastAsia="Calibri" w:hAnsi="Times New Roman" w:cs="Times New Roman"/>
          <w:sz w:val="28"/>
          <w:szCs w:val="28"/>
          <w:lang w:val="uk-UA"/>
        </w:rPr>
        <w:t>у.о</w:t>
      </w:r>
      <w:proofErr w:type="spellEnd"/>
      <w:r>
        <w:rPr>
          <w:rFonts w:ascii="Times New Roman" w:eastAsia="Calibri" w:hAnsi="Times New Roman" w:cs="Times New Roman"/>
          <w:sz w:val="28"/>
          <w:szCs w:val="28"/>
          <w:lang w:val="uk-UA"/>
        </w:rPr>
        <w:t>., при р&lt;0,001, що очевидно свідчить про розвиток втоми у представників цієї групи порівняння (опанування професією «тракторист-машиніст сільськогосподарського (лісогосподарського) виробництва») в динаміці навчального року (рис.1).</w:t>
      </w:r>
    </w:p>
    <w:p w:rsidR="001169C7" w:rsidRDefault="001169C7" w:rsidP="001169C7">
      <w:pPr>
        <w:widowControl w:val="0"/>
        <w:suppressAutoHyphens/>
        <w:autoSpaceDN w:val="0"/>
        <w:spacing w:after="0" w:line="360" w:lineRule="auto"/>
        <w:ind w:firstLine="709"/>
        <w:jc w:val="both"/>
        <w:textAlignment w:val="baseline"/>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Коефіцієнт розумової працездатності у всіх 3-х групах порівняння суттєво не змінювався (р&gt;0,05), але тенденція щодо його зниження у </w:t>
      </w:r>
      <w:r>
        <w:rPr>
          <w:rFonts w:ascii="Times New Roman" w:eastAsia="Calibri" w:hAnsi="Times New Roman" w:cs="Times New Roman"/>
          <w:sz w:val="28"/>
          <w:szCs w:val="28"/>
          <w:lang w:val="en-US"/>
        </w:rPr>
        <w:t>II</w:t>
      </w:r>
      <w:r>
        <w:rPr>
          <w:rFonts w:ascii="Times New Roman" w:eastAsia="Calibri" w:hAnsi="Times New Roman" w:cs="Times New Roman"/>
          <w:sz w:val="28"/>
          <w:szCs w:val="28"/>
          <w:lang w:val="uk-UA"/>
        </w:rPr>
        <w:t xml:space="preserve"> та </w:t>
      </w:r>
      <w:r>
        <w:rPr>
          <w:rFonts w:ascii="Times New Roman" w:eastAsia="Calibri" w:hAnsi="Times New Roman" w:cs="Times New Roman"/>
          <w:sz w:val="28"/>
          <w:szCs w:val="28"/>
          <w:lang w:val="en-US"/>
        </w:rPr>
        <w:t>III</w:t>
      </w:r>
      <w:r>
        <w:rPr>
          <w:rFonts w:ascii="Times New Roman" w:eastAsia="Calibri" w:hAnsi="Times New Roman" w:cs="Times New Roman"/>
          <w:sz w:val="28"/>
          <w:szCs w:val="28"/>
          <w:lang w:val="uk-UA"/>
        </w:rPr>
        <w:t xml:space="preserve"> групах, свідчить про певне погіршення функціонального стану вищої нервової діяльності цього контингенту ( рис.2).</w:t>
      </w:r>
    </w:p>
    <w:p w:rsidR="001169C7" w:rsidRDefault="001169C7" w:rsidP="001169C7">
      <w:pPr>
        <w:widowControl w:val="0"/>
        <w:suppressAutoHyphens/>
        <w:autoSpaceDN w:val="0"/>
        <w:spacing w:after="0" w:line="360" w:lineRule="auto"/>
        <w:ind w:firstLine="709"/>
        <w:jc w:val="both"/>
        <w:textAlignment w:val="baseline"/>
        <w:rPr>
          <w:rFonts w:ascii="Times New Roman" w:eastAsia="Calibri" w:hAnsi="Times New Roman" w:cs="Times New Roman"/>
          <w:sz w:val="28"/>
          <w:szCs w:val="28"/>
          <w:lang w:val="uk-UA"/>
        </w:rPr>
      </w:pPr>
      <w:r>
        <w:rPr>
          <w:rFonts w:ascii="Times New Roman" w:eastAsia="Calibri" w:hAnsi="Times New Roman" w:cs="Times New Roman"/>
          <w:noProof/>
          <w:sz w:val="28"/>
          <w:szCs w:val="28"/>
          <w:lang w:eastAsia="ru-RU"/>
        </w:rPr>
        <w:drawing>
          <wp:inline distT="0" distB="0" distL="0" distR="0">
            <wp:extent cx="5819775" cy="31432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9775" cy="3143250"/>
                    </a:xfrm>
                    <a:prstGeom prst="rect">
                      <a:avLst/>
                    </a:prstGeom>
                    <a:noFill/>
                    <a:ln>
                      <a:noFill/>
                    </a:ln>
                  </pic:spPr>
                </pic:pic>
              </a:graphicData>
            </a:graphic>
          </wp:inline>
        </w:drawing>
      </w:r>
    </w:p>
    <w:p w:rsidR="001169C7" w:rsidRDefault="001169C7" w:rsidP="001169C7">
      <w:pPr>
        <w:widowControl w:val="0"/>
        <w:suppressAutoHyphens/>
        <w:autoSpaceDN w:val="0"/>
        <w:spacing w:after="0" w:line="360" w:lineRule="auto"/>
        <w:ind w:firstLine="709"/>
        <w:jc w:val="both"/>
        <w:textAlignment w:val="baseline"/>
        <w:rPr>
          <w:rFonts w:ascii="Times New Roman" w:eastAsia="Calibri" w:hAnsi="Times New Roman" w:cs="Times New Roman"/>
          <w:sz w:val="28"/>
          <w:szCs w:val="28"/>
          <w:lang w:val="uk-UA"/>
        </w:rPr>
      </w:pPr>
      <w:r>
        <w:rPr>
          <w:rFonts w:ascii="Times New Roman" w:eastAsia="Calibri" w:hAnsi="Times New Roman" w:cs="Times New Roman"/>
          <w:noProof/>
          <w:sz w:val="28"/>
          <w:szCs w:val="28"/>
          <w:lang w:eastAsia="ru-RU"/>
        </w:rPr>
        <w:lastRenderedPageBreak/>
        <w:drawing>
          <wp:inline distT="0" distB="0" distL="0" distR="0">
            <wp:extent cx="5514975" cy="3009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4975" cy="3009900"/>
                    </a:xfrm>
                    <a:prstGeom prst="rect">
                      <a:avLst/>
                    </a:prstGeom>
                    <a:noFill/>
                    <a:ln>
                      <a:noFill/>
                    </a:ln>
                  </pic:spPr>
                </pic:pic>
              </a:graphicData>
            </a:graphic>
          </wp:inline>
        </w:drawing>
      </w:r>
    </w:p>
    <w:p w:rsidR="001169C7" w:rsidRDefault="001169C7" w:rsidP="001169C7">
      <w:pPr>
        <w:widowControl w:val="0"/>
        <w:suppressAutoHyphens/>
        <w:autoSpaceDN w:val="0"/>
        <w:spacing w:after="0" w:line="360" w:lineRule="auto"/>
        <w:ind w:firstLine="709"/>
        <w:jc w:val="both"/>
        <w:textAlignment w:val="baseline"/>
        <w:rPr>
          <w:rFonts w:ascii="Times New Roman" w:eastAsia="Calibri" w:hAnsi="Times New Roman" w:cs="Times New Roman"/>
          <w:sz w:val="28"/>
          <w:szCs w:val="28"/>
          <w:lang w:val="uk-UA" w:eastAsia="uk-UA"/>
        </w:rPr>
      </w:pPr>
      <w:r>
        <w:rPr>
          <w:rFonts w:ascii="Times New Roman" w:eastAsia="Calibri" w:hAnsi="Times New Roman" w:cs="Times New Roman"/>
          <w:noProof/>
          <w:sz w:val="28"/>
          <w:szCs w:val="28"/>
          <w:lang w:eastAsia="ru-RU"/>
        </w:rPr>
        <w:drawing>
          <wp:inline distT="0" distB="0" distL="0" distR="0">
            <wp:extent cx="5657850" cy="2924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7850" cy="2924175"/>
                    </a:xfrm>
                    <a:prstGeom prst="rect">
                      <a:avLst/>
                    </a:prstGeom>
                    <a:noFill/>
                    <a:ln>
                      <a:noFill/>
                    </a:ln>
                  </pic:spPr>
                </pic:pic>
              </a:graphicData>
            </a:graphic>
          </wp:inline>
        </w:drawing>
      </w:r>
    </w:p>
    <w:p w:rsidR="001169C7" w:rsidRDefault="001169C7" w:rsidP="001169C7">
      <w:pPr>
        <w:widowControl w:val="0"/>
        <w:suppressAutoHyphens/>
        <w:autoSpaceDN w:val="0"/>
        <w:spacing w:after="0" w:line="360" w:lineRule="auto"/>
        <w:ind w:firstLine="709"/>
        <w:jc w:val="both"/>
        <w:textAlignment w:val="baseline"/>
        <w:rPr>
          <w:rFonts w:ascii="Calibri" w:eastAsia="Calibri" w:hAnsi="Calibri" w:cs="Times New Roman"/>
          <w:lang w:val="uk-UA"/>
        </w:rPr>
      </w:pPr>
      <w:r>
        <w:rPr>
          <w:rFonts w:ascii="Times New Roman" w:eastAsia="Calibri" w:hAnsi="Times New Roman" w:cs="Times New Roman"/>
          <w:sz w:val="28"/>
          <w:szCs w:val="28"/>
          <w:lang w:val="uk-UA" w:eastAsia="uk-UA"/>
        </w:rPr>
        <w:t xml:space="preserve">Даний висновок підтверджується результатами аналізу динаміки показника стійкості уваги, який був відносно стабільний у </w:t>
      </w:r>
      <w:r>
        <w:rPr>
          <w:rFonts w:ascii="Times New Roman" w:eastAsia="Calibri" w:hAnsi="Times New Roman" w:cs="Times New Roman"/>
          <w:sz w:val="28"/>
          <w:szCs w:val="28"/>
          <w:lang w:val="en-US" w:eastAsia="uk-UA"/>
        </w:rPr>
        <w:t>I</w:t>
      </w:r>
      <w:r>
        <w:rPr>
          <w:rFonts w:ascii="Times New Roman" w:eastAsia="Calibri" w:hAnsi="Times New Roman" w:cs="Times New Roman"/>
          <w:sz w:val="28"/>
          <w:szCs w:val="28"/>
          <w:lang w:val="uk-UA" w:eastAsia="uk-UA"/>
        </w:rPr>
        <w:t xml:space="preserve"> групі </w:t>
      </w:r>
      <w:r>
        <w:rPr>
          <w:rFonts w:ascii="Times New Roman" w:eastAsia="Calibri" w:hAnsi="Times New Roman" w:cs="Times New Roman"/>
          <w:kern w:val="3"/>
          <w:sz w:val="28"/>
          <w:szCs w:val="28"/>
          <w:lang w:val="uk-UA" w:eastAsia="ja-JP" w:bidi="fa-IR"/>
        </w:rPr>
        <w:t>(р</w:t>
      </w:r>
      <w:r>
        <w:rPr>
          <w:rFonts w:ascii="Times New Roman" w:eastAsia="Arial Unicode MS" w:hAnsi="Times New Roman" w:cs="Times New Roman"/>
          <w:sz w:val="28"/>
          <w:szCs w:val="28"/>
          <w:lang w:val="uk-UA" w:eastAsia="ru-RU"/>
        </w:rPr>
        <w:t xml:space="preserve">&gt;0,05), але суттєво погіршувався протягом навчального року у </w:t>
      </w:r>
      <w:r>
        <w:rPr>
          <w:rFonts w:ascii="Times New Roman" w:eastAsia="Arial Unicode MS" w:hAnsi="Times New Roman" w:cs="Times New Roman"/>
          <w:sz w:val="28"/>
          <w:szCs w:val="28"/>
          <w:lang w:val="en-US" w:eastAsia="ru-RU"/>
        </w:rPr>
        <w:t>II</w:t>
      </w:r>
      <w:r>
        <w:rPr>
          <w:rFonts w:ascii="Times New Roman" w:eastAsia="Arial Unicode MS" w:hAnsi="Times New Roman" w:cs="Times New Roman"/>
          <w:sz w:val="28"/>
          <w:szCs w:val="28"/>
          <w:lang w:val="uk-UA" w:eastAsia="ru-RU"/>
        </w:rPr>
        <w:t xml:space="preserve"> (від </w:t>
      </w:r>
      <w:r>
        <w:rPr>
          <w:rFonts w:ascii="Times New Roman" w:eastAsia="Calibri" w:hAnsi="Times New Roman" w:cs="Times New Roman"/>
          <w:kern w:val="3"/>
          <w:sz w:val="28"/>
          <w:szCs w:val="28"/>
          <w:lang w:val="uk-UA" w:eastAsia="ja-JP" w:bidi="fa-IR"/>
        </w:rPr>
        <w:t>45,38</w:t>
      </w:r>
      <w:r>
        <w:rPr>
          <w:rFonts w:ascii="Times New Roman" w:eastAsia="Calibri" w:hAnsi="Times New Roman" w:cs="Times New Roman"/>
          <w:sz w:val="28"/>
          <w:szCs w:val="28"/>
          <w:lang w:val="uk-UA"/>
        </w:rPr>
        <w:t>±9,08</w:t>
      </w:r>
      <w:r>
        <w:rPr>
          <w:rFonts w:ascii="Times New Roman" w:eastAsia="Calibri" w:hAnsi="Times New Roman" w:cs="Times New Roman"/>
          <w:kern w:val="3"/>
          <w:sz w:val="28"/>
          <w:szCs w:val="28"/>
          <w:lang w:val="uk-UA" w:eastAsia="ja-JP" w:bidi="fa-IR"/>
        </w:rPr>
        <w:t xml:space="preserve"> </w:t>
      </w:r>
      <w:proofErr w:type="spellStart"/>
      <w:r>
        <w:rPr>
          <w:rFonts w:ascii="Times New Roman" w:eastAsia="Calibri" w:hAnsi="Times New Roman" w:cs="Times New Roman"/>
          <w:kern w:val="3"/>
          <w:sz w:val="28"/>
          <w:szCs w:val="28"/>
          <w:lang w:val="uk-UA" w:eastAsia="ja-JP" w:bidi="fa-IR"/>
        </w:rPr>
        <w:t>у.о</w:t>
      </w:r>
      <w:proofErr w:type="spellEnd"/>
      <w:r>
        <w:rPr>
          <w:rFonts w:ascii="Times New Roman" w:eastAsia="Calibri" w:hAnsi="Times New Roman" w:cs="Times New Roman"/>
          <w:kern w:val="3"/>
          <w:sz w:val="28"/>
          <w:szCs w:val="28"/>
          <w:lang w:val="uk-UA" w:eastAsia="ja-JP" w:bidi="fa-IR"/>
        </w:rPr>
        <w:t xml:space="preserve">., до </w:t>
      </w:r>
      <w:r>
        <w:rPr>
          <w:rFonts w:ascii="Times New Roman" w:eastAsia="Calibri" w:hAnsi="Times New Roman" w:cs="Times New Roman"/>
          <w:sz w:val="28"/>
          <w:szCs w:val="28"/>
          <w:lang w:val="uk-UA"/>
        </w:rPr>
        <w:t xml:space="preserve">24,20±2,11 </w:t>
      </w:r>
      <w:r>
        <w:rPr>
          <w:rFonts w:ascii="Times New Roman" w:eastAsia="Calibri" w:hAnsi="Times New Roman" w:cs="Times New Roman"/>
          <w:kern w:val="3"/>
          <w:sz w:val="28"/>
          <w:szCs w:val="28"/>
          <w:lang w:val="uk-UA" w:eastAsia="ja-JP" w:bidi="fa-IR"/>
        </w:rPr>
        <w:t xml:space="preserve">у. о., при </w:t>
      </w:r>
      <w:r>
        <w:rPr>
          <w:rFonts w:ascii="Times New Roman" w:eastAsia="Calibri" w:hAnsi="Times New Roman" w:cs="Times New Roman"/>
          <w:sz w:val="28"/>
          <w:szCs w:val="28"/>
          <w:lang w:val="uk-UA"/>
        </w:rPr>
        <w:t xml:space="preserve">р&lt;0,05) </w:t>
      </w:r>
      <w:r>
        <w:rPr>
          <w:rFonts w:ascii="Times New Roman" w:eastAsia="Arial Unicode MS" w:hAnsi="Times New Roman" w:cs="Times New Roman"/>
          <w:sz w:val="28"/>
          <w:szCs w:val="28"/>
          <w:lang w:val="uk-UA" w:eastAsia="ru-RU"/>
        </w:rPr>
        <w:t xml:space="preserve">та </w:t>
      </w:r>
      <w:r>
        <w:rPr>
          <w:rFonts w:ascii="Times New Roman" w:eastAsia="Arial Unicode MS" w:hAnsi="Times New Roman" w:cs="Times New Roman"/>
          <w:sz w:val="28"/>
          <w:szCs w:val="28"/>
          <w:lang w:val="en-US" w:eastAsia="ru-RU"/>
        </w:rPr>
        <w:t>III</w:t>
      </w:r>
      <w:r>
        <w:rPr>
          <w:rFonts w:ascii="Times New Roman" w:eastAsia="Arial Unicode MS" w:hAnsi="Times New Roman" w:cs="Times New Roman"/>
          <w:sz w:val="28"/>
          <w:szCs w:val="28"/>
          <w:lang w:val="uk-UA" w:eastAsia="ru-RU"/>
        </w:rPr>
        <w:t xml:space="preserve"> групах порівняння </w:t>
      </w:r>
      <w:r>
        <w:rPr>
          <w:rFonts w:ascii="Times New Roman" w:eastAsia="Calibri" w:hAnsi="Times New Roman" w:cs="Times New Roman"/>
          <w:kern w:val="3"/>
          <w:sz w:val="28"/>
          <w:szCs w:val="28"/>
          <w:lang w:val="uk-UA" w:eastAsia="ja-JP" w:bidi="fa-IR"/>
        </w:rPr>
        <w:t>(від 45,38</w:t>
      </w:r>
      <w:r>
        <w:rPr>
          <w:rFonts w:ascii="Times New Roman" w:eastAsia="Calibri" w:hAnsi="Times New Roman" w:cs="Times New Roman"/>
          <w:sz w:val="28"/>
          <w:szCs w:val="28"/>
          <w:lang w:val="uk-UA"/>
        </w:rPr>
        <w:t>±9,08</w:t>
      </w:r>
      <w:r>
        <w:rPr>
          <w:rFonts w:ascii="Times New Roman" w:eastAsia="Calibri" w:hAnsi="Times New Roman" w:cs="Times New Roman"/>
          <w:kern w:val="3"/>
          <w:sz w:val="28"/>
          <w:szCs w:val="28"/>
          <w:lang w:val="uk-UA" w:eastAsia="ja-JP" w:bidi="fa-IR"/>
        </w:rPr>
        <w:t xml:space="preserve"> </w:t>
      </w:r>
      <w:proofErr w:type="spellStart"/>
      <w:r>
        <w:rPr>
          <w:rFonts w:ascii="Times New Roman" w:eastAsia="Calibri" w:hAnsi="Times New Roman" w:cs="Times New Roman"/>
          <w:kern w:val="3"/>
          <w:sz w:val="28"/>
          <w:szCs w:val="28"/>
          <w:lang w:val="uk-UA" w:eastAsia="ja-JP" w:bidi="fa-IR"/>
        </w:rPr>
        <w:t>у.о</w:t>
      </w:r>
      <w:proofErr w:type="spellEnd"/>
      <w:r>
        <w:rPr>
          <w:rFonts w:ascii="Times New Roman" w:eastAsia="Calibri" w:hAnsi="Times New Roman" w:cs="Times New Roman"/>
          <w:kern w:val="3"/>
          <w:sz w:val="28"/>
          <w:szCs w:val="28"/>
          <w:lang w:val="uk-UA" w:eastAsia="ja-JP" w:bidi="fa-IR"/>
        </w:rPr>
        <w:t xml:space="preserve">., до </w:t>
      </w:r>
      <w:r>
        <w:rPr>
          <w:rFonts w:ascii="Times New Roman" w:eastAsia="Calibri" w:hAnsi="Times New Roman" w:cs="Times New Roman"/>
          <w:sz w:val="28"/>
          <w:szCs w:val="28"/>
          <w:lang w:val="uk-UA"/>
        </w:rPr>
        <w:t xml:space="preserve">24,20±2,11 </w:t>
      </w:r>
      <w:r>
        <w:rPr>
          <w:rFonts w:ascii="Times New Roman" w:eastAsia="Calibri" w:hAnsi="Times New Roman" w:cs="Times New Roman"/>
          <w:kern w:val="3"/>
          <w:sz w:val="28"/>
          <w:szCs w:val="28"/>
          <w:lang w:val="uk-UA" w:eastAsia="ja-JP" w:bidi="fa-IR"/>
        </w:rPr>
        <w:t xml:space="preserve">у. о., при </w:t>
      </w:r>
      <w:r>
        <w:rPr>
          <w:rFonts w:ascii="Times New Roman" w:eastAsia="Calibri" w:hAnsi="Times New Roman" w:cs="Times New Roman"/>
          <w:sz w:val="28"/>
          <w:szCs w:val="28"/>
          <w:lang w:val="uk-UA"/>
        </w:rPr>
        <w:t>р&lt;0,05)</w:t>
      </w:r>
      <w:r>
        <w:rPr>
          <w:rFonts w:ascii="Times New Roman" w:eastAsia="Calibri" w:hAnsi="Times New Roman" w:cs="Times New Roman"/>
          <w:bCs/>
          <w:sz w:val="28"/>
          <w:szCs w:val="28"/>
          <w:lang w:val="uk-UA"/>
        </w:rPr>
        <w:t>( рис.3).</w:t>
      </w:r>
      <w:r>
        <w:rPr>
          <w:rFonts w:ascii="Calibri" w:eastAsia="Calibri" w:hAnsi="Calibri" w:cs="Times New Roman"/>
          <w:lang w:val="uk-UA"/>
        </w:rPr>
        <w:t xml:space="preserve"> </w:t>
      </w:r>
    </w:p>
    <w:p w:rsidR="001169C7" w:rsidRDefault="001169C7" w:rsidP="001169C7">
      <w:pPr>
        <w:widowControl w:val="0"/>
        <w:suppressAutoHyphens/>
        <w:autoSpaceDN w:val="0"/>
        <w:spacing w:after="0" w:line="360" w:lineRule="auto"/>
        <w:ind w:firstLine="709"/>
        <w:jc w:val="both"/>
        <w:textAlignment w:val="baseline"/>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Таким чином, найбільш стабільний функціональний стан ліцеїстів спостерігався на першому році навчання, під час опанування професії «слюсар з ремонту сільськогосподарських машин та обладнання». У подальшому, у зв’язку зі зростанням навчальних навантажень, на тлі виявлених суттєвих порушень умов життєдіяльності (насамперед, зниження </w:t>
      </w:r>
      <w:r>
        <w:rPr>
          <w:rFonts w:ascii="Times New Roman" w:eastAsia="Calibri" w:hAnsi="Times New Roman" w:cs="Times New Roman"/>
          <w:bCs/>
          <w:sz w:val="28"/>
          <w:szCs w:val="28"/>
          <w:lang w:val="uk-UA"/>
        </w:rPr>
        <w:lastRenderedPageBreak/>
        <w:t>рухової активності у 51% досліджуваних, порушення режимно-організаційного характеру у 46% опитаних та порушення харчування у 48% респондентів), визначалося погіршення функціонального стану юнаків. Фізіологічним підґрунтям цього процесу є розвиток втоми.</w:t>
      </w:r>
    </w:p>
    <w:p w:rsidR="001169C7" w:rsidRDefault="001169C7" w:rsidP="001169C7">
      <w:pPr>
        <w:widowControl w:val="0"/>
        <w:suppressAutoHyphens/>
        <w:autoSpaceDN w:val="0"/>
        <w:spacing w:after="0" w:line="360" w:lineRule="auto"/>
        <w:ind w:firstLine="709"/>
        <w:jc w:val="both"/>
        <w:textAlignment w:val="baseline"/>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Найбільш критичні зміни відбувалися на другому та третьому курсах навчання, під час опанування ліцеїстами професій «тракторист - машиніст сільськогосподарського (лісогосподарського) виробництва» та «водій автотранспортних засобів».</w:t>
      </w:r>
    </w:p>
    <w:p w:rsidR="001169C7" w:rsidRDefault="001169C7" w:rsidP="001169C7">
      <w:pPr>
        <w:widowControl w:val="0"/>
        <w:suppressAutoHyphens/>
        <w:autoSpaceDN w:val="0"/>
        <w:spacing w:after="0" w:line="360" w:lineRule="auto"/>
        <w:ind w:firstLine="709"/>
        <w:jc w:val="both"/>
        <w:textAlignment w:val="baseline"/>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Такі зміни функціонального стану організму підлітків потребують оптимізації навчального процесу та </w:t>
      </w:r>
      <w:proofErr w:type="spellStart"/>
      <w:r>
        <w:rPr>
          <w:rFonts w:ascii="Times New Roman" w:eastAsia="Calibri" w:hAnsi="Times New Roman" w:cs="Times New Roman"/>
          <w:sz w:val="28"/>
          <w:szCs w:val="28"/>
          <w:lang w:val="uk-UA"/>
        </w:rPr>
        <w:t>позааудиторного</w:t>
      </w:r>
      <w:proofErr w:type="spellEnd"/>
      <w:r>
        <w:rPr>
          <w:rFonts w:ascii="Times New Roman" w:eastAsia="Calibri" w:hAnsi="Times New Roman" w:cs="Times New Roman"/>
          <w:sz w:val="28"/>
          <w:szCs w:val="28"/>
          <w:lang w:val="uk-UA"/>
        </w:rPr>
        <w:t xml:space="preserve"> життя ліцеїстів а саме: впровадження системи гігієнічних заходів організаційного характеру. </w:t>
      </w:r>
    </w:p>
    <w:p w:rsidR="001169C7" w:rsidRDefault="001169C7" w:rsidP="001169C7">
      <w:pPr>
        <w:widowControl w:val="0"/>
        <w:suppressAutoHyphens/>
        <w:autoSpaceDN w:val="0"/>
        <w:spacing w:after="0" w:line="360" w:lineRule="auto"/>
        <w:ind w:firstLine="709"/>
        <w:jc w:val="both"/>
        <w:textAlignment w:val="baseline"/>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Суттєвими чинниками, які сприятимуть впровадженню профілактичних заходів є визначений на підставі проведених досліджень, високий рівень психологічного мікроклімату (97% обстежених) та міцні навички особистої гігієни учнів професійного аграрного ліцею (95% обстежених). А також переважно здоровий спосіб життя ліцеїстів (70 % респондентів), пов’язаний з нерозповсюдженням серед цього контингенту шкідливих звичок.</w:t>
      </w:r>
    </w:p>
    <w:p w:rsidR="001169C7" w:rsidRDefault="001169C7" w:rsidP="001169C7">
      <w:pPr>
        <w:spacing w:after="0" w:line="360" w:lineRule="auto"/>
        <w:ind w:firstLine="709"/>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Висновки.</w:t>
      </w:r>
    </w:p>
    <w:p w:rsidR="001169C7" w:rsidRDefault="001169C7" w:rsidP="001169C7">
      <w:pPr>
        <w:spacing w:after="0" w:line="360" w:lineRule="auto"/>
        <w:ind w:firstLine="709"/>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 xml:space="preserve">1. Гігієнічні умови навчання підлітків, які опановують аграрні спеціальності на базі професійного аграрного ліцею, характеризувалися в цілому допустимими показниками мікроклімату, шуму та електромагнітного випромінювання. При цьому істотним шкідливим фактором виявилась недостатня освітленість навчально-виробничих приміщень , що може негативно впливати на функціональний стан здоров’я учнів, визивати перенапругу та передчасне стомлення, що у сукупності є фактором ризику виникнення станів </w:t>
      </w:r>
      <w:proofErr w:type="spellStart"/>
      <w:r>
        <w:rPr>
          <w:rFonts w:ascii="Times New Roman" w:eastAsia="Arial Unicode MS" w:hAnsi="Times New Roman" w:cs="Times New Roman"/>
          <w:sz w:val="28"/>
          <w:szCs w:val="28"/>
          <w:lang w:val="uk-UA" w:eastAsia="ru-RU"/>
        </w:rPr>
        <w:t>диздаптації</w:t>
      </w:r>
      <w:proofErr w:type="spellEnd"/>
      <w:r>
        <w:rPr>
          <w:rFonts w:ascii="Times New Roman" w:eastAsia="Arial Unicode MS" w:hAnsi="Times New Roman" w:cs="Times New Roman"/>
          <w:sz w:val="28"/>
          <w:szCs w:val="28"/>
          <w:lang w:val="uk-UA" w:eastAsia="ru-RU"/>
        </w:rPr>
        <w:t xml:space="preserve"> та в подальшому порушень з боку зорового аналізатора.</w:t>
      </w:r>
    </w:p>
    <w:p w:rsidR="001169C7" w:rsidRDefault="001169C7" w:rsidP="001169C7">
      <w:pPr>
        <w:spacing w:after="0" w:line="360" w:lineRule="auto"/>
        <w:ind w:firstLine="709"/>
        <w:jc w:val="both"/>
        <w:rPr>
          <w:rFonts w:ascii="Times New Roman" w:eastAsia="Calibri" w:hAnsi="Times New Roman" w:cs="Times New Roman"/>
          <w:sz w:val="28"/>
          <w:szCs w:val="28"/>
          <w:lang w:val="uk-UA"/>
        </w:rPr>
      </w:pPr>
      <w:r>
        <w:rPr>
          <w:rFonts w:ascii="Times New Roman" w:eastAsia="Arial Unicode MS" w:hAnsi="Times New Roman" w:cs="Times New Roman"/>
          <w:sz w:val="28"/>
          <w:szCs w:val="28"/>
          <w:lang w:val="uk-UA" w:eastAsia="ru-RU"/>
        </w:rPr>
        <w:t>2. Ж</w:t>
      </w:r>
      <w:r>
        <w:rPr>
          <w:rFonts w:ascii="Times New Roman" w:eastAsia="Calibri" w:hAnsi="Times New Roman" w:cs="Times New Roman"/>
          <w:sz w:val="28"/>
          <w:szCs w:val="28"/>
          <w:lang w:val="uk-UA"/>
        </w:rPr>
        <w:t xml:space="preserve">иттєдіяльність переважної більшості ліцеїстів (70 % опитаних) професійного аграрного ліцею здійснювалося за умов сприятливого </w:t>
      </w:r>
      <w:r>
        <w:rPr>
          <w:rFonts w:ascii="Times New Roman" w:eastAsia="Calibri" w:hAnsi="Times New Roman" w:cs="Times New Roman"/>
          <w:sz w:val="28"/>
          <w:szCs w:val="28"/>
          <w:lang w:val="uk-UA"/>
        </w:rPr>
        <w:lastRenderedPageBreak/>
        <w:t>психологічного мікроклімату у колективі та за дотриманням правил особистої гігієни та здорового способу життя. До визначених негативних явищ у життєдіяльності ліцеїстів відносяться: порушення вимог до організації харчування (48 % опитаних), досить низька рухова активність (51 % опитаних), порушення режиму дня (46 % опитаних).</w:t>
      </w:r>
    </w:p>
    <w:p w:rsidR="001169C7" w:rsidRDefault="001169C7" w:rsidP="001169C7">
      <w:pPr>
        <w:spacing w:after="0" w:line="360" w:lineRule="auto"/>
        <w:ind w:firstLine="709"/>
        <w:jc w:val="both"/>
        <w:rPr>
          <w:rFonts w:ascii="Times New Roman" w:eastAsia="Calibri" w:hAnsi="Times New Roman" w:cs="Times New Roman"/>
          <w:sz w:val="28"/>
          <w:szCs w:val="28"/>
          <w:lang w:val="uk-UA"/>
        </w:rPr>
      </w:pPr>
      <w:r>
        <w:rPr>
          <w:rFonts w:ascii="Times New Roman" w:eastAsia="Arial Unicode MS" w:hAnsi="Times New Roman" w:cs="Times New Roman"/>
          <w:sz w:val="28"/>
          <w:szCs w:val="28"/>
          <w:lang w:val="uk-UA" w:eastAsia="ru-RU"/>
        </w:rPr>
        <w:t>3.</w:t>
      </w:r>
      <w:r>
        <w:rPr>
          <w:rFonts w:ascii="Times New Roman" w:eastAsia="Calibri" w:hAnsi="Times New Roman" w:cs="Times New Roman"/>
          <w:sz w:val="28"/>
          <w:szCs w:val="28"/>
          <w:lang w:val="uk-UA"/>
        </w:rPr>
        <w:t xml:space="preserve"> Умови життєдіяльності ліцеїстів безпосередньо відбиваються на їх функціональному стані, зокрема на показниках розумової працездатності, як фізіологічній основі когнітивної діяльності, про що свідчить істотне зниження показників розумової працездатності (р&lt;0,05),що відповідає розвитку втоми.</w:t>
      </w:r>
    </w:p>
    <w:p w:rsidR="001169C7" w:rsidRDefault="001169C7" w:rsidP="001169C7">
      <w:pPr>
        <w:widowControl w:val="0"/>
        <w:suppressAutoHyphens/>
        <w:autoSpaceDN w:val="0"/>
        <w:spacing w:after="0" w:line="360" w:lineRule="auto"/>
        <w:ind w:firstLine="709"/>
        <w:jc w:val="both"/>
        <w:textAlignment w:val="baseline"/>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rPr>
        <w:t xml:space="preserve">4. Комплекс профілактичних заходів, спрямованих на корекцію функціонального стану, попередження кумуляції втоми та розвитку патологічного стану – перевтоми, повинен включати наступні заходи: покращення гігієнічних умов навчально-професійної підготовки шляхом нормування освітлення приміщень та оптимізації робочих місць згідно санітарних норм і правил; з метою попередження розвитку станів </w:t>
      </w:r>
      <w:proofErr w:type="spellStart"/>
      <w:r>
        <w:rPr>
          <w:rFonts w:ascii="Times New Roman" w:eastAsia="Calibri" w:hAnsi="Times New Roman" w:cs="Times New Roman"/>
          <w:sz w:val="28"/>
          <w:szCs w:val="28"/>
          <w:lang w:val="uk-UA"/>
        </w:rPr>
        <w:t>дизадаптації</w:t>
      </w:r>
      <w:proofErr w:type="spellEnd"/>
      <w:r>
        <w:rPr>
          <w:rFonts w:ascii="Times New Roman" w:eastAsia="Calibri" w:hAnsi="Times New Roman" w:cs="Times New Roman"/>
          <w:sz w:val="28"/>
          <w:szCs w:val="28"/>
          <w:lang w:val="uk-UA"/>
        </w:rPr>
        <w:t xml:space="preserve"> та подальшого їх негативного прояву, необхідно включити в навчальний та виробничий процес комплекси адаптогенних та гігієнічно-профілактичних заходів, які будуть цілеспрямовано впливати на оптимізацію професійної діяльності й психофізіологічної адаптації організму підлітків до дії шкідливих факторів навчального та навчально-виробничого середовища. Впровадження цих заходів допоможе підготувати несприятливу реакцію організму підлітка до напруженого етапу участі у виробничій практиці, шляхом оптимізації та тренування професійно значущих функцій. Втіленню системи профілактичних заходів сприятимуть такі позитивні риси життєдіяльності ліцеїстів, як </w:t>
      </w:r>
      <w:r>
        <w:rPr>
          <w:rFonts w:ascii="Times New Roman" w:eastAsia="Calibri" w:hAnsi="Times New Roman" w:cs="Times New Roman"/>
          <w:sz w:val="28"/>
          <w:szCs w:val="28"/>
          <w:lang w:val="uk-UA" w:eastAsia="uk-UA"/>
        </w:rPr>
        <w:t>високий рівень психологічного мікроклімату та міцні навички особистої гігієни.</w:t>
      </w:r>
    </w:p>
    <w:p w:rsidR="001169C7" w:rsidRDefault="001169C7" w:rsidP="001169C7">
      <w:pPr>
        <w:rPr>
          <w:rFonts w:ascii="Times New Roman" w:hAnsi="Times New Roman" w:cs="Times New Roman"/>
          <w:sz w:val="28"/>
          <w:szCs w:val="28"/>
          <w:lang w:val="uk-UA"/>
        </w:rPr>
      </w:pPr>
    </w:p>
    <w:p w:rsidR="00F132AA" w:rsidRPr="001169C7" w:rsidRDefault="00F132AA">
      <w:pPr>
        <w:rPr>
          <w:lang w:val="uk-UA"/>
        </w:rPr>
      </w:pPr>
    </w:p>
    <w:sectPr w:rsidR="00F132AA" w:rsidRPr="001169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C7"/>
    <w:rsid w:val="001169C7"/>
    <w:rsid w:val="00F13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9C7"/>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69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69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9C7"/>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69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6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6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2420</Words>
  <Characters>13794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2018-11-20T11:30:00Z</dcterms:created>
  <dcterms:modified xsi:type="dcterms:W3CDTF">2018-11-20T11:33:00Z</dcterms:modified>
</cp:coreProperties>
</file>