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504190</wp:posOffset>
            </wp:positionH>
            <wp:positionV relativeFrom="page">
              <wp:posOffset>2106295</wp:posOffset>
            </wp:positionV>
            <wp:extent cx="3132455" cy="1155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132455" cy="1155700"/>
                    </a:xfrm>
                    <a:prstGeom prst="rect">
                      <a:avLst/>
                    </a:prstGeom>
                    <a:noFill/>
                  </pic:spPr>
                </pic:pic>
              </a:graphicData>
            </a:graphic>
          </wp:anchor>
        </w:drawing>
        <w:drawing>
          <wp:anchor simplePos="0" relativeHeight="251657728" behindDoc="1" locked="0" layoutInCell="0" allowOverlap="1">
            <wp:simplePos x="0" y="0"/>
            <wp:positionH relativeFrom="page">
              <wp:posOffset>5048885</wp:posOffset>
            </wp:positionH>
            <wp:positionV relativeFrom="page">
              <wp:posOffset>2192020</wp:posOffset>
            </wp:positionV>
            <wp:extent cx="1875790" cy="11283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875790" cy="112839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tabs>
          <w:tab w:leader="none" w:pos="7300" w:val="left"/>
        </w:tabs>
        <w:rPr>
          <w:sz w:val="20"/>
          <w:szCs w:val="20"/>
          <w:color w:val="auto"/>
        </w:rPr>
      </w:pPr>
      <w:r>
        <w:rPr>
          <w:rFonts w:ascii="Arial" w:cs="Arial" w:eastAsia="Arial" w:hAnsi="Arial"/>
          <w:sz w:val="28"/>
          <w:szCs w:val="28"/>
          <w:color w:val="auto"/>
        </w:rPr>
        <w:t>TOM LXXI, 2018, Nr2 cz I</w:t>
      </w:r>
      <w:r>
        <w:rPr>
          <w:sz w:val="20"/>
          <w:szCs w:val="20"/>
          <w:color w:val="auto"/>
        </w:rPr>
        <w:tab/>
      </w:r>
      <w:r>
        <w:rPr>
          <w:rFonts w:ascii="Arial" w:cs="Arial" w:eastAsia="Arial" w:hAnsi="Arial"/>
          <w:sz w:val="18"/>
          <w:szCs w:val="18"/>
          <w:color w:val="auto"/>
        </w:rPr>
        <w:t>Rok założenia 1928</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-359410</wp:posOffset>
                </wp:positionH>
                <wp:positionV relativeFrom="paragraph">
                  <wp:posOffset>95250</wp:posOffset>
                </wp:positionV>
                <wp:extent cx="640778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999pt,7.5pt" to="476.25pt,7.5pt" o:allowincell="f" strokecolor="#000000" strokeweight="0.5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spacing w:after="0" w:line="238" w:lineRule="auto"/>
        <w:rPr>
          <w:sz w:val="20"/>
          <w:szCs w:val="20"/>
          <w:color w:val="auto"/>
        </w:rPr>
      </w:pPr>
      <w:r>
        <w:rPr>
          <w:rFonts w:ascii="Arial" w:cs="Arial" w:eastAsia="Arial" w:hAnsi="Arial"/>
          <w:sz w:val="36"/>
          <w:szCs w:val="36"/>
          <w:b w:val="1"/>
          <w:bCs w:val="1"/>
          <w:color w:val="auto"/>
        </w:rPr>
        <w:t>International scientific conference "Current issues of medical care on the basis of primary health care system"</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8"/>
          <w:szCs w:val="28"/>
          <w:color w:val="auto"/>
        </w:rPr>
        <w:t>18-19 of April 2018 Uzhhorod, Ukraine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2350135</wp:posOffset>
            </wp:positionH>
            <wp:positionV relativeFrom="paragraph">
              <wp:posOffset>2696845</wp:posOffset>
            </wp:positionV>
            <wp:extent cx="953135" cy="375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953135" cy="375920"/>
                    </a:xfrm>
                    <a:prstGeom prst="rect">
                      <a:avLst/>
                    </a:prstGeom>
                    <a:noFill/>
                  </pic:spPr>
                </pic:pic>
              </a:graphicData>
            </a:graphic>
          </wp:anchor>
        </w:drawing>
      </w:r>
    </w:p>
    <w:p>
      <w:pPr>
        <w:sectPr>
          <w:pgSz w:w="11620" w:h="16157" w:orient="portrait"/>
          <w:cols w:equalWidth="0" w:num="1">
            <w:col w:w="8960"/>
          </w:cols>
          <w:pgMar w:left="1360" w:top="1440" w:right="1302" w:bottom="215"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7" w:lineRule="exact"/>
        <w:rPr>
          <w:sz w:val="24"/>
          <w:szCs w:val="24"/>
          <w:color w:val="auto"/>
        </w:rPr>
      </w:pPr>
    </w:p>
    <w:p>
      <w:pPr>
        <w:jc w:val="center"/>
        <w:ind w:right="60"/>
        <w:spacing w:after="0"/>
        <w:rPr>
          <w:sz w:val="20"/>
          <w:szCs w:val="20"/>
          <w:color w:val="auto"/>
        </w:rPr>
      </w:pPr>
      <w:r>
        <w:rPr>
          <w:rFonts w:ascii="Arial" w:cs="Arial" w:eastAsia="Arial" w:hAnsi="Arial"/>
          <w:sz w:val="19"/>
          <w:szCs w:val="19"/>
          <w:color w:val="auto"/>
        </w:rPr>
        <w:t>Aluna Publishing</w:t>
      </w:r>
    </w:p>
    <w:p>
      <w:pPr>
        <w:sectPr>
          <w:pgSz w:w="11620" w:h="16157" w:orient="portrait"/>
          <w:cols w:equalWidth="0" w:num="1">
            <w:col w:w="8960"/>
          </w:cols>
          <w:pgMar w:left="1360" w:top="1440" w:right="1302" w:bottom="215"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322"/>
        </w:trPr>
        <w:tc>
          <w:tcPr>
            <w:tcW w:w="8380" w:type="dxa"/>
            <w:vAlign w:val="bottom"/>
            <w:tcBorders>
              <w:bottom w:val="single" w:sz="8" w:color="auto"/>
            </w:tcBorders>
          </w:tcPr>
          <w:p>
            <w:pPr>
              <w:spacing w:after="0"/>
              <w:rPr>
                <w:sz w:val="20"/>
                <w:szCs w:val="20"/>
                <w:color w:val="auto"/>
              </w:rPr>
            </w:pPr>
            <w:r>
              <w:rPr>
                <w:rFonts w:ascii="Arial" w:cs="Arial" w:eastAsia="Arial" w:hAnsi="Arial"/>
                <w:sz w:val="28"/>
                <w:szCs w:val="28"/>
                <w:color w:val="auto"/>
              </w:rPr>
              <w:t>Wiadomości Lekarskie 2018, tom LXXI, nr 2 cz I</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w w:val="84"/>
              </w:rPr>
              <w:t>© Wydawnictwo Aluna</w:t>
            </w:r>
          </w:p>
        </w:tc>
      </w:tr>
      <w:tr>
        <w:trPr>
          <w:trHeight w:val="723"/>
        </w:trPr>
        <w:tc>
          <w:tcPr>
            <w:tcW w:w="8380" w:type="dxa"/>
            <w:vAlign w:val="bottom"/>
          </w:tcPr>
          <w:p>
            <w:pPr>
              <w:spacing w:after="0"/>
              <w:rPr>
                <w:sz w:val="20"/>
                <w:szCs w:val="20"/>
                <w:color w:val="auto"/>
              </w:rPr>
            </w:pPr>
            <w:r>
              <w:rPr>
                <w:rFonts w:ascii="Arial" w:cs="Arial" w:eastAsia="Arial" w:hAnsi="Arial"/>
                <w:sz w:val="18"/>
                <w:szCs w:val="18"/>
                <w:color w:val="auto"/>
              </w:rPr>
              <w:t>Galyna V. Yeryomenko</w:t>
            </w:r>
          </w:p>
        </w:tc>
        <w:tc>
          <w:tcPr>
            <w:tcW w:w="1700" w:type="dxa"/>
            <w:vAlign w:val="bottom"/>
          </w:tcPr>
          <w:p>
            <w:pPr>
              <w:spacing w:after="0"/>
              <w:rPr>
                <w:sz w:val="24"/>
                <w:szCs w:val="24"/>
                <w:color w:val="auto"/>
              </w:rPr>
            </w:pPr>
          </w:p>
        </w:tc>
      </w:tr>
      <w:tr>
        <w:trPr>
          <w:trHeight w:val="196"/>
        </w:trPr>
        <w:tc>
          <w:tcPr>
            <w:tcW w:w="8380" w:type="dxa"/>
            <w:vAlign w:val="bottom"/>
          </w:tcPr>
          <w:p>
            <w:pPr>
              <w:spacing w:after="0" w:line="196" w:lineRule="exact"/>
              <w:rPr>
                <w:sz w:val="20"/>
                <w:szCs w:val="20"/>
                <w:color w:val="auto"/>
              </w:rPr>
            </w:pPr>
            <w:r>
              <w:rPr>
                <w:rFonts w:ascii="Arial" w:cs="Arial" w:eastAsia="Arial" w:hAnsi="Arial"/>
                <w:sz w:val="18"/>
                <w:szCs w:val="18"/>
                <w:color w:val="auto"/>
                <w:w w:val="90"/>
              </w:rPr>
              <w:t>THE DEPENDENCE OF THE ENDOTHELIAL FUNCTION ON COMORBID STATES IN PATIENTS WITH ASTHMA</w:t>
            </w:r>
          </w:p>
        </w:tc>
        <w:tc>
          <w:tcPr>
            <w:tcW w:w="1700" w:type="dxa"/>
            <w:vAlign w:val="bottom"/>
          </w:tcPr>
          <w:p>
            <w:pPr>
              <w:spacing w:after="0"/>
              <w:rPr>
                <w:sz w:val="17"/>
                <w:szCs w:val="17"/>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b w:val="1"/>
                <w:bCs w:val="1"/>
                <w:color w:val="999999"/>
                <w:w w:val="98"/>
              </w:rPr>
              <w:t>WPŁYW FUNKCJI ŚRÓDBŁONKA NA CHOROBY WSPÓŁWYSTĘPUJĄCE U PACJENTÓW Z ASTMĄ</w:t>
            </w:r>
          </w:p>
        </w:tc>
        <w:tc>
          <w:tcPr>
            <w:tcW w:w="1700" w:type="dxa"/>
            <w:vAlign w:val="bottom"/>
          </w:tcPr>
          <w:p>
            <w:pPr>
              <w:jc w:val="right"/>
              <w:spacing w:after="0"/>
              <w:rPr>
                <w:sz w:val="20"/>
                <w:szCs w:val="20"/>
                <w:color w:val="auto"/>
              </w:rPr>
            </w:pPr>
            <w:r>
              <w:rPr>
                <w:rFonts w:ascii="Arial" w:cs="Arial" w:eastAsia="Arial" w:hAnsi="Arial"/>
                <w:sz w:val="18"/>
                <w:szCs w:val="18"/>
                <w:color w:val="auto"/>
              </w:rPr>
              <w:t>329</w:t>
            </w:r>
          </w:p>
        </w:tc>
      </w:tr>
      <w:tr>
        <w:trPr>
          <w:trHeight w:val="308"/>
        </w:trPr>
        <w:tc>
          <w:tcPr>
            <w:tcW w:w="8380" w:type="dxa"/>
            <w:vAlign w:val="bottom"/>
          </w:tcPr>
          <w:p>
            <w:pPr>
              <w:spacing w:after="0"/>
              <w:rPr>
                <w:sz w:val="20"/>
                <w:szCs w:val="20"/>
                <w:color w:val="auto"/>
              </w:rPr>
            </w:pPr>
            <w:r>
              <w:rPr>
                <w:rFonts w:ascii="Arial" w:cs="Arial" w:eastAsia="Arial" w:hAnsi="Arial"/>
                <w:sz w:val="18"/>
                <w:szCs w:val="18"/>
                <w:color w:val="auto"/>
              </w:rPr>
              <w:t>Yelyzaveta S. Sirchak, Mykhailo P. Stan, Valeria V. Brych</w:t>
            </w:r>
          </w:p>
        </w:tc>
        <w:tc>
          <w:tcPr>
            <w:tcW w:w="1700" w:type="dxa"/>
            <w:vAlign w:val="bottom"/>
          </w:tcPr>
          <w:p>
            <w:pPr>
              <w:spacing w:after="0"/>
              <w:rPr>
                <w:sz w:val="24"/>
                <w:szCs w:val="24"/>
                <w:color w:val="auto"/>
              </w:rPr>
            </w:pPr>
          </w:p>
        </w:tc>
      </w:tr>
      <w:tr>
        <w:trPr>
          <w:trHeight w:val="196"/>
        </w:trPr>
        <w:tc>
          <w:tcPr>
            <w:tcW w:w="8380" w:type="dxa"/>
            <w:vAlign w:val="bottom"/>
          </w:tcPr>
          <w:p>
            <w:pPr>
              <w:spacing w:after="0"/>
              <w:rPr>
                <w:sz w:val="20"/>
                <w:szCs w:val="20"/>
                <w:color w:val="auto"/>
              </w:rPr>
            </w:pPr>
            <w:r>
              <w:rPr>
                <w:rFonts w:ascii="Arial" w:cs="Arial" w:eastAsia="Arial" w:hAnsi="Arial"/>
                <w:sz w:val="16"/>
                <w:szCs w:val="16"/>
                <w:color w:val="auto"/>
                <w:w w:val="73"/>
              </w:rPr>
              <w:t>CHANGES IN CHOLECYSTOKININ LEVEL IN PATIENTS WITH GASTROESOPHAGEAL REFLUX DISEASE ON THE BACKGROUND OF TYPE II DIABETES</w:t>
            </w:r>
          </w:p>
        </w:tc>
        <w:tc>
          <w:tcPr>
            <w:tcW w:w="1700" w:type="dxa"/>
            <w:vAlign w:val="bottom"/>
          </w:tcPr>
          <w:p>
            <w:pPr>
              <w:spacing w:after="0"/>
              <w:rPr>
                <w:sz w:val="17"/>
                <w:szCs w:val="17"/>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b w:val="1"/>
                <w:bCs w:val="1"/>
                <w:color w:val="999999"/>
                <w:w w:val="72"/>
              </w:rPr>
              <w:t>ZMIANY STĘŻENIA CHOLECYSTOKININY U PACJENTÓW Z CHOROBĄ REFLUKSOWĄ PRZEŁYKU W PRZEBIEGU CUKRZYCY TYPU 2</w:t>
            </w:r>
          </w:p>
        </w:tc>
        <w:tc>
          <w:tcPr>
            <w:tcW w:w="1700" w:type="dxa"/>
            <w:vAlign w:val="bottom"/>
          </w:tcPr>
          <w:p>
            <w:pPr>
              <w:jc w:val="right"/>
              <w:spacing w:after="0"/>
              <w:rPr>
                <w:sz w:val="20"/>
                <w:szCs w:val="20"/>
                <w:color w:val="auto"/>
              </w:rPr>
            </w:pPr>
            <w:r>
              <w:rPr>
                <w:rFonts w:ascii="Arial" w:cs="Arial" w:eastAsia="Arial" w:hAnsi="Arial"/>
                <w:sz w:val="18"/>
                <w:szCs w:val="18"/>
                <w:color w:val="auto"/>
              </w:rPr>
              <w:t>333</w:t>
            </w:r>
          </w:p>
        </w:tc>
      </w:tr>
      <w:tr>
        <w:trPr>
          <w:trHeight w:val="308"/>
        </w:trPr>
        <w:tc>
          <w:tcPr>
            <w:tcW w:w="8380" w:type="dxa"/>
            <w:vAlign w:val="bottom"/>
          </w:tcPr>
          <w:p>
            <w:pPr>
              <w:spacing w:after="0"/>
              <w:rPr>
                <w:sz w:val="20"/>
                <w:szCs w:val="20"/>
                <w:color w:val="auto"/>
              </w:rPr>
            </w:pPr>
            <w:r>
              <w:rPr>
                <w:rFonts w:ascii="Arial" w:cs="Arial" w:eastAsia="Arial" w:hAnsi="Arial"/>
                <w:sz w:val="18"/>
                <w:szCs w:val="18"/>
                <w:color w:val="auto"/>
                <w:w w:val="72"/>
              </w:rPr>
              <w:t>Liliya S. Babinets, Nataliia A. Melnyk, Nataliia O. Shevchenko, Galina M. Sasyk, Olexandr S. Zemlyak, Olexandra Ye. Kopach, Olga Ye. Fedoriv</w:t>
            </w:r>
          </w:p>
        </w:tc>
        <w:tc>
          <w:tcPr>
            <w:tcW w:w="1700" w:type="dxa"/>
            <w:vAlign w:val="bottom"/>
          </w:tcPr>
          <w:p>
            <w:pPr>
              <w:spacing w:after="0"/>
              <w:rPr>
                <w:sz w:val="24"/>
                <w:szCs w:val="24"/>
                <w:color w:val="auto"/>
              </w:rPr>
            </w:pPr>
          </w:p>
        </w:tc>
      </w:tr>
      <w:tr>
        <w:trPr>
          <w:trHeight w:val="196"/>
        </w:trPr>
        <w:tc>
          <w:tcPr>
            <w:tcW w:w="8380" w:type="dxa"/>
            <w:vAlign w:val="bottom"/>
          </w:tcPr>
          <w:p>
            <w:pPr>
              <w:spacing w:after="0" w:line="196" w:lineRule="exact"/>
              <w:rPr>
                <w:sz w:val="20"/>
                <w:szCs w:val="20"/>
                <w:color w:val="auto"/>
              </w:rPr>
            </w:pPr>
            <w:r>
              <w:rPr>
                <w:rFonts w:ascii="Arial" w:cs="Arial" w:eastAsia="Arial" w:hAnsi="Arial"/>
                <w:sz w:val="18"/>
                <w:szCs w:val="18"/>
                <w:color w:val="auto"/>
                <w:w w:val="92"/>
              </w:rPr>
              <w:t>OPTIMIZATION OF THE COMPLEX THERAPY OF CHRONIC PANCREATITIS WITH METABOLIC SYNDROME</w:t>
            </w:r>
          </w:p>
        </w:tc>
        <w:tc>
          <w:tcPr>
            <w:tcW w:w="1700" w:type="dxa"/>
            <w:vAlign w:val="bottom"/>
          </w:tcPr>
          <w:p>
            <w:pPr>
              <w:spacing w:after="0"/>
              <w:rPr>
                <w:sz w:val="17"/>
                <w:szCs w:val="17"/>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b w:val="1"/>
                <w:bCs w:val="1"/>
                <w:color w:val="999999"/>
                <w:w w:val="75"/>
              </w:rPr>
              <w:t>OPTYMALIZACJA ZŁOŻONEJ TERAPII PACJENTÓW Z PRZEWLEKŁYM ZAPALENIEM TRZUSTKI I ZESPOŁEM METABOLICZNYM</w:t>
            </w:r>
          </w:p>
        </w:tc>
        <w:tc>
          <w:tcPr>
            <w:tcW w:w="1700" w:type="dxa"/>
            <w:vAlign w:val="bottom"/>
          </w:tcPr>
          <w:p>
            <w:pPr>
              <w:jc w:val="right"/>
              <w:spacing w:after="0"/>
              <w:rPr>
                <w:sz w:val="20"/>
                <w:szCs w:val="20"/>
                <w:color w:val="auto"/>
              </w:rPr>
            </w:pPr>
            <w:r>
              <w:rPr>
                <w:rFonts w:ascii="Arial" w:cs="Arial" w:eastAsia="Arial" w:hAnsi="Arial"/>
                <w:sz w:val="18"/>
                <w:szCs w:val="18"/>
                <w:color w:val="auto"/>
              </w:rPr>
              <w:t>337</w:t>
            </w:r>
          </w:p>
        </w:tc>
      </w:tr>
      <w:tr>
        <w:trPr>
          <w:trHeight w:val="308"/>
        </w:trPr>
        <w:tc>
          <w:tcPr>
            <w:tcW w:w="8380" w:type="dxa"/>
            <w:vAlign w:val="bottom"/>
          </w:tcPr>
          <w:p>
            <w:pPr>
              <w:spacing w:after="0"/>
              <w:rPr>
                <w:sz w:val="20"/>
                <w:szCs w:val="20"/>
                <w:color w:val="auto"/>
              </w:rPr>
            </w:pPr>
            <w:r>
              <w:rPr>
                <w:rFonts w:ascii="Arial" w:cs="Arial" w:eastAsia="Arial" w:hAnsi="Arial"/>
                <w:sz w:val="18"/>
                <w:szCs w:val="18"/>
                <w:color w:val="auto"/>
              </w:rPr>
              <w:t>Olesya M. Besh, Dmytro I. Besh, Olena O. Sorokopud, Marta O. Kondratiuk, Oksana R. Slaba</w:t>
            </w:r>
          </w:p>
        </w:tc>
        <w:tc>
          <w:tcPr>
            <w:tcW w:w="1700" w:type="dxa"/>
            <w:vAlign w:val="bottom"/>
          </w:tcPr>
          <w:p>
            <w:pPr>
              <w:spacing w:after="0"/>
              <w:rPr>
                <w:sz w:val="24"/>
                <w:szCs w:val="24"/>
                <w:color w:val="auto"/>
              </w:rPr>
            </w:pPr>
          </w:p>
        </w:tc>
      </w:tr>
      <w:tr>
        <w:trPr>
          <w:trHeight w:val="196"/>
        </w:trPr>
        <w:tc>
          <w:tcPr>
            <w:tcW w:w="8380" w:type="dxa"/>
            <w:vAlign w:val="bottom"/>
          </w:tcPr>
          <w:p>
            <w:pPr>
              <w:spacing w:after="0" w:line="196" w:lineRule="exact"/>
              <w:rPr>
                <w:sz w:val="20"/>
                <w:szCs w:val="20"/>
                <w:color w:val="auto"/>
              </w:rPr>
            </w:pPr>
            <w:r>
              <w:rPr>
                <w:rFonts w:ascii="Arial" w:cs="Arial" w:eastAsia="Arial" w:hAnsi="Arial"/>
                <w:sz w:val="18"/>
                <w:szCs w:val="18"/>
                <w:color w:val="auto"/>
                <w:w w:val="99"/>
              </w:rPr>
              <w:t>ASIT THERAPY: ADVANTAGES AND ADVERSE EFFECTS. OWN RESULTS AND LITERATURE DATA</w:t>
            </w:r>
          </w:p>
        </w:tc>
        <w:tc>
          <w:tcPr>
            <w:tcW w:w="1700" w:type="dxa"/>
            <w:vAlign w:val="bottom"/>
          </w:tcPr>
          <w:p>
            <w:pPr>
              <w:spacing w:after="0"/>
              <w:rPr>
                <w:sz w:val="17"/>
                <w:szCs w:val="17"/>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6"/>
                <w:szCs w:val="16"/>
                <w:b w:val="1"/>
                <w:bCs w:val="1"/>
                <w:color w:val="999999"/>
                <w:w w:val="73"/>
              </w:rPr>
              <w:t>ALERGENOWO SWOISTA IMMUNOTERAPIA (ASIT): KORZYŚCI I DZIAŁANIA NIEPOŻĄDANE. DOŚWIADCZENIA WŁASNE I PRZEGLĄD LITERATURY</w:t>
            </w:r>
          </w:p>
        </w:tc>
        <w:tc>
          <w:tcPr>
            <w:tcW w:w="1700" w:type="dxa"/>
            <w:vAlign w:val="bottom"/>
          </w:tcPr>
          <w:p>
            <w:pPr>
              <w:jc w:val="right"/>
              <w:spacing w:after="0"/>
              <w:rPr>
                <w:sz w:val="20"/>
                <w:szCs w:val="20"/>
                <w:color w:val="auto"/>
              </w:rPr>
            </w:pPr>
            <w:r>
              <w:rPr>
                <w:rFonts w:ascii="Arial" w:cs="Arial" w:eastAsia="Arial" w:hAnsi="Arial"/>
                <w:sz w:val="18"/>
                <w:szCs w:val="18"/>
                <w:color w:val="auto"/>
              </w:rPr>
              <w:t>341</w:t>
            </w:r>
          </w:p>
        </w:tc>
      </w:tr>
      <w:tr>
        <w:trPr>
          <w:trHeight w:val="308"/>
        </w:trPr>
        <w:tc>
          <w:tcPr>
            <w:tcW w:w="8380" w:type="dxa"/>
            <w:vAlign w:val="bottom"/>
          </w:tcPr>
          <w:p>
            <w:pPr>
              <w:spacing w:after="0"/>
              <w:rPr>
                <w:sz w:val="20"/>
                <w:szCs w:val="20"/>
                <w:color w:val="auto"/>
              </w:rPr>
            </w:pPr>
            <w:r>
              <w:rPr>
                <w:rFonts w:ascii="Arial" w:cs="Arial" w:eastAsia="Arial" w:hAnsi="Arial"/>
                <w:sz w:val="18"/>
                <w:szCs w:val="18"/>
                <w:color w:val="auto"/>
              </w:rPr>
              <w:t>Антоніна В. Варваринець, Іван В. Чопей, Ксенія І. Чубірко</w:t>
            </w:r>
          </w:p>
        </w:tc>
        <w:tc>
          <w:tcPr>
            <w:tcW w:w="1700" w:type="dxa"/>
            <w:vAlign w:val="bottom"/>
          </w:tcPr>
          <w:p>
            <w:pPr>
              <w:spacing w:after="0"/>
              <w:rPr>
                <w:sz w:val="24"/>
                <w:szCs w:val="24"/>
                <w:color w:val="auto"/>
              </w:rPr>
            </w:pPr>
          </w:p>
        </w:tc>
      </w:tr>
      <w:tr>
        <w:trPr>
          <w:trHeight w:val="196"/>
        </w:trPr>
        <w:tc>
          <w:tcPr>
            <w:tcW w:w="8380" w:type="dxa"/>
            <w:vAlign w:val="bottom"/>
          </w:tcPr>
          <w:p>
            <w:pPr>
              <w:spacing w:after="0" w:line="196" w:lineRule="exact"/>
              <w:rPr>
                <w:sz w:val="20"/>
                <w:szCs w:val="20"/>
                <w:color w:val="auto"/>
              </w:rPr>
            </w:pPr>
            <w:r>
              <w:rPr>
                <w:rFonts w:ascii="Arial" w:cs="Arial" w:eastAsia="Arial" w:hAnsi="Arial"/>
                <w:sz w:val="18"/>
                <w:szCs w:val="18"/>
                <w:color w:val="auto"/>
                <w:w w:val="71"/>
              </w:rPr>
              <w:t>КЛІНІКО-ЕНДОСКОПІЧНА ЕФЕКТИВНІСТЬ ЗАСТОСУВАННЯ ВЕДОЛІЗУМАБУ У ПАЦІЄНТІВ З НЕСПЕЦИФІЧНИМ ВИРАЗКОВИМ КОЛІТОМ</w:t>
            </w:r>
          </w:p>
        </w:tc>
        <w:tc>
          <w:tcPr>
            <w:tcW w:w="1700" w:type="dxa"/>
            <w:vAlign w:val="bottom"/>
          </w:tcPr>
          <w:p>
            <w:pPr>
              <w:spacing w:after="0"/>
              <w:rPr>
                <w:sz w:val="17"/>
                <w:szCs w:val="17"/>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b w:val="1"/>
                <w:bCs w:val="1"/>
                <w:color w:val="999999"/>
                <w:w w:val="94"/>
              </w:rPr>
              <w:t>CLINICAL AND ENDOSCOPIC EFFICACY OF VEDOLIZUMAB IN PATIENTS WITH ULCERATIVE COLITIS</w:t>
            </w:r>
          </w:p>
        </w:tc>
        <w:tc>
          <w:tcPr>
            <w:tcW w:w="1700" w:type="dxa"/>
            <w:vAlign w:val="bottom"/>
          </w:tcPr>
          <w:p>
            <w:pPr>
              <w:jc w:val="right"/>
              <w:spacing w:after="0"/>
              <w:rPr>
                <w:sz w:val="20"/>
                <w:szCs w:val="20"/>
                <w:color w:val="auto"/>
              </w:rPr>
            </w:pPr>
            <w:r>
              <w:rPr>
                <w:rFonts w:ascii="Arial" w:cs="Arial" w:eastAsia="Arial" w:hAnsi="Arial"/>
                <w:sz w:val="18"/>
                <w:szCs w:val="18"/>
                <w:color w:val="auto"/>
              </w:rPr>
              <w:t>346</w:t>
            </w:r>
          </w:p>
        </w:tc>
      </w:tr>
    </w:tbl>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620" w:type="dxa"/>
            <w:vAlign w:val="bottom"/>
          </w:tcPr>
          <w:p>
            <w:pPr>
              <w:spacing w:after="0"/>
              <w:rPr>
                <w:sz w:val="20"/>
                <w:szCs w:val="20"/>
                <w:color w:val="auto"/>
              </w:rPr>
            </w:pPr>
            <w:r>
              <w:rPr>
                <w:rFonts w:ascii="Arial" w:cs="Arial" w:eastAsia="Arial" w:hAnsi="Arial"/>
                <w:sz w:val="18"/>
                <w:szCs w:val="18"/>
                <w:color w:val="auto"/>
              </w:rPr>
              <w:t>Gennadiy О.Slabkiy, Svetlana V. Delehan-Коkaiko</w:t>
            </w:r>
          </w:p>
        </w:tc>
        <w:tc>
          <w:tcPr>
            <w:tcW w:w="460" w:type="dxa"/>
            <w:vAlign w:val="bottom"/>
          </w:tcPr>
          <w:p>
            <w:pPr>
              <w:spacing w:after="0"/>
              <w:rPr>
                <w:sz w:val="17"/>
                <w:szCs w:val="17"/>
                <w:color w:val="auto"/>
              </w:rPr>
            </w:pPr>
          </w:p>
        </w:tc>
      </w:tr>
      <w:tr>
        <w:trPr>
          <w:trHeight w:val="196"/>
        </w:trPr>
        <w:tc>
          <w:tcPr>
            <w:tcW w:w="9620" w:type="dxa"/>
            <w:vAlign w:val="bottom"/>
          </w:tcPr>
          <w:p>
            <w:pPr>
              <w:spacing w:after="0"/>
              <w:rPr>
                <w:sz w:val="20"/>
                <w:szCs w:val="20"/>
                <w:color w:val="auto"/>
              </w:rPr>
            </w:pPr>
            <w:r>
              <w:rPr>
                <w:rFonts w:ascii="Arial" w:cs="Arial" w:eastAsia="Arial" w:hAnsi="Arial"/>
                <w:sz w:val="15"/>
                <w:szCs w:val="15"/>
                <w:color w:val="auto"/>
                <w:w w:val="70"/>
              </w:rPr>
              <w:t>SPECIAL FEATURES OF POPULATION MORBIDITY OF TRANSCARPATHIAN REGION AS THE MOUNTAINOUS TERRITORY OF UKRAINE AND THE PREVALENCE OF DISEASES IN THE REGION</w:t>
            </w:r>
          </w:p>
        </w:tc>
        <w:tc>
          <w:tcPr>
            <w:tcW w:w="460" w:type="dxa"/>
            <w:vAlign w:val="bottom"/>
          </w:tcPr>
          <w:p>
            <w:pPr>
              <w:spacing w:after="0"/>
              <w:rPr>
                <w:sz w:val="17"/>
                <w:szCs w:val="17"/>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b w:val="1"/>
                <w:bCs w:val="1"/>
                <w:color w:val="999999"/>
                <w:w w:val="72"/>
              </w:rPr>
              <w:t>SWOISTE CECHY CHOROBOWOŚCI POPULACYJNEJ OBWODU ZAKARPACKIEGO JAKO PRZYKŁADU GÓRZYSTEGO TERYTORIUM UKRAINY. ANALIZA</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WYSTĘPOWANIA CHORÓB W REGIONIE</w:t>
            </w:r>
          </w:p>
        </w:tc>
        <w:tc>
          <w:tcPr>
            <w:tcW w:w="460" w:type="dxa"/>
            <w:vAlign w:val="bottom"/>
          </w:tcPr>
          <w:p>
            <w:pPr>
              <w:jc w:val="right"/>
              <w:spacing w:after="0"/>
              <w:rPr>
                <w:sz w:val="20"/>
                <w:szCs w:val="20"/>
                <w:color w:val="auto"/>
              </w:rPr>
            </w:pPr>
            <w:r>
              <w:rPr>
                <w:rFonts w:ascii="Arial" w:cs="Arial" w:eastAsia="Arial" w:hAnsi="Arial"/>
                <w:sz w:val="18"/>
                <w:szCs w:val="18"/>
                <w:color w:val="auto"/>
              </w:rPr>
              <w:t>350</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w w:val="93"/>
              </w:rPr>
              <w:t>Yevheniya H. Zaremba, Nataliya O. Rak, Olha V. Zaremba, Olena V. Zaremba-Fedchyshyn, Marianna M. Virna, Liliya O. Odnorih</w:t>
            </w:r>
          </w:p>
        </w:tc>
        <w:tc>
          <w:tcPr>
            <w:tcW w:w="460" w:type="dxa"/>
            <w:vAlign w:val="bottom"/>
          </w:tcPr>
          <w:p>
            <w:pPr>
              <w:spacing w:after="0"/>
              <w:rPr>
                <w:sz w:val="24"/>
                <w:szCs w:val="24"/>
                <w:color w:val="auto"/>
              </w:rPr>
            </w:pPr>
          </w:p>
        </w:tc>
      </w:tr>
      <w:tr>
        <w:trPr>
          <w:trHeight w:val="196"/>
        </w:trPr>
        <w:tc>
          <w:tcPr>
            <w:tcW w:w="9620" w:type="dxa"/>
            <w:vAlign w:val="bottom"/>
          </w:tcPr>
          <w:p>
            <w:pPr>
              <w:spacing w:after="0"/>
              <w:rPr>
                <w:sz w:val="20"/>
                <w:szCs w:val="20"/>
                <w:color w:val="auto"/>
              </w:rPr>
            </w:pPr>
            <w:r>
              <w:rPr>
                <w:rFonts w:ascii="Arial" w:cs="Arial" w:eastAsia="Arial" w:hAnsi="Arial"/>
                <w:sz w:val="15"/>
                <w:szCs w:val="15"/>
                <w:color w:val="auto"/>
                <w:w w:val="72"/>
              </w:rPr>
              <w:t>INDSCATORS OF BLOOD LIPID PROFILE, ACUTE PHASE REACTIONS AND URIC ACID IN PATIENTS WITH ARTERIAL HYPERTENSION COMBINED WITH CONNECTIVE TISSUE DYSPLASIA</w:t>
            </w:r>
          </w:p>
        </w:tc>
        <w:tc>
          <w:tcPr>
            <w:tcW w:w="460" w:type="dxa"/>
            <w:vAlign w:val="bottom"/>
          </w:tcPr>
          <w:p>
            <w:pPr>
              <w:spacing w:after="0"/>
              <w:rPr>
                <w:sz w:val="17"/>
                <w:szCs w:val="17"/>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b w:val="1"/>
                <w:bCs w:val="1"/>
                <w:color w:val="999999"/>
                <w:w w:val="72"/>
              </w:rPr>
              <w:t>PROFIL LIPIDOWY, MARKERY REAKCJI OSTREJ FAZY ORAZ KWAS MOCZOWY U PACJENTÓW Z NADCIŚNIENIEM TĘTNICZYM I WSPÓŁWYSTĘPUJĄCĄ</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DYSPLAZJĄ TKANKI ŁACZNEJ</w:t>
            </w:r>
          </w:p>
        </w:tc>
        <w:tc>
          <w:tcPr>
            <w:tcW w:w="460" w:type="dxa"/>
            <w:vAlign w:val="bottom"/>
          </w:tcPr>
          <w:p>
            <w:pPr>
              <w:jc w:val="right"/>
              <w:spacing w:after="0"/>
              <w:rPr>
                <w:sz w:val="20"/>
                <w:szCs w:val="20"/>
                <w:color w:val="auto"/>
              </w:rPr>
            </w:pPr>
            <w:r>
              <w:rPr>
                <w:rFonts w:ascii="Arial" w:cs="Arial" w:eastAsia="Arial" w:hAnsi="Arial"/>
                <w:sz w:val="18"/>
                <w:szCs w:val="18"/>
                <w:color w:val="auto"/>
              </w:rPr>
              <w:t>356</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rPr>
              <w:t>Михайло М. Івачевський, Віталіна В. Івачевська</w:t>
            </w:r>
          </w:p>
        </w:tc>
        <w:tc>
          <w:tcPr>
            <w:tcW w:w="460" w:type="dxa"/>
            <w:vAlign w:val="bottom"/>
          </w:tcPr>
          <w:p>
            <w:pPr>
              <w:spacing w:after="0"/>
              <w:rPr>
                <w:sz w:val="24"/>
                <w:szCs w:val="24"/>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w w:val="88"/>
              </w:rPr>
              <w:t>ОБГРУНТУВАННЯ КОМПЛЕКСНОЇ ІНТЕНСИВНОЇ ТЕРАПІЇ ПЕЧІНКОВОЇ НЕДОСТАТНОСТІ, УСКЛАДНЕНОЇ ЕНЦЕФАЛОПАТІЄЮ</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w w:val="91"/>
              </w:rPr>
              <w:t>SUBSTANTIATION OF COMPLEX INTENSIVE TREATMENT OF HEPATIC FAILURE, COMPLICATED BY ENCEPHALOPATHY</w:t>
            </w:r>
          </w:p>
        </w:tc>
        <w:tc>
          <w:tcPr>
            <w:tcW w:w="460" w:type="dxa"/>
            <w:vAlign w:val="bottom"/>
          </w:tcPr>
          <w:p>
            <w:pPr>
              <w:jc w:val="right"/>
              <w:spacing w:after="0"/>
              <w:rPr>
                <w:sz w:val="20"/>
                <w:szCs w:val="20"/>
                <w:color w:val="auto"/>
              </w:rPr>
            </w:pPr>
            <w:r>
              <w:rPr>
                <w:rFonts w:ascii="Arial" w:cs="Arial" w:eastAsia="Arial" w:hAnsi="Arial"/>
                <w:sz w:val="18"/>
                <w:szCs w:val="18"/>
                <w:color w:val="auto"/>
              </w:rPr>
              <w:t>361</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rPr>
              <w:t>Маріанна І. Немеш, Оксана П. Кентеш, Ольга С. Паламарчук, Ольга Є. Костенчак, Володимир П. Фекета</w:t>
            </w:r>
          </w:p>
        </w:tc>
        <w:tc>
          <w:tcPr>
            <w:tcW w:w="460" w:type="dxa"/>
            <w:vAlign w:val="bottom"/>
          </w:tcPr>
          <w:p>
            <w:pPr>
              <w:spacing w:after="0"/>
              <w:rPr>
                <w:sz w:val="24"/>
                <w:szCs w:val="24"/>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color w:val="auto"/>
              </w:rPr>
              <w:t>ВЗАЄМОЗВ´ЯЗОК ПОКАЗНИКІВ КОМПОНЕНТНОГО СКЛАДУ ТІЛА З ФУНКЦІОНАЛЬНИМ СТАНОМ</w:t>
            </w:r>
          </w:p>
        </w:tc>
        <w:tc>
          <w:tcPr>
            <w:tcW w:w="460" w:type="dxa"/>
            <w:vAlign w:val="bottom"/>
          </w:tcPr>
          <w:p>
            <w:pPr>
              <w:spacing w:after="0"/>
              <w:rPr>
                <w:sz w:val="17"/>
                <w:szCs w:val="17"/>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rPr>
              <w:t>СЕРЦЕВО-СУДИННОЇ СИСТЕМИ У ЧОЛОВІКІВ МОЛОДОГО ВІКУ ЗАЛЕЖНО ВІД ТИПУ ГЕМОДИНАМІКИ</w:t>
            </w:r>
          </w:p>
        </w:tc>
        <w:tc>
          <w:tcPr>
            <w:tcW w:w="460" w:type="dxa"/>
            <w:vAlign w:val="bottom"/>
          </w:tcPr>
          <w:p>
            <w:pPr>
              <w:spacing w:after="0"/>
              <w:rPr>
                <w:sz w:val="17"/>
                <w:szCs w:val="17"/>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b w:val="1"/>
                <w:bCs w:val="1"/>
                <w:color w:val="999999"/>
                <w:w w:val="73"/>
              </w:rPr>
              <w:t>THE CORRELATION BETWEEN BODY COMPOSITION AND THE FUNCTIONAL STATE OF CARDIOVASCULAR SYSTEM IN YOUNG MEN IN DEPENDENCE</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ON THE HEMODYNAMICS TYPES</w:t>
            </w:r>
          </w:p>
        </w:tc>
        <w:tc>
          <w:tcPr>
            <w:tcW w:w="460" w:type="dxa"/>
            <w:vAlign w:val="bottom"/>
          </w:tcPr>
          <w:p>
            <w:pPr>
              <w:jc w:val="right"/>
              <w:spacing w:after="0"/>
              <w:rPr>
                <w:sz w:val="20"/>
                <w:szCs w:val="20"/>
                <w:color w:val="auto"/>
              </w:rPr>
            </w:pPr>
            <w:r>
              <w:rPr>
                <w:rFonts w:ascii="Arial" w:cs="Arial" w:eastAsia="Arial" w:hAnsi="Arial"/>
                <w:sz w:val="18"/>
                <w:szCs w:val="18"/>
                <w:color w:val="auto"/>
              </w:rPr>
              <w:t>366</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w w:val="74"/>
              </w:rPr>
              <w:t>Людмила В. Ігнатко, Андріяна О. Янковська, Габрієла Г. Кавуля, Олена В. Дебрецені, Крістіан О. Дебрецені, Наталія М. Гема-Багіна, Агнета В. Ленченко</w:t>
            </w:r>
          </w:p>
        </w:tc>
        <w:tc>
          <w:tcPr>
            <w:tcW w:w="460" w:type="dxa"/>
            <w:vAlign w:val="bottom"/>
          </w:tcPr>
          <w:p>
            <w:pPr>
              <w:spacing w:after="0"/>
              <w:rPr>
                <w:sz w:val="24"/>
                <w:szCs w:val="24"/>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w w:val="82"/>
              </w:rPr>
              <w:t>ПОРІВНЯЛЬНА ХАРАКТЕРИСТИКА ФУНКЦІОНАЛЬНИХ ГАСТРОЦЕРЕБРАЛЬНИХ РОЗЛАДІВ У ДОНОШЕНИХ ТА НЕДОНОШЕНИХ ДІТЕЙ</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w w:val="87"/>
              </w:rPr>
              <w:t>COMPARATIVE CHARACTERISTIC OF FUNCTIONAL GASTROCEREBRAL DISORDERS IN DONORS AND PREMATURE INFANTS</w:t>
            </w:r>
          </w:p>
        </w:tc>
        <w:tc>
          <w:tcPr>
            <w:tcW w:w="460" w:type="dxa"/>
            <w:vAlign w:val="bottom"/>
          </w:tcPr>
          <w:p>
            <w:pPr>
              <w:jc w:val="right"/>
              <w:spacing w:after="0"/>
              <w:rPr>
                <w:sz w:val="20"/>
                <w:szCs w:val="20"/>
                <w:color w:val="auto"/>
              </w:rPr>
            </w:pPr>
            <w:r>
              <w:rPr>
                <w:rFonts w:ascii="Arial" w:cs="Arial" w:eastAsia="Arial" w:hAnsi="Arial"/>
                <w:sz w:val="18"/>
                <w:szCs w:val="18"/>
                <w:color w:val="auto"/>
              </w:rPr>
              <w:t>372</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w w:val="82"/>
              </w:rPr>
              <w:t>Oksana S. Khukhlina, Alona A. Antoniv, Olha Ye. Mandryk, Olha Yе. Hryniuk, Svitlana V. Kovalenko, Victoria Yu. Drozd, Zoriana Ia. Kotsiubiichuk</w:t>
            </w:r>
          </w:p>
        </w:tc>
        <w:tc>
          <w:tcPr>
            <w:tcW w:w="460" w:type="dxa"/>
            <w:vAlign w:val="bottom"/>
          </w:tcPr>
          <w:p>
            <w:pPr>
              <w:spacing w:after="0"/>
              <w:rPr>
                <w:sz w:val="24"/>
                <w:szCs w:val="24"/>
                <w:color w:val="auto"/>
              </w:rPr>
            </w:pPr>
          </w:p>
        </w:tc>
      </w:tr>
      <w:tr>
        <w:trPr>
          <w:trHeight w:val="196"/>
        </w:trPr>
        <w:tc>
          <w:tcPr>
            <w:tcW w:w="9620" w:type="dxa"/>
            <w:vAlign w:val="bottom"/>
          </w:tcPr>
          <w:p>
            <w:pPr>
              <w:spacing w:after="0"/>
              <w:rPr>
                <w:sz w:val="20"/>
                <w:szCs w:val="20"/>
                <w:color w:val="auto"/>
              </w:rPr>
            </w:pPr>
            <w:r>
              <w:rPr>
                <w:rFonts w:ascii="Arial" w:cs="Arial" w:eastAsia="Arial" w:hAnsi="Arial"/>
                <w:sz w:val="16"/>
                <w:szCs w:val="16"/>
                <w:color w:val="auto"/>
                <w:w w:val="74"/>
              </w:rPr>
              <w:t>CLINICAL AND PATHOGENETIC FEATURES OF NONALCOHOLIC STEATOHEPATITIS FOR COMORBIDITY WITH BRONCHIAL ASTHMA ON THE BACKGROUND OF OBESITY</w:t>
            </w:r>
          </w:p>
        </w:tc>
        <w:tc>
          <w:tcPr>
            <w:tcW w:w="460" w:type="dxa"/>
            <w:vAlign w:val="bottom"/>
          </w:tcPr>
          <w:p>
            <w:pPr>
              <w:spacing w:after="0"/>
              <w:rPr>
                <w:sz w:val="17"/>
                <w:szCs w:val="17"/>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b w:val="1"/>
                <w:bCs w:val="1"/>
                <w:color w:val="999999"/>
                <w:w w:val="81"/>
              </w:rPr>
              <w:t>KLINICZNE I PATOGENETYCZNE CECHY NIEALKOHOLOWEGO STŁUSZCZENIOWEGO ZAPALENIA WĄTROBY I WSPÓŁWYSTĘPUJĄCEJ</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ASTMY OSKRZELOWEJ NA PODŁOŻU OTYŁOŚCI</w:t>
            </w:r>
          </w:p>
        </w:tc>
        <w:tc>
          <w:tcPr>
            <w:tcW w:w="460" w:type="dxa"/>
            <w:vAlign w:val="bottom"/>
          </w:tcPr>
          <w:p>
            <w:pPr>
              <w:jc w:val="right"/>
              <w:spacing w:after="0"/>
              <w:rPr>
                <w:sz w:val="20"/>
                <w:szCs w:val="20"/>
                <w:color w:val="auto"/>
              </w:rPr>
            </w:pPr>
            <w:r>
              <w:rPr>
                <w:rFonts w:ascii="Arial" w:cs="Arial" w:eastAsia="Arial" w:hAnsi="Arial"/>
                <w:sz w:val="18"/>
                <w:szCs w:val="18"/>
                <w:color w:val="auto"/>
              </w:rPr>
              <w:t>376</w:t>
            </w:r>
          </w:p>
        </w:tc>
      </w:tr>
      <w:tr>
        <w:trPr>
          <w:trHeight w:val="308"/>
        </w:trPr>
        <w:tc>
          <w:tcPr>
            <w:tcW w:w="9620" w:type="dxa"/>
            <w:vAlign w:val="bottom"/>
          </w:tcPr>
          <w:p>
            <w:pPr>
              <w:spacing w:after="0"/>
              <w:rPr>
                <w:sz w:val="20"/>
                <w:szCs w:val="20"/>
                <w:color w:val="auto"/>
              </w:rPr>
            </w:pPr>
            <w:r>
              <w:rPr>
                <w:rFonts w:ascii="Arial" w:cs="Arial" w:eastAsia="Arial" w:hAnsi="Arial"/>
                <w:sz w:val="22"/>
                <w:szCs w:val="22"/>
                <w:color w:val="auto"/>
              </w:rPr>
              <w:t>OPISY PRZYPADKÓW / CASE REPORTS</w:t>
            </w:r>
          </w:p>
        </w:tc>
        <w:tc>
          <w:tcPr>
            <w:tcW w:w="460" w:type="dxa"/>
            <w:vAlign w:val="bottom"/>
          </w:tcPr>
          <w:p>
            <w:pPr>
              <w:spacing w:after="0"/>
              <w:rPr>
                <w:sz w:val="24"/>
                <w:szCs w:val="24"/>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color w:val="auto"/>
              </w:rPr>
              <w:t>Іван П. Катеренчук, Лідія А. Ткаченко, Тетяна І. Ярмола, Олександр І. Катеренчук</w:t>
            </w:r>
          </w:p>
        </w:tc>
        <w:tc>
          <w:tcPr>
            <w:tcW w:w="460" w:type="dxa"/>
            <w:vAlign w:val="bottom"/>
          </w:tcPr>
          <w:p>
            <w:pPr>
              <w:spacing w:after="0"/>
              <w:rPr>
                <w:sz w:val="17"/>
                <w:szCs w:val="17"/>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w w:val="83"/>
              </w:rPr>
              <w:t>ПЕРВИННИЙ АМІЛОЇДОЗ НИРОК: ОСОБЛИВОСТІ ПЕРЕБІГУ ТА МОЖЛИВОСТІ СВОЄЧАСНОЇ ДІАГНОСТИКИ (ВИПАДОК З ПРАКТИКИ)</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w w:val="76"/>
              </w:rPr>
              <w:t>PRIMARY RENAL AMYLOIDOSIS: FEAUTURES OF DISEASE COURSE AND THE POSSIBILITIES OF IN-TIME DIAGNOSIS (CLINICAL CASE REPORT)</w:t>
            </w:r>
          </w:p>
        </w:tc>
        <w:tc>
          <w:tcPr>
            <w:tcW w:w="460" w:type="dxa"/>
            <w:vAlign w:val="bottom"/>
          </w:tcPr>
          <w:p>
            <w:pPr>
              <w:jc w:val="right"/>
              <w:spacing w:after="0"/>
              <w:rPr>
                <w:sz w:val="20"/>
                <w:szCs w:val="20"/>
                <w:color w:val="auto"/>
              </w:rPr>
            </w:pPr>
            <w:r>
              <w:rPr>
                <w:rFonts w:ascii="Arial" w:cs="Arial" w:eastAsia="Arial" w:hAnsi="Arial"/>
                <w:sz w:val="18"/>
                <w:szCs w:val="18"/>
                <w:color w:val="auto"/>
              </w:rPr>
              <w:t>380</w:t>
            </w:r>
          </w:p>
        </w:tc>
      </w:tr>
      <w:tr>
        <w:trPr>
          <w:trHeight w:val="308"/>
        </w:trPr>
        <w:tc>
          <w:tcPr>
            <w:tcW w:w="9620" w:type="dxa"/>
            <w:vAlign w:val="bottom"/>
          </w:tcPr>
          <w:p>
            <w:pPr>
              <w:spacing w:after="0"/>
              <w:rPr>
                <w:sz w:val="20"/>
                <w:szCs w:val="20"/>
                <w:color w:val="auto"/>
              </w:rPr>
            </w:pPr>
            <w:r>
              <w:rPr>
                <w:rFonts w:ascii="Arial" w:cs="Arial" w:eastAsia="Arial" w:hAnsi="Arial"/>
                <w:sz w:val="22"/>
                <w:szCs w:val="22"/>
                <w:color w:val="auto"/>
              </w:rPr>
              <w:t>STRESZCZENIA / ABSTRACT</w:t>
            </w:r>
          </w:p>
        </w:tc>
        <w:tc>
          <w:tcPr>
            <w:tcW w:w="460" w:type="dxa"/>
            <w:vAlign w:val="bottom"/>
          </w:tcPr>
          <w:p>
            <w:pPr>
              <w:spacing w:after="0"/>
              <w:rPr>
                <w:sz w:val="24"/>
                <w:szCs w:val="24"/>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color w:val="auto"/>
              </w:rPr>
              <w:t>Vasyl M. Mykhalchuk, Averian G. Vasyliev</w:t>
            </w:r>
          </w:p>
        </w:tc>
        <w:tc>
          <w:tcPr>
            <w:tcW w:w="460" w:type="dxa"/>
            <w:vAlign w:val="bottom"/>
          </w:tcPr>
          <w:p>
            <w:pPr>
              <w:spacing w:after="0"/>
              <w:rPr>
                <w:sz w:val="17"/>
                <w:szCs w:val="17"/>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color w:val="auto"/>
                <w:w w:val="89"/>
              </w:rPr>
              <w:t>A DESCRIPTIVE, CROSS-SECTIONAL, POPULATION-BASED STUDY OF MEDICAL AND DEMOGRAPHICAL CHARACTERISTICS</w:t>
            </w:r>
          </w:p>
        </w:tc>
        <w:tc>
          <w:tcPr>
            <w:tcW w:w="460" w:type="dxa"/>
            <w:vAlign w:val="bottom"/>
          </w:tcPr>
          <w:p>
            <w:pPr>
              <w:spacing w:after="0"/>
              <w:rPr>
                <w:sz w:val="17"/>
                <w:szCs w:val="17"/>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rPr>
              <w:t>OF COPD AMONG KYIV (UKRAINE) POPULATION AS AN INDICATOR OF GENERALIZED TENDENCIES</w:t>
            </w:r>
          </w:p>
        </w:tc>
        <w:tc>
          <w:tcPr>
            <w:tcW w:w="460" w:type="dxa"/>
            <w:vAlign w:val="bottom"/>
          </w:tcPr>
          <w:p>
            <w:pPr>
              <w:spacing w:after="0"/>
              <w:rPr>
                <w:sz w:val="17"/>
                <w:szCs w:val="17"/>
                <w:color w:val="auto"/>
              </w:rPr>
            </w:pPr>
          </w:p>
        </w:tc>
      </w:tr>
      <w:tr>
        <w:trPr>
          <w:trHeight w:val="200"/>
        </w:trPr>
        <w:tc>
          <w:tcPr>
            <w:tcW w:w="9620" w:type="dxa"/>
            <w:vAlign w:val="bottom"/>
          </w:tcPr>
          <w:p>
            <w:pPr>
              <w:spacing w:after="0" w:line="200" w:lineRule="exact"/>
              <w:rPr>
                <w:sz w:val="20"/>
                <w:szCs w:val="20"/>
                <w:color w:val="auto"/>
              </w:rPr>
            </w:pPr>
            <w:r>
              <w:rPr>
                <w:rFonts w:ascii="Arial" w:cs="Arial" w:eastAsia="Arial" w:hAnsi="Arial"/>
                <w:sz w:val="18"/>
                <w:szCs w:val="18"/>
                <w:b w:val="1"/>
                <w:bCs w:val="1"/>
                <w:color w:val="999999"/>
                <w:w w:val="76"/>
              </w:rPr>
              <w:t>OPISOWE, PRZEKROJOWE, POPULACYJNE BADANIE KLINICZNYCH I DEMOGRAFICZNYCH CECH POCHP U MIESZKAŃCÓW KIJOWA (UKRAINA)</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JAKO WSKAŹNIK OGÓLNYCH TENDENCJI</w:t>
            </w:r>
          </w:p>
        </w:tc>
        <w:tc>
          <w:tcPr>
            <w:tcW w:w="460" w:type="dxa"/>
            <w:vAlign w:val="bottom"/>
          </w:tcPr>
          <w:p>
            <w:pPr>
              <w:jc w:val="right"/>
              <w:spacing w:after="0"/>
              <w:rPr>
                <w:sz w:val="20"/>
                <w:szCs w:val="20"/>
                <w:color w:val="auto"/>
              </w:rPr>
            </w:pPr>
            <w:r>
              <w:rPr>
                <w:rFonts w:ascii="Arial" w:cs="Arial" w:eastAsia="Arial" w:hAnsi="Arial"/>
                <w:sz w:val="18"/>
                <w:szCs w:val="18"/>
                <w:color w:val="auto"/>
              </w:rPr>
              <w:t>385</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rPr>
              <w:t>Andriy M. Bratasyuk, Stepan S. Filip, Vasyl Y. Ploskina</w:t>
            </w:r>
          </w:p>
        </w:tc>
        <w:tc>
          <w:tcPr>
            <w:tcW w:w="460" w:type="dxa"/>
            <w:vAlign w:val="bottom"/>
          </w:tcPr>
          <w:p>
            <w:pPr>
              <w:spacing w:after="0"/>
              <w:rPr>
                <w:sz w:val="24"/>
                <w:szCs w:val="24"/>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w w:val="88"/>
              </w:rPr>
              <w:t>COLON POLYPS’ DETECTION FREQUENCY IN ELDERLY AND SENILE PATIENTS ON THE BACKGROUND OF NSAIDS THERAPY</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CZĘSTOŚĆ WYKRYWANIA POLIPÓW JELITA GRUBEGO U OSÓB W STARSZYM WIEKU STOSUJĄCYCH NLPZ</w:t>
            </w:r>
          </w:p>
        </w:tc>
        <w:tc>
          <w:tcPr>
            <w:tcW w:w="460" w:type="dxa"/>
            <w:vAlign w:val="bottom"/>
          </w:tcPr>
          <w:p>
            <w:pPr>
              <w:jc w:val="right"/>
              <w:spacing w:after="0"/>
              <w:rPr>
                <w:sz w:val="20"/>
                <w:szCs w:val="20"/>
                <w:color w:val="auto"/>
              </w:rPr>
            </w:pPr>
            <w:r>
              <w:rPr>
                <w:rFonts w:ascii="Arial" w:cs="Arial" w:eastAsia="Arial" w:hAnsi="Arial"/>
                <w:sz w:val="18"/>
                <w:szCs w:val="18"/>
                <w:color w:val="auto"/>
              </w:rPr>
              <w:t>386</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rPr>
              <w:t>Eugene V. Sid’, Oleksandr S. Kulbachuk.</w:t>
            </w:r>
          </w:p>
        </w:tc>
        <w:tc>
          <w:tcPr>
            <w:tcW w:w="460" w:type="dxa"/>
            <w:vAlign w:val="bottom"/>
          </w:tcPr>
          <w:p>
            <w:pPr>
              <w:spacing w:after="0"/>
              <w:rPr>
                <w:sz w:val="24"/>
                <w:szCs w:val="24"/>
                <w:color w:val="auto"/>
              </w:rPr>
            </w:pPr>
          </w:p>
        </w:tc>
      </w:tr>
      <w:tr>
        <w:trPr>
          <w:trHeight w:val="196"/>
        </w:trPr>
        <w:tc>
          <w:tcPr>
            <w:tcW w:w="9620" w:type="dxa"/>
            <w:vAlign w:val="bottom"/>
          </w:tcPr>
          <w:p>
            <w:pPr>
              <w:spacing w:after="0"/>
              <w:rPr>
                <w:sz w:val="20"/>
                <w:szCs w:val="20"/>
                <w:color w:val="auto"/>
              </w:rPr>
            </w:pPr>
            <w:r>
              <w:rPr>
                <w:rFonts w:ascii="Arial" w:cs="Arial" w:eastAsia="Arial" w:hAnsi="Arial"/>
                <w:sz w:val="15"/>
                <w:szCs w:val="15"/>
                <w:color w:val="auto"/>
                <w:w w:val="74"/>
              </w:rPr>
              <w:t>DIAGNOSTIC VALUE OF MATRIX METALLOPROTEINASE-9 AMONG PATIENTS WITH ACUTE CORONARY SYNDROME WITH ELEVATION AND WITHOUT ELEVATION OF ST SEGMENT</w:t>
            </w:r>
          </w:p>
        </w:tc>
        <w:tc>
          <w:tcPr>
            <w:tcW w:w="460" w:type="dxa"/>
            <w:vAlign w:val="bottom"/>
          </w:tcPr>
          <w:p>
            <w:pPr>
              <w:spacing w:after="0"/>
              <w:rPr>
                <w:sz w:val="17"/>
                <w:szCs w:val="17"/>
                <w:color w:val="auto"/>
              </w:rPr>
            </w:pPr>
          </w:p>
        </w:tc>
      </w:tr>
      <w:tr>
        <w:trPr>
          <w:trHeight w:val="200"/>
        </w:trPr>
        <w:tc>
          <w:tcPr>
            <w:tcW w:w="9620" w:type="dxa"/>
            <w:vAlign w:val="bottom"/>
          </w:tcPr>
          <w:p>
            <w:pPr>
              <w:spacing w:after="0"/>
              <w:rPr>
                <w:sz w:val="20"/>
                <w:szCs w:val="20"/>
                <w:color w:val="auto"/>
              </w:rPr>
            </w:pPr>
            <w:r>
              <w:rPr>
                <w:rFonts w:ascii="Arial" w:cs="Arial" w:eastAsia="Arial" w:hAnsi="Arial"/>
                <w:sz w:val="16"/>
                <w:szCs w:val="16"/>
                <w:b w:val="1"/>
                <w:bCs w:val="1"/>
                <w:color w:val="999999"/>
                <w:w w:val="72"/>
              </w:rPr>
              <w:t>WARTOŚĆ DIAGNOSTYCZNA METALOPROTEINAZY MACIERZY ZEWNĄTRZKOMÓRKOWEJ MMP-9 U PACJENTÓW Z OSTRYM ZESPOŁEM WIEŃCOWYM Z PRZETRWAŁYM,</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JAK I BEZ PRZETRWAŁEGO UNIESIENIA ODCINKA ST</w:t>
            </w:r>
          </w:p>
        </w:tc>
        <w:tc>
          <w:tcPr>
            <w:tcW w:w="460" w:type="dxa"/>
            <w:vAlign w:val="bottom"/>
          </w:tcPr>
          <w:p>
            <w:pPr>
              <w:jc w:val="right"/>
              <w:spacing w:after="0"/>
              <w:rPr>
                <w:sz w:val="20"/>
                <w:szCs w:val="20"/>
                <w:color w:val="auto"/>
              </w:rPr>
            </w:pPr>
            <w:r>
              <w:rPr>
                <w:rFonts w:ascii="Arial" w:cs="Arial" w:eastAsia="Arial" w:hAnsi="Arial"/>
                <w:sz w:val="18"/>
                <w:szCs w:val="18"/>
                <w:color w:val="auto"/>
              </w:rPr>
              <w:t>387</w:t>
            </w:r>
          </w:p>
        </w:tc>
      </w:tr>
      <w:tr>
        <w:trPr>
          <w:trHeight w:val="308"/>
        </w:trPr>
        <w:tc>
          <w:tcPr>
            <w:tcW w:w="9620" w:type="dxa"/>
            <w:vAlign w:val="bottom"/>
          </w:tcPr>
          <w:p>
            <w:pPr>
              <w:spacing w:after="0"/>
              <w:rPr>
                <w:sz w:val="20"/>
                <w:szCs w:val="20"/>
                <w:color w:val="auto"/>
              </w:rPr>
            </w:pPr>
            <w:r>
              <w:rPr>
                <w:rFonts w:ascii="Arial" w:cs="Arial" w:eastAsia="Arial" w:hAnsi="Arial"/>
                <w:sz w:val="18"/>
                <w:szCs w:val="18"/>
                <w:color w:val="auto"/>
              </w:rPr>
              <w:t>Яна Ю. Гнепа, Іван В. Чопей, Ксенія І. Чубірко, Юрій В. Плоскіна</w:t>
            </w:r>
          </w:p>
        </w:tc>
        <w:tc>
          <w:tcPr>
            <w:tcW w:w="460" w:type="dxa"/>
            <w:vAlign w:val="bottom"/>
          </w:tcPr>
          <w:p>
            <w:pPr>
              <w:spacing w:after="0"/>
              <w:rPr>
                <w:sz w:val="24"/>
                <w:szCs w:val="24"/>
                <w:color w:val="auto"/>
              </w:rPr>
            </w:pPr>
          </w:p>
        </w:tc>
      </w:tr>
      <w:tr>
        <w:trPr>
          <w:trHeight w:val="196"/>
        </w:trPr>
        <w:tc>
          <w:tcPr>
            <w:tcW w:w="9620" w:type="dxa"/>
            <w:vAlign w:val="bottom"/>
          </w:tcPr>
          <w:p>
            <w:pPr>
              <w:spacing w:after="0" w:line="196" w:lineRule="exact"/>
              <w:rPr>
                <w:sz w:val="20"/>
                <w:szCs w:val="20"/>
                <w:color w:val="auto"/>
              </w:rPr>
            </w:pPr>
            <w:r>
              <w:rPr>
                <w:rFonts w:ascii="Arial" w:cs="Arial" w:eastAsia="Arial" w:hAnsi="Arial"/>
                <w:sz w:val="18"/>
                <w:szCs w:val="18"/>
                <w:color w:val="auto"/>
              </w:rPr>
              <w:t>ОЦІНКА ЯКОСТІ ЖИТТЯ У ХВОРИХ З МЕТАБОЛІЧНИМ СИНДРОМОМ</w:t>
            </w:r>
          </w:p>
        </w:tc>
        <w:tc>
          <w:tcPr>
            <w:tcW w:w="460" w:type="dxa"/>
            <w:vAlign w:val="bottom"/>
          </w:tcPr>
          <w:p>
            <w:pPr>
              <w:spacing w:after="0"/>
              <w:rPr>
                <w:sz w:val="17"/>
                <w:szCs w:val="17"/>
                <w:color w:val="auto"/>
              </w:rPr>
            </w:pPr>
          </w:p>
        </w:tc>
      </w:tr>
      <w:tr>
        <w:trPr>
          <w:trHeight w:val="216"/>
        </w:trPr>
        <w:tc>
          <w:tcPr>
            <w:tcW w:w="9620" w:type="dxa"/>
            <w:vAlign w:val="bottom"/>
          </w:tcPr>
          <w:p>
            <w:pPr>
              <w:spacing w:after="0"/>
              <w:rPr>
                <w:sz w:val="20"/>
                <w:szCs w:val="20"/>
                <w:color w:val="auto"/>
              </w:rPr>
            </w:pPr>
            <w:r>
              <w:rPr>
                <w:rFonts w:ascii="Arial" w:cs="Arial" w:eastAsia="Arial" w:hAnsi="Arial"/>
                <w:sz w:val="18"/>
                <w:szCs w:val="18"/>
                <w:b w:val="1"/>
                <w:bCs w:val="1"/>
                <w:color w:val="999999"/>
              </w:rPr>
              <w:t>ASSESSMENT OF QUALITY OF LIFE IN PATIENTS WITH METABOLIC SYNDROM</w:t>
            </w:r>
          </w:p>
        </w:tc>
        <w:tc>
          <w:tcPr>
            <w:tcW w:w="460" w:type="dxa"/>
            <w:vAlign w:val="bottom"/>
          </w:tcPr>
          <w:p>
            <w:pPr>
              <w:jc w:val="right"/>
              <w:spacing w:after="0"/>
              <w:rPr>
                <w:sz w:val="20"/>
                <w:szCs w:val="20"/>
                <w:color w:val="auto"/>
              </w:rPr>
            </w:pPr>
            <w:r>
              <w:rPr>
                <w:rFonts w:ascii="Arial" w:cs="Arial" w:eastAsia="Arial" w:hAnsi="Arial"/>
                <w:sz w:val="18"/>
                <w:szCs w:val="18"/>
                <w:color w:val="auto"/>
              </w:rPr>
              <w:t>388</w:t>
            </w:r>
          </w:p>
        </w:tc>
      </w:tr>
    </w:tbl>
    <w:p>
      <w:pPr>
        <w:spacing w:after="0" w:line="200" w:lineRule="exact"/>
        <w:rPr>
          <w:sz w:val="20"/>
          <w:szCs w:val="20"/>
          <w:color w:val="auto"/>
        </w:rPr>
      </w:pPr>
    </w:p>
    <w:p>
      <w:pPr>
        <w:sectPr>
          <w:pgSz w:w="11620" w:h="16157" w:orient="portrait"/>
          <w:cols w:equalWidth="0" w:num="1">
            <w:col w:w="10080"/>
          </w:cols>
          <w:pgMar w:left="740" w:top="585" w:right="802" w:bottom="0" w:gutter="0" w:footer="0" w:header="0"/>
        </w:sect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9"/>
          <w:szCs w:val="19"/>
          <w:color w:val="auto"/>
        </w:rPr>
        <w:t>260</w:t>
      </w:r>
    </w:p>
    <w:p>
      <w:pPr>
        <w:sectPr>
          <w:pgSz w:w="11620" w:h="16157" w:orient="portrait"/>
          <w:cols w:equalWidth="0" w:num="1">
            <w:col w:w="10080"/>
          </w:cols>
          <w:pgMar w:left="740" w:top="585" w:right="802" w:bottom="0" w:gutter="0" w:footer="0" w:header="0"/>
          <w:type w:val="continuous"/>
        </w:sectPr>
      </w:pPr>
    </w:p>
    <w:bookmarkStart w:id="2" w:name="page3"/>
    <w:bookmarkEnd w:id="2"/>
    <w:p>
      <w:pPr>
        <w:spacing w:after="0"/>
        <w:tabs>
          <w:tab w:leader="none" w:pos="6100" w:val="left"/>
        </w:tabs>
        <w:rPr>
          <w:sz w:val="20"/>
          <w:szCs w:val="20"/>
          <w:color w:val="auto"/>
        </w:rPr>
      </w:pPr>
      <w:r>
        <w:rPr>
          <w:rFonts w:ascii="Arial" w:cs="Arial" w:eastAsia="Arial" w:hAnsi="Arial"/>
          <w:sz w:val="20"/>
          <w:szCs w:val="20"/>
          <w:color w:val="auto"/>
        </w:rPr>
        <w:t>© Wydawnictwo Aluna</w:t>
      </w:r>
      <w:r>
        <w:rPr>
          <w:sz w:val="20"/>
          <w:szCs w:val="20"/>
          <w:color w:val="auto"/>
        </w:rPr>
        <w:tab/>
      </w:r>
      <w:r>
        <w:rPr>
          <w:rFonts w:ascii="Arial" w:cs="Arial" w:eastAsia="Arial" w:hAnsi="Arial"/>
          <w:sz w:val="18"/>
          <w:szCs w:val="18"/>
          <w:color w:val="auto"/>
        </w:rPr>
        <w:t>Wiadomości Lekarskie 2018, tom LXXI, nr 2 cz 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55880</wp:posOffset>
                </wp:positionV>
                <wp:extent cx="640778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4pt" to="504.25pt,4.4pt" o:allowincell="f" strokecolor="#000000"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560" w:right="1940"/>
        <w:spacing w:after="0" w:line="304" w:lineRule="auto"/>
        <w:rPr>
          <w:sz w:val="20"/>
          <w:szCs w:val="20"/>
          <w:color w:val="auto"/>
        </w:rPr>
      </w:pPr>
      <w:r>
        <w:rPr>
          <w:rFonts w:ascii="Arial" w:cs="Arial" w:eastAsia="Arial" w:hAnsi="Arial"/>
          <w:sz w:val="29"/>
          <w:szCs w:val="29"/>
          <w:b w:val="1"/>
          <w:bCs w:val="1"/>
          <w:color w:val="auto"/>
        </w:rPr>
        <w:t>THE DEPENDENCE OF THE ENDOTHELIAL FUNCTION ON COMORBID STATES IN PATIENTS WITH ASTHMA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-471170</wp:posOffset>
                </wp:positionV>
                <wp:extent cx="215265" cy="9550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65" cy="955040"/>
                        </a:xfrm>
                        <a:prstGeom prst="rect">
                          <a:avLst/>
                        </a:prstGeom>
                        <a:solidFill>
                          <a:srgbClr val="999999"/>
                        </a:solidFill>
                      </wps:spPr>
                      <wps:bodyPr/>
                    </wps:wsp>
                  </a:graphicData>
                </a:graphic>
              </wp:anchor>
            </w:drawing>
          </mc:Choice>
          <mc:Fallback>
            <w:pict>
              <v:rect id="Shape 6" o:spid="_x0000_s1031" style="position:absolute;margin-left:-0.2499pt;margin-top:-37.0999pt;width:16.95pt;height:75.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9999" stroked="f"/>
            </w:pict>
          </mc:Fallback>
        </mc:AlternateContent>
      </w:r>
    </w:p>
    <w:p>
      <w:pPr>
        <w:spacing w:after="0" w:line="82" w:lineRule="exact"/>
        <w:rPr>
          <w:sz w:val="20"/>
          <w:szCs w:val="20"/>
          <w:color w:val="auto"/>
        </w:rPr>
      </w:pPr>
    </w:p>
    <w:p>
      <w:pPr>
        <w:ind w:left="560" w:right="2760"/>
        <w:spacing w:after="0" w:line="323" w:lineRule="auto"/>
        <w:rPr>
          <w:sz w:val="20"/>
          <w:szCs w:val="20"/>
          <w:color w:val="auto"/>
        </w:rPr>
      </w:pPr>
      <w:r>
        <w:rPr>
          <w:rFonts w:ascii="Arial" w:cs="Arial" w:eastAsia="Arial" w:hAnsi="Arial"/>
          <w:sz w:val="28"/>
          <w:szCs w:val="28"/>
          <w:b w:val="1"/>
          <w:bCs w:val="1"/>
          <w:color w:val="999999"/>
        </w:rPr>
        <w:t>WPŁYW FUNKCJI ŚRÓDBŁONKA NA CHOROBY WSPÓŁWYSTĘPUJĄCE U PACJENTÓW Z ASTMĄ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355600</wp:posOffset>
                </wp:positionH>
                <wp:positionV relativeFrom="paragraph">
                  <wp:posOffset>176530</wp:posOffset>
                </wp:positionV>
                <wp:extent cx="604837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483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pt,13.9pt" to="504.25pt,13.9pt" o:allowincell="f" strokecolor="#000000" strokeweight="0.5pt"/>
            </w:pict>
          </mc:Fallback>
        </mc:AlternateContent>
      </w:r>
    </w:p>
    <w:p>
      <w:pPr>
        <w:spacing w:after="0" w:line="321" w:lineRule="exact"/>
        <w:rPr>
          <w:sz w:val="20"/>
          <w:szCs w:val="20"/>
          <w:color w:val="auto"/>
        </w:rPr>
      </w:pPr>
    </w:p>
    <w:p>
      <w:pPr>
        <w:ind w:left="560"/>
        <w:spacing w:after="0"/>
        <w:rPr>
          <w:sz w:val="20"/>
          <w:szCs w:val="20"/>
          <w:color w:val="auto"/>
        </w:rPr>
      </w:pPr>
      <w:r>
        <w:rPr>
          <w:rFonts w:ascii="Arial" w:cs="Arial" w:eastAsia="Arial" w:hAnsi="Arial"/>
          <w:sz w:val="24"/>
          <w:szCs w:val="24"/>
          <w:b w:val="1"/>
          <w:bCs w:val="1"/>
          <w:color w:val="auto"/>
        </w:rPr>
        <w:t>Galyna V. Yeryomenko</w:t>
      </w:r>
    </w:p>
    <w:p>
      <w:pPr>
        <w:spacing w:after="0" w:line="12" w:lineRule="exact"/>
        <w:rPr>
          <w:sz w:val="20"/>
          <w:szCs w:val="20"/>
          <w:color w:val="auto"/>
        </w:rPr>
      </w:pPr>
    </w:p>
    <w:p>
      <w:pPr>
        <w:ind w:left="560"/>
        <w:spacing w:after="0"/>
        <w:rPr>
          <w:sz w:val="20"/>
          <w:szCs w:val="20"/>
          <w:color w:val="auto"/>
        </w:rPr>
      </w:pPr>
      <w:r>
        <w:rPr>
          <w:rFonts w:ascii="Arial" w:cs="Arial" w:eastAsia="Arial" w:hAnsi="Arial"/>
          <w:sz w:val="22"/>
          <w:szCs w:val="22"/>
          <w:color w:val="auto"/>
        </w:rPr>
        <w:t>KHARKIV NATIONAL MEDICAL UNIVERSITY, KHARKIV, UKRAINE</w:t>
      </w:r>
    </w:p>
    <w:p>
      <w:pPr>
        <w:spacing w:after="0" w:line="378" w:lineRule="exact"/>
        <w:rPr>
          <w:sz w:val="20"/>
          <w:szCs w:val="20"/>
          <w:color w:val="auto"/>
        </w:rPr>
      </w:pPr>
    </w:p>
    <w:p>
      <w:pPr>
        <w:ind w:left="560"/>
        <w:spacing w:after="0"/>
        <w:rPr>
          <w:sz w:val="20"/>
          <w:szCs w:val="20"/>
          <w:color w:val="auto"/>
        </w:rPr>
      </w:pPr>
      <w:r>
        <w:rPr>
          <w:rFonts w:ascii="Arial" w:cs="Arial" w:eastAsia="Arial" w:hAnsi="Arial"/>
          <w:sz w:val="20"/>
          <w:szCs w:val="20"/>
          <w:b w:val="1"/>
          <w:bCs w:val="1"/>
          <w:color w:val="auto"/>
        </w:rPr>
        <w:t>ABSTRACT</w:t>
      </w:r>
    </w:p>
    <w:p>
      <w:pPr>
        <w:spacing w:after="0" w:line="35" w:lineRule="exact"/>
        <w:rPr>
          <w:sz w:val="20"/>
          <w:szCs w:val="20"/>
          <w:color w:val="auto"/>
        </w:rPr>
      </w:pPr>
    </w:p>
    <w:p>
      <w:pPr>
        <w:jc w:val="both"/>
        <w:ind w:left="560"/>
        <w:spacing w:after="0" w:line="294" w:lineRule="auto"/>
        <w:rPr>
          <w:sz w:val="20"/>
          <w:szCs w:val="20"/>
          <w:color w:val="auto"/>
        </w:rPr>
      </w:pPr>
      <w:r>
        <w:rPr>
          <w:rFonts w:ascii="Arial" w:cs="Arial" w:eastAsia="Arial" w:hAnsi="Arial"/>
          <w:sz w:val="17"/>
          <w:szCs w:val="17"/>
          <w:b w:val="1"/>
          <w:bCs w:val="1"/>
          <w:color w:val="auto"/>
        </w:rPr>
        <w:t xml:space="preserve">Introduction: </w:t>
      </w:r>
      <w:r>
        <w:rPr>
          <w:rFonts w:ascii="Arial" w:cs="Arial" w:eastAsia="Arial" w:hAnsi="Arial"/>
          <w:sz w:val="17"/>
          <w:szCs w:val="17"/>
          <w:color w:val="auto"/>
        </w:rPr>
        <w:t>the purpose of the research consisted in the study of the functional state of the endothelium in patients having persistent asthma (A) with an uncontrolled course</w:t>
      </w:r>
      <w:r>
        <w:rPr>
          <w:rFonts w:ascii="Arial" w:cs="Arial" w:eastAsia="Arial" w:hAnsi="Arial"/>
          <w:sz w:val="17"/>
          <w:szCs w:val="17"/>
          <w:b w:val="1"/>
          <w:bCs w:val="1"/>
          <w:color w:val="auto"/>
        </w:rPr>
        <w:t xml:space="preserve"> </w:t>
      </w:r>
      <w:r>
        <w:rPr>
          <w:rFonts w:ascii="Arial" w:cs="Arial" w:eastAsia="Arial" w:hAnsi="Arial"/>
          <w:sz w:val="17"/>
          <w:szCs w:val="17"/>
          <w:color w:val="auto"/>
        </w:rPr>
        <w:t>in combination with diabetes mellitus type 2 (DM2T) and obesity (O)</w:t>
      </w:r>
    </w:p>
    <w:p>
      <w:pPr>
        <w:spacing w:after="0" w:line="1" w:lineRule="exact"/>
        <w:rPr>
          <w:sz w:val="20"/>
          <w:szCs w:val="20"/>
          <w:color w:val="auto"/>
        </w:rPr>
      </w:pPr>
    </w:p>
    <w:p>
      <w:pPr>
        <w:ind w:left="560"/>
        <w:spacing w:after="0"/>
        <w:rPr>
          <w:sz w:val="20"/>
          <w:szCs w:val="20"/>
          <w:color w:val="auto"/>
        </w:rPr>
      </w:pPr>
      <w:r>
        <w:rPr>
          <w:rFonts w:ascii="Arial" w:cs="Arial" w:eastAsia="Arial" w:hAnsi="Arial"/>
          <w:sz w:val="14"/>
          <w:szCs w:val="14"/>
          <w:b w:val="1"/>
          <w:bCs w:val="1"/>
          <w:color w:val="auto"/>
        </w:rPr>
        <w:t xml:space="preserve">The aim: </w:t>
      </w:r>
      <w:r>
        <w:rPr>
          <w:rFonts w:ascii="Arial" w:cs="Arial" w:eastAsia="Arial" w:hAnsi="Arial"/>
          <w:sz w:val="14"/>
          <w:szCs w:val="14"/>
          <w:color w:val="auto"/>
        </w:rPr>
        <w:t>on the basis of a complex study of nitric oxide metabolites (nitrosothiols, S-NO), von Willebrand factor (VWF) and endothelin-1 (EТ-1).</w:t>
      </w:r>
    </w:p>
    <w:p>
      <w:pPr>
        <w:spacing w:after="0" w:line="79" w:lineRule="exact"/>
        <w:rPr>
          <w:sz w:val="20"/>
          <w:szCs w:val="20"/>
          <w:color w:val="auto"/>
        </w:rPr>
      </w:pPr>
    </w:p>
    <w:p>
      <w:pPr>
        <w:jc w:val="both"/>
        <w:ind w:left="560"/>
        <w:spacing w:after="0" w:line="333" w:lineRule="auto"/>
        <w:rPr>
          <w:sz w:val="20"/>
          <w:szCs w:val="20"/>
          <w:color w:val="auto"/>
        </w:rPr>
      </w:pPr>
      <w:r>
        <w:rPr>
          <w:rFonts w:ascii="Arial" w:cs="Arial" w:eastAsia="Arial" w:hAnsi="Arial"/>
          <w:sz w:val="15"/>
          <w:szCs w:val="15"/>
          <w:b w:val="1"/>
          <w:bCs w:val="1"/>
          <w:color w:val="auto"/>
        </w:rPr>
        <w:t xml:space="preserve">Materials and methods: </w:t>
      </w:r>
      <w:r>
        <w:rPr>
          <w:rFonts w:ascii="Arial" w:cs="Arial" w:eastAsia="Arial" w:hAnsi="Arial"/>
          <w:sz w:val="15"/>
          <w:szCs w:val="15"/>
          <w:color w:val="auto"/>
        </w:rPr>
        <w:t>The study involved 90 A patients with comorbid states, who were divided into 3 groups. Group 1 included patients with A, group 2 consisted of A</w:t>
      </w:r>
      <w:r>
        <w:rPr>
          <w:rFonts w:ascii="Arial" w:cs="Arial" w:eastAsia="Arial" w:hAnsi="Arial"/>
          <w:sz w:val="15"/>
          <w:szCs w:val="15"/>
          <w:b w:val="1"/>
          <w:bCs w:val="1"/>
          <w:color w:val="auto"/>
        </w:rPr>
        <w:t xml:space="preserve"> </w:t>
      </w:r>
      <w:r>
        <w:rPr>
          <w:rFonts w:ascii="Arial" w:cs="Arial" w:eastAsia="Arial" w:hAnsi="Arial"/>
          <w:sz w:val="15"/>
          <w:szCs w:val="15"/>
          <w:color w:val="auto"/>
        </w:rPr>
        <w:t>with DM2T (A+DM2T), group 3 was composed of A and obesity (A+O); the control group had 21 persons.</w:t>
      </w:r>
    </w:p>
    <w:p>
      <w:pPr>
        <w:spacing w:after="0" w:line="1" w:lineRule="exact"/>
        <w:rPr>
          <w:sz w:val="20"/>
          <w:szCs w:val="20"/>
          <w:color w:val="auto"/>
        </w:rPr>
      </w:pPr>
    </w:p>
    <w:p>
      <w:pPr>
        <w:jc w:val="both"/>
        <w:ind w:left="560"/>
        <w:spacing w:after="0" w:line="357" w:lineRule="auto"/>
        <w:rPr>
          <w:sz w:val="20"/>
          <w:szCs w:val="20"/>
          <w:color w:val="auto"/>
        </w:rPr>
      </w:pPr>
      <w:r>
        <w:rPr>
          <w:rFonts w:ascii="Arial" w:cs="Arial" w:eastAsia="Arial" w:hAnsi="Arial"/>
          <w:sz w:val="14"/>
          <w:szCs w:val="14"/>
          <w:b w:val="1"/>
          <w:bCs w:val="1"/>
          <w:color w:val="auto"/>
        </w:rPr>
        <w:t xml:space="preserve">Results: </w:t>
      </w:r>
      <w:r>
        <w:rPr>
          <w:rFonts w:ascii="Arial" w:cs="Arial" w:eastAsia="Arial" w:hAnsi="Arial"/>
          <w:sz w:val="14"/>
          <w:szCs w:val="14"/>
          <w:color w:val="auto"/>
        </w:rPr>
        <w:t>Lower S-NO levels in patients from groups 2 and 3 and an increase of ET-1 in these groups versus the control one demonstrate an imbalance of the indices, which</w:t>
      </w:r>
      <w:r>
        <w:rPr>
          <w:rFonts w:ascii="Arial" w:cs="Arial" w:eastAsia="Arial" w:hAnsi="Arial"/>
          <w:sz w:val="14"/>
          <w:szCs w:val="14"/>
          <w:b w:val="1"/>
          <w:bCs w:val="1"/>
          <w:color w:val="auto"/>
        </w:rPr>
        <w:t xml:space="preserve"> </w:t>
      </w:r>
      <w:r>
        <w:rPr>
          <w:rFonts w:ascii="Arial" w:cs="Arial" w:eastAsia="Arial" w:hAnsi="Arial"/>
          <w:sz w:val="14"/>
          <w:szCs w:val="14"/>
          <w:color w:val="auto"/>
        </w:rPr>
        <w:t>produce an effect on the vascular tone. Statistically, the activity of VWF as the marker of an endothelial damage was significantly higher: it was 169.0 (147.0;178.50) in cases from group 2 and 156.0 (142.75;165.0) in those from the group of A+O. Thus, indices of a disrupted endothelial function were more expressed in patients from group 2. Positive relations of ET-1 with VWF and negative ones with S-NO.</w:t>
      </w:r>
    </w:p>
    <w:p>
      <w:pPr>
        <w:spacing w:after="0" w:line="2" w:lineRule="exact"/>
        <w:rPr>
          <w:sz w:val="20"/>
          <w:szCs w:val="20"/>
          <w:color w:val="auto"/>
        </w:rPr>
      </w:pPr>
    </w:p>
    <w:p>
      <w:pPr>
        <w:jc w:val="both"/>
        <w:ind w:left="560"/>
        <w:spacing w:after="0" w:line="445" w:lineRule="auto"/>
        <w:rPr>
          <w:sz w:val="20"/>
          <w:szCs w:val="20"/>
          <w:color w:val="auto"/>
        </w:rPr>
      </w:pPr>
      <w:r>
        <w:rPr>
          <w:rFonts w:ascii="Arial" w:cs="Arial" w:eastAsia="Arial" w:hAnsi="Arial"/>
          <w:sz w:val="13"/>
          <w:szCs w:val="13"/>
          <w:b w:val="1"/>
          <w:bCs w:val="1"/>
          <w:color w:val="auto"/>
        </w:rPr>
        <w:t xml:space="preserve">Conclusions: </w:t>
      </w:r>
      <w:r>
        <w:rPr>
          <w:rFonts w:ascii="Arial" w:cs="Arial" w:eastAsia="Arial" w:hAnsi="Arial"/>
          <w:sz w:val="13"/>
          <w:szCs w:val="13"/>
          <w:color w:val="auto"/>
        </w:rPr>
        <w:t>The conducted study has proved that the endothelial function in patients with A+DM2T and A+O is characterized by a disturbed relationship between relaxing</w:t>
      </w:r>
      <w:r>
        <w:rPr>
          <w:rFonts w:ascii="Arial" w:cs="Arial" w:eastAsia="Arial" w:hAnsi="Arial"/>
          <w:sz w:val="13"/>
          <w:szCs w:val="13"/>
          <w:b w:val="1"/>
          <w:bCs w:val="1"/>
          <w:color w:val="auto"/>
        </w:rPr>
        <w:t xml:space="preserve"> </w:t>
      </w:r>
      <w:r>
        <w:rPr>
          <w:rFonts w:ascii="Arial" w:cs="Arial" w:eastAsia="Arial" w:hAnsi="Arial"/>
          <w:sz w:val="13"/>
          <w:szCs w:val="13"/>
          <w:color w:val="auto"/>
        </w:rPr>
        <w:t>and constricting endothelial factors. The obtained data make it possible to receive an opportunity to correct the above impairments in future.</w:t>
      </w:r>
    </w:p>
    <w:p>
      <w:pPr>
        <w:ind w:left="580"/>
        <w:spacing w:after="0"/>
        <w:rPr>
          <w:sz w:val="20"/>
          <w:szCs w:val="20"/>
          <w:color w:val="auto"/>
        </w:rPr>
      </w:pPr>
      <w:r>
        <w:rPr>
          <w:rFonts w:ascii="Arial" w:cs="Arial" w:eastAsia="Arial" w:hAnsi="Arial"/>
          <w:sz w:val="20"/>
          <w:szCs w:val="20"/>
          <w:b w:val="1"/>
          <w:bCs w:val="1"/>
          <w:color w:val="auto"/>
        </w:rPr>
        <w:t xml:space="preserve">KEY WORDS: </w:t>
      </w:r>
      <w:r>
        <w:rPr>
          <w:rFonts w:ascii="Arial" w:cs="Arial" w:eastAsia="Arial" w:hAnsi="Arial"/>
          <w:sz w:val="18"/>
          <w:szCs w:val="18"/>
          <w:color w:val="auto"/>
        </w:rPr>
        <w:t>asthma, comorbidity, endothelin-1, von Willebrand factor, nitric oxide metabolites.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-118110</wp:posOffset>
                </wp:positionV>
                <wp:extent cx="215265" cy="1104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65" cy="110490"/>
                        </a:xfrm>
                        <a:prstGeom prst="rect">
                          <a:avLst/>
                        </a:prstGeom>
                        <a:solidFill>
                          <a:srgbClr val="999999"/>
                        </a:solidFill>
                      </wps:spPr>
                      <wps:bodyPr/>
                    </wps:wsp>
                  </a:graphicData>
                </a:graphic>
              </wp:anchor>
            </w:drawing>
          </mc:Choice>
          <mc:Fallback>
            <w:pict>
              <v:rect id="Shape 8" o:spid="_x0000_s1033" style="position:absolute;margin-left:-0.2999pt;margin-top:-9.2999pt;width:16.95pt;height:8.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9999" stroked="f"/>
            </w:pict>
          </mc:Fallback>
        </mc:AlternateContent>
        <mc:AlternateContent>
          <mc:Choice Requires="wps">
            <w:drawing>
              <wp:anchor simplePos="0" relativeHeight="251657728" behindDoc="1" locked="0" layoutInCell="0" allowOverlap="1">
                <wp:simplePos x="0" y="0"/>
                <wp:positionH relativeFrom="column">
                  <wp:posOffset>5035550</wp:posOffset>
                </wp:positionH>
                <wp:positionV relativeFrom="paragraph">
                  <wp:posOffset>340360</wp:posOffset>
                </wp:positionV>
                <wp:extent cx="136842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684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6.5pt,26.8pt" to="504.25pt,26.8pt" o:allowincell="f" strokecolor="#000000" strokeweight="0.5pt"/>
            </w:pict>
          </mc:Fallback>
        </mc:AlternateContent>
      </w:r>
    </w:p>
    <w:p>
      <w:pPr>
        <w:spacing w:after="0" w:line="200" w:lineRule="exact"/>
        <w:rPr>
          <w:sz w:val="20"/>
          <w:szCs w:val="20"/>
          <w:color w:val="auto"/>
        </w:rPr>
      </w:pPr>
    </w:p>
    <w:p>
      <w:pPr>
        <w:spacing w:after="0" w:line="354" w:lineRule="exact"/>
        <w:rPr>
          <w:sz w:val="20"/>
          <w:szCs w:val="20"/>
          <w:color w:val="auto"/>
        </w:rPr>
      </w:pPr>
    </w:p>
    <w:p>
      <w:pPr>
        <w:ind w:left="7960"/>
        <w:spacing w:after="0"/>
        <w:rPr>
          <w:sz w:val="20"/>
          <w:szCs w:val="20"/>
          <w:color w:val="auto"/>
        </w:rPr>
      </w:pPr>
      <w:r>
        <w:rPr>
          <w:rFonts w:ascii="Arial" w:cs="Arial" w:eastAsia="Arial" w:hAnsi="Arial"/>
          <w:sz w:val="13"/>
          <w:szCs w:val="13"/>
          <w:color w:val="auto"/>
        </w:rPr>
        <w:t>Wiad Lek 2018, 71, 2 cz. I, 329-332</w:t>
      </w:r>
    </w:p>
    <w:p>
      <w:pPr>
        <w:sectPr>
          <w:pgSz w:w="11620" w:h="16157" w:orient="portrait"/>
          <w:cols w:equalWidth="0" w:num="1">
            <w:col w:w="10080"/>
          </w:cols>
          <w:pgMar w:left="800" w:top="593" w:right="742" w:bottom="0" w:gutter="0" w:footer="0" w:header="0"/>
        </w:sectPr>
      </w:pP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INTRODUCTION</w:t>
      </w:r>
    </w:p>
    <w:p>
      <w:pPr>
        <w:jc w:val="both"/>
        <w:spacing w:after="0" w:line="238" w:lineRule="auto"/>
        <w:rPr>
          <w:sz w:val="20"/>
          <w:szCs w:val="20"/>
          <w:color w:val="auto"/>
        </w:rPr>
      </w:pPr>
      <w:r>
        <w:rPr>
          <w:rFonts w:ascii="Times New Roman" w:cs="Times New Roman" w:eastAsia="Times New Roman" w:hAnsi="Times New Roman"/>
          <w:sz w:val="21"/>
          <w:szCs w:val="21"/>
          <w:color w:val="auto"/>
        </w:rPr>
        <w:t>The study of the functional state of the vascular endothe-lium in pathology of different organs and systems is an active subject of discussions [1;2]. An activation and/or damage of the endothelium are known to be present in a wide spectrum of pathological processes, including the respiratory system [3;4;5]. Studies conducted during recent years have revealed that endothelial dysfunction acts as an onset of vascular complications and asthma [6;7]. But the problem of the state of the endothelial function in asthma (A) remains unsolved.</w:t>
      </w:r>
    </w:p>
    <w:p>
      <w:pPr>
        <w:spacing w:after="0" w:line="5" w:lineRule="exact"/>
        <w:rPr>
          <w:sz w:val="20"/>
          <w:szCs w:val="20"/>
          <w:color w:val="auto"/>
        </w:rPr>
      </w:pPr>
    </w:p>
    <w:p>
      <w:pPr>
        <w:jc w:val="both"/>
        <w:ind w:firstLine="170"/>
        <w:spacing w:after="0" w:line="238" w:lineRule="auto"/>
        <w:rPr>
          <w:sz w:val="20"/>
          <w:szCs w:val="20"/>
          <w:color w:val="auto"/>
        </w:rPr>
      </w:pPr>
      <w:r>
        <w:rPr>
          <w:rFonts w:ascii="Times New Roman" w:cs="Times New Roman" w:eastAsia="Times New Roman" w:hAnsi="Times New Roman"/>
          <w:sz w:val="21"/>
          <w:szCs w:val="21"/>
          <w:color w:val="auto"/>
        </w:rPr>
        <w:t>Participation of the endothelium in regulation of the sys-temic and pulmonary vascular tone takes part by means of formation and release of vasodilating and vasoconstricting substances, including endothelin-1 (EТ-1) and the endo-thelium-dependent relaxing factor, nitric oxide (NO) [8;9]. A metabolic disturbance of NO plays a leading part in the endothelial dysfunction.</w:t>
      </w:r>
    </w:p>
    <w:p>
      <w:pPr>
        <w:spacing w:after="0" w:line="4" w:lineRule="exact"/>
        <w:rPr>
          <w:sz w:val="20"/>
          <w:szCs w:val="20"/>
          <w:color w:val="auto"/>
        </w:rPr>
      </w:pPr>
    </w:p>
    <w:p>
      <w:pPr>
        <w:jc w:val="both"/>
        <w:ind w:firstLine="170"/>
        <w:spacing w:after="0" w:line="248" w:lineRule="auto"/>
        <w:rPr>
          <w:sz w:val="20"/>
          <w:szCs w:val="20"/>
          <w:color w:val="auto"/>
        </w:rPr>
      </w:pPr>
      <w:r>
        <w:rPr>
          <w:rFonts w:ascii="Times New Roman" w:cs="Times New Roman" w:eastAsia="Times New Roman" w:hAnsi="Times New Roman"/>
          <w:sz w:val="21"/>
          <w:szCs w:val="21"/>
          <w:color w:val="auto"/>
        </w:rPr>
        <w:t>The researches, conducted by foreign and Ukrainian authors, convincingly prove that the vasoregulatory dys-function of the endothelium is revealed even before an organic damage and in the absence of any clinical and instrumental signs of a disruption of the pulmonary func-tion [10;11;12]. Besides, it is possible to detect the degree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0"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1"/>
          <w:szCs w:val="21"/>
          <w:color w:val="auto"/>
        </w:rPr>
        <w:t>of severity of the pathological process and predict a fur-ther course and outcome of the disease proceeding from the degree of expression of the endothelial dysfunction [13;14;15]. These circumstances necessitate study of new methods, which make it possible to assess the state of the vascular endothelium, particularly in patients ill with A.</w:t>
      </w:r>
    </w:p>
    <w:p>
      <w:pPr>
        <w:spacing w:after="0" w:line="387"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THE AIM</w:t>
      </w:r>
    </w:p>
    <w:p>
      <w:pPr>
        <w:jc w:val="both"/>
        <w:spacing w:after="0" w:line="248" w:lineRule="auto"/>
        <w:rPr>
          <w:sz w:val="20"/>
          <w:szCs w:val="20"/>
          <w:color w:val="auto"/>
        </w:rPr>
      </w:pPr>
      <w:r>
        <w:rPr>
          <w:rFonts w:ascii="Times New Roman" w:cs="Times New Roman" w:eastAsia="Times New Roman" w:hAnsi="Times New Roman"/>
          <w:sz w:val="21"/>
          <w:szCs w:val="21"/>
          <w:color w:val="auto"/>
        </w:rPr>
        <w:t>To study the functional state of the vascular endothelium in patients having persistent A with an uncontrolled course in combination with diabetes mellitus type 2 (DM2T) and obesity on the basis of a complex study of nitric oxide metabolites (nitrosothiols, S-NO), von Willebrand factor (VWF) and endothelin-1 (EТ-1).</w:t>
      </w:r>
    </w:p>
    <w:p>
      <w:pPr>
        <w:spacing w:after="0" w:line="387"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MATERIALS AND METHODS</w:t>
      </w:r>
    </w:p>
    <w:p>
      <w:pPr>
        <w:jc w:val="both"/>
        <w:spacing w:after="0" w:line="248" w:lineRule="auto"/>
        <w:rPr>
          <w:sz w:val="20"/>
          <w:szCs w:val="20"/>
          <w:color w:val="auto"/>
        </w:rPr>
      </w:pPr>
      <w:r>
        <w:rPr>
          <w:rFonts w:ascii="Times New Roman" w:cs="Times New Roman" w:eastAsia="Times New Roman" w:hAnsi="Times New Roman"/>
          <w:sz w:val="21"/>
          <w:szCs w:val="21"/>
          <w:color w:val="auto"/>
        </w:rPr>
        <w:t>The study involved 90 A patients with comorbid states and an uncontrolled course. The above cases were divided into 3 groups. Group 1 included patients with isolated A, group 2 consisted of A with DM2T (A+DM2T), group 3 was composed of A and obesity (A+O); the control group had 21 persons. The patients underwent a general clinical</w:t>
      </w:r>
    </w:p>
    <w:p>
      <w:pPr>
        <w:spacing w:after="0" w:line="200" w:lineRule="exact"/>
        <w:rPr>
          <w:sz w:val="20"/>
          <w:szCs w:val="20"/>
          <w:color w:val="auto"/>
        </w:rPr>
      </w:pPr>
    </w:p>
    <w:p>
      <w:pPr>
        <w:sectPr>
          <w:pgSz w:w="11620" w:h="16157" w:orient="portrait"/>
          <w:cols w:equalWidth="0" w:num="2">
            <w:col w:w="4900" w:space="280"/>
            <w:col w:w="4900"/>
          </w:cols>
          <w:pgMar w:left="800" w:top="593" w:right="742" w:bottom="0" w:gutter="0" w:footer="0" w:header="0"/>
          <w:type w:val="continuous"/>
        </w:sectPr>
      </w:pPr>
    </w:p>
    <w:p>
      <w:pPr>
        <w:spacing w:after="0" w:line="139" w:lineRule="exact"/>
        <w:rPr>
          <w:sz w:val="20"/>
          <w:szCs w:val="20"/>
          <w:color w:val="auto"/>
        </w:rPr>
      </w:pPr>
    </w:p>
    <w:p>
      <w:pPr>
        <w:ind w:left="9760"/>
        <w:spacing w:after="0"/>
        <w:rPr>
          <w:sz w:val="20"/>
          <w:szCs w:val="20"/>
          <w:color w:val="auto"/>
        </w:rPr>
      </w:pPr>
      <w:r>
        <w:rPr>
          <w:rFonts w:ascii="Arial" w:cs="Arial" w:eastAsia="Arial" w:hAnsi="Arial"/>
          <w:sz w:val="19"/>
          <w:szCs w:val="19"/>
          <w:color w:val="auto"/>
        </w:rPr>
        <w:t>329</w:t>
      </w:r>
    </w:p>
    <w:p>
      <w:pPr>
        <w:sectPr>
          <w:pgSz w:w="11620" w:h="16157" w:orient="portrait"/>
          <w:cols w:equalWidth="0" w:num="1">
            <w:col w:w="10080"/>
          </w:cols>
          <w:pgMar w:left="800" w:top="593" w:right="742" w:bottom="0" w:gutter="0" w:footer="0" w:header="0"/>
          <w:type w:val="continuous"/>
        </w:sectPr>
      </w:pPr>
    </w:p>
    <w:bookmarkStart w:id="3" w:name="page4"/>
    <w:bookmarkEnd w:id="3"/>
    <w:p>
      <w:pPr>
        <w:ind w:left="3"/>
        <w:spacing w:after="0"/>
        <w:rPr>
          <w:sz w:val="20"/>
          <w:szCs w:val="20"/>
          <w:color w:val="auto"/>
        </w:rPr>
      </w:pPr>
      <w:r>
        <w:rPr>
          <w:rFonts w:ascii="Arial" w:cs="Arial" w:eastAsia="Arial" w:hAnsi="Arial"/>
          <w:sz w:val="20"/>
          <w:szCs w:val="20"/>
          <w:color w:val="auto"/>
        </w:rPr>
        <w:t>Galyna V. Yeryomenko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8255</wp:posOffset>
                </wp:positionV>
                <wp:extent cx="640778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5pt" to="504.55pt,0.65pt" o:allowincell="f" strokecolor="#000000" strokeweight="0.5pt"/>
            </w:pict>
          </mc:Fallback>
        </mc:AlternateContent>
      </w:r>
    </w:p>
    <w:p>
      <w:pPr>
        <w:spacing w:after="0" w:line="311" w:lineRule="exact"/>
        <w:rPr>
          <w:sz w:val="20"/>
          <w:szCs w:val="20"/>
          <w:color w:val="auto"/>
        </w:rPr>
      </w:pPr>
    </w:p>
    <w:p>
      <w:pPr>
        <w:ind w:left="3"/>
        <w:spacing w:after="0"/>
        <w:rPr>
          <w:sz w:val="20"/>
          <w:szCs w:val="20"/>
          <w:color w:val="auto"/>
        </w:rPr>
      </w:pPr>
      <w:r>
        <w:rPr>
          <w:rFonts w:ascii="Arial" w:cs="Arial" w:eastAsia="Arial" w:hAnsi="Arial"/>
          <w:sz w:val="22"/>
          <w:szCs w:val="22"/>
          <w:b w:val="1"/>
          <w:bCs w:val="1"/>
          <w:color w:val="auto"/>
        </w:rPr>
        <w:t xml:space="preserve">Table I. </w:t>
      </w:r>
      <w:r>
        <w:rPr>
          <w:rFonts w:ascii="Arial" w:cs="Arial" w:eastAsia="Arial" w:hAnsi="Arial"/>
          <w:sz w:val="22"/>
          <w:szCs w:val="22"/>
          <w:color w:val="auto"/>
        </w:rPr>
        <w:t>Laboratory values of the functional state of the endothelium in the studied groups.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14605</wp:posOffset>
            </wp:positionV>
            <wp:extent cx="6102985" cy="3498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6102985" cy="349885"/>
                    </a:xfrm>
                    <a:prstGeom prst="rect">
                      <a:avLst/>
                    </a:prstGeom>
                    <a:noFill/>
                  </pic:spPr>
                </pic:pic>
              </a:graphicData>
            </a:graphic>
          </wp:anchor>
        </w:drawing>
      </w:r>
    </w:p>
    <w:p>
      <w:pPr>
        <w:spacing w:after="0" w:line="60" w:lineRule="exact"/>
        <w:rPr>
          <w:sz w:val="20"/>
          <w:szCs w:val="20"/>
          <w:color w:val="auto"/>
        </w:rPr>
      </w:pPr>
    </w:p>
    <w:tbl>
      <w:tblPr>
        <w:tblLayout w:type="fixed"/>
        <w:tblInd w:w="3" w:type="dxa"/>
        <w:tblCellMar>
          <w:top w:w="0" w:type="dxa"/>
          <w:left w:w="0" w:type="dxa"/>
          <w:bottom w:w="0" w:type="dxa"/>
          <w:right w:w="0" w:type="dxa"/>
        </w:tblCellMar>
      </w:tblPr>
      <w:tr>
        <w:trPr>
          <w:trHeight w:val="216"/>
        </w:trPr>
        <w:tc>
          <w:tcPr>
            <w:tcW w:w="1180" w:type="dxa"/>
            <w:vAlign w:val="bottom"/>
            <w:vMerge w:val="restart"/>
          </w:tcPr>
          <w:p>
            <w:pPr>
              <w:jc w:val="center"/>
              <w:ind w:left="270"/>
              <w:spacing w:after="0"/>
              <w:rPr>
                <w:sz w:val="20"/>
                <w:szCs w:val="20"/>
                <w:color w:val="auto"/>
              </w:rPr>
            </w:pPr>
            <w:r>
              <w:rPr>
                <w:rFonts w:ascii="Arial" w:cs="Arial" w:eastAsia="Arial" w:hAnsi="Arial"/>
                <w:sz w:val="18"/>
                <w:szCs w:val="18"/>
                <w:b w:val="1"/>
                <w:bCs w:val="1"/>
                <w:color w:val="auto"/>
                <w:w w:val="93"/>
              </w:rPr>
              <w:t>Indices</w:t>
            </w:r>
          </w:p>
        </w:tc>
        <w:tc>
          <w:tcPr>
            <w:tcW w:w="2400" w:type="dxa"/>
            <w:vAlign w:val="bottom"/>
            <w:vMerge w:val="restart"/>
          </w:tcPr>
          <w:p>
            <w:pPr>
              <w:ind w:left="660"/>
              <w:spacing w:after="0"/>
              <w:rPr>
                <w:sz w:val="20"/>
                <w:szCs w:val="20"/>
                <w:color w:val="auto"/>
              </w:rPr>
            </w:pPr>
            <w:r>
              <w:rPr>
                <w:rFonts w:ascii="Arial" w:cs="Arial" w:eastAsia="Arial" w:hAnsi="Arial"/>
                <w:sz w:val="18"/>
                <w:szCs w:val="18"/>
                <w:b w:val="1"/>
                <w:bCs w:val="1"/>
                <w:color w:val="auto"/>
              </w:rPr>
              <w:t>Controls (n = 21) С</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93"/>
              </w:rPr>
              <w:t>А (n = 35)</w:t>
            </w:r>
          </w:p>
        </w:tc>
        <w:tc>
          <w:tcPr>
            <w:tcW w:w="2080" w:type="dxa"/>
            <w:vAlign w:val="bottom"/>
          </w:tcPr>
          <w:p>
            <w:pPr>
              <w:jc w:val="center"/>
              <w:spacing w:after="0"/>
              <w:rPr>
                <w:sz w:val="20"/>
                <w:szCs w:val="20"/>
                <w:color w:val="auto"/>
              </w:rPr>
            </w:pPr>
            <w:r>
              <w:rPr>
                <w:rFonts w:ascii="Arial" w:cs="Arial" w:eastAsia="Arial" w:hAnsi="Arial"/>
                <w:sz w:val="18"/>
                <w:szCs w:val="18"/>
                <w:b w:val="1"/>
                <w:bCs w:val="1"/>
                <w:color w:val="auto"/>
                <w:w w:val="94"/>
              </w:rPr>
              <w:t>А+DM2Т (n = 30)</w:t>
            </w:r>
          </w:p>
        </w:tc>
        <w:tc>
          <w:tcPr>
            <w:tcW w:w="1900" w:type="dxa"/>
            <w:vAlign w:val="bottom"/>
          </w:tcPr>
          <w:p>
            <w:pPr>
              <w:jc w:val="center"/>
              <w:ind w:left="30"/>
              <w:spacing w:after="0"/>
              <w:rPr>
                <w:sz w:val="20"/>
                <w:szCs w:val="20"/>
                <w:color w:val="auto"/>
              </w:rPr>
            </w:pPr>
            <w:r>
              <w:rPr>
                <w:rFonts w:ascii="Arial" w:cs="Arial" w:eastAsia="Arial" w:hAnsi="Arial"/>
                <w:sz w:val="18"/>
                <w:szCs w:val="18"/>
                <w:b w:val="1"/>
                <w:bCs w:val="1"/>
                <w:color w:val="auto"/>
                <w:w w:val="92"/>
              </w:rPr>
              <w:t>А+О (n = 31)</w:t>
            </w:r>
          </w:p>
        </w:tc>
        <w:tc>
          <w:tcPr>
            <w:tcW w:w="0" w:type="dxa"/>
            <w:vAlign w:val="bottom"/>
          </w:tcPr>
          <w:p>
            <w:pPr>
              <w:spacing w:after="0"/>
              <w:rPr>
                <w:sz w:val="1"/>
                <w:szCs w:val="1"/>
                <w:color w:val="auto"/>
              </w:rPr>
            </w:pPr>
          </w:p>
        </w:tc>
      </w:tr>
      <w:tr>
        <w:trPr>
          <w:trHeight w:val="114"/>
        </w:trPr>
        <w:tc>
          <w:tcPr>
            <w:tcW w:w="1180" w:type="dxa"/>
            <w:vAlign w:val="bottom"/>
            <w:vMerge w:val="continue"/>
          </w:tcPr>
          <w:p>
            <w:pPr>
              <w:spacing w:after="0"/>
              <w:rPr>
                <w:sz w:val="9"/>
                <w:szCs w:val="9"/>
                <w:color w:val="auto"/>
              </w:rPr>
            </w:pPr>
          </w:p>
        </w:tc>
        <w:tc>
          <w:tcPr>
            <w:tcW w:w="2400" w:type="dxa"/>
            <w:vAlign w:val="bottom"/>
            <w:vMerge w:val="continue"/>
          </w:tcPr>
          <w:p>
            <w:pPr>
              <w:spacing w:after="0"/>
              <w:rPr>
                <w:sz w:val="9"/>
                <w:szCs w:val="9"/>
                <w:color w:val="auto"/>
              </w:rPr>
            </w:pPr>
          </w:p>
        </w:tc>
        <w:tc>
          <w:tcPr>
            <w:tcW w:w="20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2"/>
              </w:rPr>
              <w:t>Group 1</w:t>
            </w:r>
          </w:p>
        </w:tc>
        <w:tc>
          <w:tcPr>
            <w:tcW w:w="20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2"/>
              </w:rPr>
              <w:t>Group 2</w:t>
            </w:r>
          </w:p>
        </w:tc>
        <w:tc>
          <w:tcPr>
            <w:tcW w:w="1900" w:type="dxa"/>
            <w:vAlign w:val="bottom"/>
            <w:vMerge w:val="restart"/>
          </w:tcPr>
          <w:p>
            <w:pPr>
              <w:jc w:val="center"/>
              <w:ind w:left="10"/>
              <w:spacing w:after="0"/>
              <w:rPr>
                <w:sz w:val="20"/>
                <w:szCs w:val="20"/>
                <w:color w:val="auto"/>
              </w:rPr>
            </w:pPr>
            <w:r>
              <w:rPr>
                <w:rFonts w:ascii="Arial" w:cs="Arial" w:eastAsia="Arial" w:hAnsi="Arial"/>
                <w:sz w:val="18"/>
                <w:szCs w:val="18"/>
                <w:b w:val="1"/>
                <w:bCs w:val="1"/>
                <w:color w:val="auto"/>
                <w:w w:val="92"/>
              </w:rPr>
              <w:t>Group 3</w:t>
            </w:r>
          </w:p>
        </w:tc>
        <w:tc>
          <w:tcPr>
            <w:tcW w:w="0" w:type="dxa"/>
            <w:vAlign w:val="bottom"/>
          </w:tcPr>
          <w:p>
            <w:pPr>
              <w:spacing w:after="0"/>
              <w:rPr>
                <w:sz w:val="1"/>
                <w:szCs w:val="1"/>
                <w:color w:val="auto"/>
              </w:rPr>
            </w:pPr>
          </w:p>
        </w:tc>
      </w:tr>
      <w:tr>
        <w:trPr>
          <w:trHeight w:val="108"/>
        </w:trPr>
        <w:tc>
          <w:tcPr>
            <w:tcW w:w="1180" w:type="dxa"/>
            <w:vAlign w:val="bottom"/>
          </w:tcPr>
          <w:p>
            <w:pPr>
              <w:spacing w:after="0"/>
              <w:rPr>
                <w:sz w:val="9"/>
                <w:szCs w:val="9"/>
                <w:color w:val="auto"/>
              </w:rPr>
            </w:pPr>
          </w:p>
        </w:tc>
        <w:tc>
          <w:tcPr>
            <w:tcW w:w="2400" w:type="dxa"/>
            <w:vAlign w:val="bottom"/>
          </w:tcPr>
          <w:p>
            <w:pPr>
              <w:spacing w:after="0"/>
              <w:rPr>
                <w:sz w:val="9"/>
                <w:szCs w:val="9"/>
                <w:color w:val="auto"/>
              </w:rPr>
            </w:pPr>
          </w:p>
        </w:tc>
        <w:tc>
          <w:tcPr>
            <w:tcW w:w="2000" w:type="dxa"/>
            <w:vAlign w:val="bottom"/>
            <w:vMerge w:val="continue"/>
          </w:tcPr>
          <w:p>
            <w:pPr>
              <w:spacing w:after="0"/>
              <w:rPr>
                <w:sz w:val="9"/>
                <w:szCs w:val="9"/>
                <w:color w:val="auto"/>
              </w:rPr>
            </w:pPr>
          </w:p>
        </w:tc>
        <w:tc>
          <w:tcPr>
            <w:tcW w:w="2080" w:type="dxa"/>
            <w:vAlign w:val="bottom"/>
            <w:vMerge w:val="continue"/>
          </w:tcPr>
          <w:p>
            <w:pPr>
              <w:spacing w:after="0"/>
              <w:rPr>
                <w:sz w:val="9"/>
                <w:szCs w:val="9"/>
                <w:color w:val="auto"/>
              </w:rPr>
            </w:pPr>
          </w:p>
        </w:tc>
        <w:tc>
          <w:tcPr>
            <w:tcW w:w="1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1"/>
        </w:trPr>
        <w:tc>
          <w:tcPr>
            <w:tcW w:w="11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4080" w:type="dxa"/>
            <w:vAlign w:val="bottom"/>
            <w:tcBorders>
              <w:bottom w:val="single" w:sz="8" w:color="auto"/>
            </w:tcBorders>
            <w:gridSpan w:val="2"/>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18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4080" w:type="dxa"/>
            <w:vAlign w:val="bottom"/>
            <w:gridSpan w:val="2"/>
          </w:tcPr>
          <w:p>
            <w:pPr>
              <w:ind w:left="1520"/>
              <w:spacing w:after="0"/>
              <w:rPr>
                <w:sz w:val="20"/>
                <w:szCs w:val="20"/>
                <w:color w:val="auto"/>
              </w:rPr>
            </w:pPr>
            <w:r>
              <w:rPr>
                <w:rFonts w:ascii="Arial" w:cs="Arial" w:eastAsia="Arial" w:hAnsi="Arial"/>
                <w:sz w:val="18"/>
                <w:szCs w:val="18"/>
                <w:b w:val="1"/>
                <w:bCs w:val="1"/>
                <w:color w:val="auto"/>
              </w:rPr>
              <w:t>Me (Lq; Uq)</w:t>
            </w:r>
          </w:p>
        </w:tc>
        <w:tc>
          <w:tcPr>
            <w:tcW w:w="1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
        </w:trPr>
        <w:tc>
          <w:tcPr>
            <w:tcW w:w="118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180" w:type="dxa"/>
            <w:vAlign w:val="bottom"/>
          </w:tcPr>
          <w:p>
            <w:pPr>
              <w:jc w:val="center"/>
              <w:ind w:left="270"/>
              <w:spacing w:after="0"/>
              <w:rPr>
                <w:sz w:val="20"/>
                <w:szCs w:val="20"/>
                <w:color w:val="auto"/>
              </w:rPr>
            </w:pPr>
            <w:r>
              <w:rPr>
                <w:rFonts w:ascii="Arial" w:cs="Arial" w:eastAsia="Arial" w:hAnsi="Arial"/>
                <w:sz w:val="18"/>
                <w:szCs w:val="18"/>
                <w:color w:val="auto"/>
                <w:w w:val="83"/>
              </w:rPr>
              <w:t>S-NO,</w:t>
            </w:r>
          </w:p>
        </w:tc>
        <w:tc>
          <w:tcPr>
            <w:tcW w:w="2400" w:type="dxa"/>
            <w:vAlign w:val="bottom"/>
          </w:tcPr>
          <w:p>
            <w:pPr>
              <w:jc w:val="center"/>
              <w:ind w:left="270"/>
              <w:spacing w:after="0"/>
              <w:rPr>
                <w:sz w:val="20"/>
                <w:szCs w:val="20"/>
                <w:color w:val="auto"/>
              </w:rPr>
            </w:pPr>
            <w:r>
              <w:rPr>
                <w:rFonts w:ascii="Arial" w:cs="Arial" w:eastAsia="Arial" w:hAnsi="Arial"/>
                <w:sz w:val="18"/>
                <w:szCs w:val="18"/>
                <w:color w:val="auto"/>
                <w:w w:val="88"/>
              </w:rPr>
              <w:t>0.590</w:t>
            </w:r>
          </w:p>
        </w:tc>
        <w:tc>
          <w:tcPr>
            <w:tcW w:w="2000" w:type="dxa"/>
            <w:vAlign w:val="bottom"/>
          </w:tcPr>
          <w:p>
            <w:pPr>
              <w:jc w:val="center"/>
              <w:spacing w:after="0"/>
              <w:rPr>
                <w:sz w:val="20"/>
                <w:szCs w:val="20"/>
                <w:color w:val="auto"/>
              </w:rPr>
            </w:pPr>
            <w:r>
              <w:rPr>
                <w:rFonts w:ascii="Arial" w:cs="Arial" w:eastAsia="Arial" w:hAnsi="Arial"/>
                <w:sz w:val="18"/>
                <w:szCs w:val="18"/>
                <w:color w:val="auto"/>
                <w:w w:val="91"/>
              </w:rPr>
              <w:t>0.810 *</w:t>
            </w:r>
          </w:p>
        </w:tc>
        <w:tc>
          <w:tcPr>
            <w:tcW w:w="2080" w:type="dxa"/>
            <w:vAlign w:val="bottom"/>
          </w:tcPr>
          <w:p>
            <w:pPr>
              <w:jc w:val="center"/>
              <w:spacing w:after="0"/>
              <w:rPr>
                <w:sz w:val="20"/>
                <w:szCs w:val="20"/>
                <w:color w:val="auto"/>
              </w:rPr>
            </w:pPr>
            <w:r>
              <w:rPr>
                <w:rFonts w:ascii="Arial" w:cs="Arial" w:eastAsia="Arial" w:hAnsi="Arial"/>
                <w:sz w:val="18"/>
                <w:szCs w:val="18"/>
                <w:color w:val="auto"/>
                <w:w w:val="92"/>
              </w:rPr>
              <w:t>0.230*</w:t>
            </w:r>
          </w:p>
        </w:tc>
        <w:tc>
          <w:tcPr>
            <w:tcW w:w="1900" w:type="dxa"/>
            <w:vAlign w:val="bottom"/>
          </w:tcPr>
          <w:p>
            <w:pPr>
              <w:jc w:val="center"/>
              <w:ind w:left="10"/>
              <w:spacing w:after="0"/>
              <w:rPr>
                <w:sz w:val="20"/>
                <w:szCs w:val="20"/>
                <w:color w:val="auto"/>
              </w:rPr>
            </w:pPr>
            <w:r>
              <w:rPr>
                <w:rFonts w:ascii="Arial" w:cs="Arial" w:eastAsia="Arial" w:hAnsi="Arial"/>
                <w:sz w:val="18"/>
                <w:szCs w:val="18"/>
                <w:color w:val="auto"/>
                <w:w w:val="92"/>
              </w:rPr>
              <w:t>0.440*</w:t>
            </w:r>
          </w:p>
        </w:tc>
        <w:tc>
          <w:tcPr>
            <w:tcW w:w="0" w:type="dxa"/>
            <w:vAlign w:val="bottom"/>
          </w:tcPr>
          <w:p>
            <w:pPr>
              <w:spacing w:after="0"/>
              <w:rPr>
                <w:sz w:val="1"/>
                <w:szCs w:val="1"/>
                <w:color w:val="auto"/>
              </w:rPr>
            </w:pPr>
          </w:p>
        </w:tc>
      </w:tr>
      <w:tr>
        <w:trPr>
          <w:trHeight w:val="216"/>
        </w:trPr>
        <w:tc>
          <w:tcPr>
            <w:tcW w:w="1180" w:type="dxa"/>
            <w:vAlign w:val="bottom"/>
          </w:tcPr>
          <w:p>
            <w:pPr>
              <w:jc w:val="center"/>
              <w:ind w:left="270"/>
              <w:spacing w:after="0"/>
              <w:rPr>
                <w:sz w:val="20"/>
                <w:szCs w:val="20"/>
                <w:color w:val="auto"/>
              </w:rPr>
            </w:pPr>
            <w:r>
              <w:rPr>
                <w:rFonts w:ascii="Arial" w:cs="Arial" w:eastAsia="Arial" w:hAnsi="Arial"/>
                <w:sz w:val="18"/>
                <w:szCs w:val="18"/>
                <w:color w:val="auto"/>
              </w:rPr>
              <w:t>µmol/l</w:t>
            </w:r>
          </w:p>
        </w:tc>
        <w:tc>
          <w:tcPr>
            <w:tcW w:w="2400" w:type="dxa"/>
            <w:vAlign w:val="bottom"/>
          </w:tcPr>
          <w:p>
            <w:pPr>
              <w:jc w:val="center"/>
              <w:ind w:left="270"/>
              <w:spacing w:after="0"/>
              <w:rPr>
                <w:sz w:val="20"/>
                <w:szCs w:val="20"/>
                <w:color w:val="auto"/>
              </w:rPr>
            </w:pPr>
            <w:r>
              <w:rPr>
                <w:rFonts w:ascii="Arial" w:cs="Arial" w:eastAsia="Arial" w:hAnsi="Arial"/>
                <w:sz w:val="18"/>
                <w:szCs w:val="18"/>
                <w:color w:val="auto"/>
                <w:w w:val="89"/>
              </w:rPr>
              <w:t>(0.540;0.625)</w:t>
            </w:r>
          </w:p>
        </w:tc>
        <w:tc>
          <w:tcPr>
            <w:tcW w:w="2000" w:type="dxa"/>
            <w:vAlign w:val="bottom"/>
          </w:tcPr>
          <w:p>
            <w:pPr>
              <w:jc w:val="center"/>
              <w:spacing w:after="0"/>
              <w:rPr>
                <w:sz w:val="20"/>
                <w:szCs w:val="20"/>
                <w:color w:val="auto"/>
              </w:rPr>
            </w:pPr>
            <w:r>
              <w:rPr>
                <w:rFonts w:ascii="Arial" w:cs="Arial" w:eastAsia="Arial" w:hAnsi="Arial"/>
                <w:sz w:val="18"/>
                <w:szCs w:val="18"/>
                <w:color w:val="auto"/>
                <w:w w:val="89"/>
              </w:rPr>
              <w:t>(0.770;0.840)</w:t>
            </w:r>
          </w:p>
        </w:tc>
        <w:tc>
          <w:tcPr>
            <w:tcW w:w="2080" w:type="dxa"/>
            <w:vAlign w:val="bottom"/>
          </w:tcPr>
          <w:p>
            <w:pPr>
              <w:jc w:val="center"/>
              <w:spacing w:after="0"/>
              <w:rPr>
                <w:sz w:val="20"/>
                <w:szCs w:val="20"/>
                <w:color w:val="auto"/>
              </w:rPr>
            </w:pPr>
            <w:r>
              <w:rPr>
                <w:rFonts w:ascii="Arial" w:cs="Arial" w:eastAsia="Arial" w:hAnsi="Arial"/>
                <w:sz w:val="18"/>
                <w:szCs w:val="18"/>
                <w:color w:val="auto"/>
                <w:w w:val="87"/>
              </w:rPr>
              <w:t>(0.200;0.270)</w:t>
            </w:r>
          </w:p>
        </w:tc>
        <w:tc>
          <w:tcPr>
            <w:tcW w:w="1900" w:type="dxa"/>
            <w:vAlign w:val="bottom"/>
          </w:tcPr>
          <w:p>
            <w:pPr>
              <w:jc w:val="center"/>
              <w:ind w:left="30"/>
              <w:spacing w:after="0"/>
              <w:rPr>
                <w:sz w:val="20"/>
                <w:szCs w:val="20"/>
                <w:color w:val="auto"/>
              </w:rPr>
            </w:pPr>
            <w:r>
              <w:rPr>
                <w:rFonts w:ascii="Arial" w:cs="Arial" w:eastAsia="Arial" w:hAnsi="Arial"/>
                <w:sz w:val="18"/>
                <w:szCs w:val="18"/>
                <w:color w:val="auto"/>
                <w:w w:val="87"/>
              </w:rPr>
              <w:t>(0.360;0.510)</w:t>
            </w:r>
          </w:p>
        </w:tc>
        <w:tc>
          <w:tcPr>
            <w:tcW w:w="0" w:type="dxa"/>
            <w:vAlign w:val="bottom"/>
          </w:tcPr>
          <w:p>
            <w:pPr>
              <w:spacing w:after="0"/>
              <w:rPr>
                <w:sz w:val="1"/>
                <w:szCs w:val="1"/>
                <w:color w:val="auto"/>
              </w:rPr>
            </w:pPr>
          </w:p>
        </w:tc>
      </w:tr>
      <w:tr>
        <w:trPr>
          <w:trHeight w:val="31"/>
        </w:trPr>
        <w:tc>
          <w:tcPr>
            <w:tcW w:w="1180" w:type="dxa"/>
            <w:vAlign w:val="bottom"/>
            <w:tcBorders>
              <w:bottom w:val="single" w:sz="8" w:color="auto"/>
            </w:tcBorders>
          </w:tcPr>
          <w:p>
            <w:pPr>
              <w:spacing w:after="0"/>
              <w:rPr>
                <w:sz w:val="2"/>
                <w:szCs w:val="2"/>
                <w:color w:val="auto"/>
              </w:rPr>
            </w:pPr>
          </w:p>
        </w:tc>
        <w:tc>
          <w:tcPr>
            <w:tcW w:w="8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75"/>
        </w:trPr>
        <w:tc>
          <w:tcPr>
            <w:tcW w:w="1180" w:type="dxa"/>
            <w:vAlign w:val="bottom"/>
            <w:tcBorders>
              <w:bottom w:val="single" w:sz="8" w:color="auto"/>
            </w:tcBorders>
          </w:tcPr>
          <w:p>
            <w:pPr>
              <w:spacing w:after="0"/>
              <w:rPr>
                <w:sz w:val="23"/>
                <w:szCs w:val="23"/>
                <w:color w:val="auto"/>
              </w:rPr>
            </w:pPr>
          </w:p>
        </w:tc>
        <w:tc>
          <w:tcPr>
            <w:tcW w:w="8380" w:type="dxa"/>
            <w:vAlign w:val="bottom"/>
            <w:tcBorders>
              <w:bottom w:val="single" w:sz="8" w:color="auto"/>
            </w:tcBorders>
            <w:gridSpan w:val="4"/>
          </w:tcPr>
          <w:p>
            <w:pPr>
              <w:jc w:val="center"/>
              <w:ind w:right="1090"/>
              <w:spacing w:after="0"/>
              <w:rPr>
                <w:sz w:val="20"/>
                <w:szCs w:val="20"/>
                <w:color w:val="auto"/>
              </w:rPr>
            </w:pPr>
            <w:r>
              <w:rPr>
                <w:rFonts w:ascii="Arial" w:cs="Arial" w:eastAsia="Arial" w:hAnsi="Arial"/>
                <w:sz w:val="18"/>
                <w:szCs w:val="18"/>
                <w:b w:val="1"/>
                <w:bCs w:val="1"/>
                <w:color w:val="auto"/>
                <w:w w:val="89"/>
              </w:rPr>
              <w:t>МWUTest: p</w:t>
            </w:r>
            <w:r>
              <w:rPr>
                <w:rFonts w:ascii="Arial" w:cs="Arial" w:eastAsia="Arial" w:hAnsi="Arial"/>
                <w:sz w:val="20"/>
                <w:szCs w:val="20"/>
                <w:b w:val="1"/>
                <w:bCs w:val="1"/>
                <w:color w:val="auto"/>
                <w:w w:val="89"/>
                <w:vertAlign w:val="subscript"/>
              </w:rPr>
              <w:t>1-2</w:t>
            </w:r>
            <w:r>
              <w:rPr>
                <w:rFonts w:ascii="Arial" w:cs="Arial" w:eastAsia="Arial" w:hAnsi="Arial"/>
                <w:sz w:val="18"/>
                <w:szCs w:val="18"/>
                <w:b w:val="1"/>
                <w:bCs w:val="1"/>
                <w:color w:val="auto"/>
                <w:w w:val="89"/>
              </w:rPr>
              <w:t xml:space="preserve"> = 0.0000; p</w:t>
            </w:r>
            <w:r>
              <w:rPr>
                <w:rFonts w:ascii="Arial" w:cs="Arial" w:eastAsia="Arial" w:hAnsi="Arial"/>
                <w:sz w:val="20"/>
                <w:szCs w:val="20"/>
                <w:b w:val="1"/>
                <w:bCs w:val="1"/>
                <w:color w:val="auto"/>
                <w:w w:val="89"/>
                <w:vertAlign w:val="subscript"/>
              </w:rPr>
              <w:t>1-3</w:t>
            </w:r>
            <w:r>
              <w:rPr>
                <w:rFonts w:ascii="Arial" w:cs="Arial" w:eastAsia="Arial" w:hAnsi="Arial"/>
                <w:sz w:val="18"/>
                <w:szCs w:val="18"/>
                <w:b w:val="1"/>
                <w:bCs w:val="1"/>
                <w:color w:val="auto"/>
                <w:w w:val="89"/>
              </w:rPr>
              <w:t xml:space="preserve"> = 0.0022; p</w:t>
            </w:r>
            <w:r>
              <w:rPr>
                <w:rFonts w:ascii="Arial" w:cs="Arial" w:eastAsia="Arial" w:hAnsi="Arial"/>
                <w:sz w:val="20"/>
                <w:szCs w:val="20"/>
                <w:b w:val="1"/>
                <w:bCs w:val="1"/>
                <w:color w:val="auto"/>
                <w:w w:val="89"/>
                <w:vertAlign w:val="subscript"/>
              </w:rPr>
              <w:t>2-3</w:t>
            </w:r>
            <w:r>
              <w:rPr>
                <w:rFonts w:ascii="Arial" w:cs="Arial" w:eastAsia="Arial" w:hAnsi="Arial"/>
                <w:sz w:val="18"/>
                <w:szCs w:val="18"/>
                <w:b w:val="1"/>
                <w:bCs w:val="1"/>
                <w:color w:val="auto"/>
                <w:w w:val="89"/>
              </w:rPr>
              <w:t xml:space="preserve"> = 0.4744; p</w:t>
            </w:r>
            <w:r>
              <w:rPr>
                <w:rFonts w:ascii="Arial" w:cs="Arial" w:eastAsia="Arial" w:hAnsi="Arial"/>
                <w:sz w:val="20"/>
                <w:szCs w:val="20"/>
                <w:b w:val="1"/>
                <w:bCs w:val="1"/>
                <w:color w:val="auto"/>
                <w:w w:val="89"/>
                <w:vertAlign w:val="subscript"/>
              </w:rPr>
              <w:t>с-1</w:t>
            </w:r>
            <w:r>
              <w:rPr>
                <w:rFonts w:ascii="Arial" w:cs="Arial" w:eastAsia="Arial" w:hAnsi="Arial"/>
                <w:sz w:val="18"/>
                <w:szCs w:val="18"/>
                <w:b w:val="1"/>
                <w:bCs w:val="1"/>
                <w:color w:val="auto"/>
                <w:w w:val="89"/>
              </w:rPr>
              <w:t xml:space="preserve"> = 0.0000; p</w:t>
            </w:r>
            <w:r>
              <w:rPr>
                <w:rFonts w:ascii="Arial" w:cs="Arial" w:eastAsia="Arial" w:hAnsi="Arial"/>
                <w:sz w:val="20"/>
                <w:szCs w:val="20"/>
                <w:b w:val="1"/>
                <w:bCs w:val="1"/>
                <w:color w:val="auto"/>
                <w:w w:val="89"/>
                <w:vertAlign w:val="subscript"/>
              </w:rPr>
              <w:t>с-2</w:t>
            </w:r>
            <w:r>
              <w:rPr>
                <w:rFonts w:ascii="Arial" w:cs="Arial" w:eastAsia="Arial" w:hAnsi="Arial"/>
                <w:sz w:val="18"/>
                <w:szCs w:val="18"/>
                <w:b w:val="1"/>
                <w:bCs w:val="1"/>
                <w:color w:val="auto"/>
                <w:w w:val="89"/>
              </w:rPr>
              <w:t xml:space="preserve"> = 0.0000; p</w:t>
            </w:r>
            <w:r>
              <w:rPr>
                <w:rFonts w:ascii="Arial" w:cs="Arial" w:eastAsia="Arial" w:hAnsi="Arial"/>
                <w:sz w:val="20"/>
                <w:szCs w:val="20"/>
                <w:b w:val="1"/>
                <w:bCs w:val="1"/>
                <w:color w:val="auto"/>
                <w:w w:val="89"/>
                <w:vertAlign w:val="subscript"/>
              </w:rPr>
              <w:t>с-3</w:t>
            </w:r>
            <w:r>
              <w:rPr>
                <w:rFonts w:ascii="Arial" w:cs="Arial" w:eastAsia="Arial" w:hAnsi="Arial"/>
                <w:sz w:val="18"/>
                <w:szCs w:val="18"/>
                <w:b w:val="1"/>
                <w:bCs w:val="1"/>
                <w:color w:val="auto"/>
                <w:w w:val="89"/>
              </w:rPr>
              <w:t xml:space="preserve"> = 68.500</w:t>
            </w:r>
          </w:p>
        </w:tc>
        <w:tc>
          <w:tcPr>
            <w:tcW w:w="0" w:type="dxa"/>
            <w:vAlign w:val="bottom"/>
          </w:tcPr>
          <w:p>
            <w:pPr>
              <w:spacing w:after="0"/>
              <w:rPr>
                <w:sz w:val="1"/>
                <w:szCs w:val="1"/>
                <w:color w:val="auto"/>
              </w:rPr>
            </w:pPr>
          </w:p>
        </w:tc>
      </w:tr>
      <w:tr>
        <w:trPr>
          <w:trHeight w:val="244"/>
        </w:trPr>
        <w:tc>
          <w:tcPr>
            <w:tcW w:w="1180" w:type="dxa"/>
            <w:vAlign w:val="bottom"/>
          </w:tcPr>
          <w:p>
            <w:pPr>
              <w:jc w:val="center"/>
              <w:ind w:left="270"/>
              <w:spacing w:after="0"/>
              <w:rPr>
                <w:sz w:val="20"/>
                <w:szCs w:val="20"/>
                <w:color w:val="auto"/>
              </w:rPr>
            </w:pPr>
            <w:r>
              <w:rPr>
                <w:rFonts w:ascii="Arial" w:cs="Arial" w:eastAsia="Arial" w:hAnsi="Arial"/>
                <w:sz w:val="18"/>
                <w:szCs w:val="18"/>
                <w:color w:val="auto"/>
                <w:w w:val="81"/>
              </w:rPr>
              <w:t>VWF, %</w:t>
            </w:r>
          </w:p>
        </w:tc>
        <w:tc>
          <w:tcPr>
            <w:tcW w:w="2400" w:type="dxa"/>
            <w:vAlign w:val="bottom"/>
          </w:tcPr>
          <w:p>
            <w:pPr>
              <w:jc w:val="center"/>
              <w:ind w:left="270"/>
              <w:spacing w:after="0"/>
              <w:rPr>
                <w:sz w:val="20"/>
                <w:szCs w:val="20"/>
                <w:color w:val="auto"/>
              </w:rPr>
            </w:pPr>
            <w:r>
              <w:rPr>
                <w:rFonts w:ascii="Arial" w:cs="Arial" w:eastAsia="Arial" w:hAnsi="Arial"/>
                <w:sz w:val="18"/>
                <w:szCs w:val="18"/>
                <w:color w:val="auto"/>
                <w:w w:val="87"/>
              </w:rPr>
              <w:t>83.000</w:t>
            </w:r>
          </w:p>
        </w:tc>
        <w:tc>
          <w:tcPr>
            <w:tcW w:w="2000" w:type="dxa"/>
            <w:vAlign w:val="bottom"/>
          </w:tcPr>
          <w:p>
            <w:pPr>
              <w:jc w:val="center"/>
              <w:spacing w:after="0"/>
              <w:rPr>
                <w:sz w:val="20"/>
                <w:szCs w:val="20"/>
                <w:color w:val="auto"/>
              </w:rPr>
            </w:pPr>
            <w:r>
              <w:rPr>
                <w:rFonts w:ascii="Arial" w:cs="Arial" w:eastAsia="Arial" w:hAnsi="Arial"/>
                <w:sz w:val="18"/>
                <w:szCs w:val="18"/>
                <w:color w:val="auto"/>
                <w:w w:val="94"/>
              </w:rPr>
              <w:t>115.000*</w:t>
            </w:r>
          </w:p>
        </w:tc>
        <w:tc>
          <w:tcPr>
            <w:tcW w:w="2080" w:type="dxa"/>
            <w:vAlign w:val="bottom"/>
          </w:tcPr>
          <w:p>
            <w:pPr>
              <w:jc w:val="center"/>
              <w:spacing w:after="0"/>
              <w:rPr>
                <w:sz w:val="20"/>
                <w:szCs w:val="20"/>
                <w:color w:val="auto"/>
              </w:rPr>
            </w:pPr>
            <w:r>
              <w:rPr>
                <w:rFonts w:ascii="Arial" w:cs="Arial" w:eastAsia="Arial" w:hAnsi="Arial"/>
                <w:sz w:val="18"/>
                <w:szCs w:val="18"/>
                <w:color w:val="auto"/>
                <w:w w:val="91"/>
              </w:rPr>
              <w:t>169.000*</w:t>
            </w:r>
          </w:p>
        </w:tc>
        <w:tc>
          <w:tcPr>
            <w:tcW w:w="1900" w:type="dxa"/>
            <w:vAlign w:val="bottom"/>
          </w:tcPr>
          <w:p>
            <w:pPr>
              <w:jc w:val="center"/>
              <w:ind w:left="30"/>
              <w:spacing w:after="0"/>
              <w:rPr>
                <w:sz w:val="20"/>
                <w:szCs w:val="20"/>
                <w:color w:val="auto"/>
              </w:rPr>
            </w:pPr>
            <w:r>
              <w:rPr>
                <w:rFonts w:ascii="Arial" w:cs="Arial" w:eastAsia="Arial" w:hAnsi="Arial"/>
                <w:sz w:val="18"/>
                <w:szCs w:val="18"/>
                <w:color w:val="auto"/>
                <w:w w:val="91"/>
              </w:rPr>
              <w:t>156.000*</w:t>
            </w:r>
          </w:p>
        </w:tc>
        <w:tc>
          <w:tcPr>
            <w:tcW w:w="0" w:type="dxa"/>
            <w:vAlign w:val="bottom"/>
          </w:tcPr>
          <w:p>
            <w:pPr>
              <w:spacing w:after="0"/>
              <w:rPr>
                <w:sz w:val="1"/>
                <w:szCs w:val="1"/>
                <w:color w:val="auto"/>
              </w:rPr>
            </w:pPr>
          </w:p>
        </w:tc>
      </w:tr>
      <w:tr>
        <w:trPr>
          <w:trHeight w:val="216"/>
        </w:trPr>
        <w:tc>
          <w:tcPr>
            <w:tcW w:w="1180" w:type="dxa"/>
            <w:vAlign w:val="bottom"/>
          </w:tcPr>
          <w:p>
            <w:pPr>
              <w:spacing w:after="0"/>
              <w:rPr>
                <w:sz w:val="18"/>
                <w:szCs w:val="18"/>
                <w:color w:val="auto"/>
              </w:rPr>
            </w:pPr>
          </w:p>
        </w:tc>
        <w:tc>
          <w:tcPr>
            <w:tcW w:w="2400" w:type="dxa"/>
            <w:vAlign w:val="bottom"/>
          </w:tcPr>
          <w:p>
            <w:pPr>
              <w:jc w:val="center"/>
              <w:ind w:left="270"/>
              <w:spacing w:after="0"/>
              <w:rPr>
                <w:sz w:val="20"/>
                <w:szCs w:val="20"/>
                <w:color w:val="auto"/>
              </w:rPr>
            </w:pPr>
            <w:r>
              <w:rPr>
                <w:rFonts w:ascii="Arial" w:cs="Arial" w:eastAsia="Arial" w:hAnsi="Arial"/>
                <w:sz w:val="18"/>
                <w:szCs w:val="18"/>
                <w:color w:val="auto"/>
                <w:w w:val="88"/>
              </w:rPr>
              <w:t>(82.000;86.000)</w:t>
            </w:r>
          </w:p>
        </w:tc>
        <w:tc>
          <w:tcPr>
            <w:tcW w:w="2000" w:type="dxa"/>
            <w:vAlign w:val="bottom"/>
          </w:tcPr>
          <w:p>
            <w:pPr>
              <w:jc w:val="center"/>
              <w:spacing w:after="0"/>
              <w:rPr>
                <w:sz w:val="20"/>
                <w:szCs w:val="20"/>
                <w:color w:val="auto"/>
              </w:rPr>
            </w:pPr>
            <w:r>
              <w:rPr>
                <w:rFonts w:ascii="Arial" w:cs="Arial" w:eastAsia="Arial" w:hAnsi="Arial"/>
                <w:sz w:val="18"/>
                <w:szCs w:val="18"/>
                <w:color w:val="auto"/>
                <w:w w:val="89"/>
              </w:rPr>
              <w:t>(100.000;127.000)</w:t>
            </w:r>
          </w:p>
        </w:tc>
        <w:tc>
          <w:tcPr>
            <w:tcW w:w="2080" w:type="dxa"/>
            <w:vAlign w:val="bottom"/>
          </w:tcPr>
          <w:p>
            <w:pPr>
              <w:jc w:val="center"/>
              <w:spacing w:after="0"/>
              <w:rPr>
                <w:sz w:val="20"/>
                <w:szCs w:val="20"/>
                <w:color w:val="auto"/>
              </w:rPr>
            </w:pPr>
            <w:r>
              <w:rPr>
                <w:rFonts w:ascii="Arial" w:cs="Arial" w:eastAsia="Arial" w:hAnsi="Arial"/>
                <w:sz w:val="18"/>
                <w:szCs w:val="18"/>
                <w:color w:val="auto"/>
                <w:w w:val="89"/>
              </w:rPr>
              <w:t>(147.000;178.500)</w:t>
            </w:r>
          </w:p>
        </w:tc>
        <w:tc>
          <w:tcPr>
            <w:tcW w:w="1900" w:type="dxa"/>
            <w:vAlign w:val="bottom"/>
          </w:tcPr>
          <w:p>
            <w:pPr>
              <w:jc w:val="center"/>
              <w:ind w:left="10"/>
              <w:spacing w:after="0"/>
              <w:rPr>
                <w:sz w:val="20"/>
                <w:szCs w:val="20"/>
                <w:color w:val="auto"/>
              </w:rPr>
            </w:pPr>
            <w:r>
              <w:rPr>
                <w:rFonts w:ascii="Arial" w:cs="Arial" w:eastAsia="Arial" w:hAnsi="Arial"/>
                <w:sz w:val="18"/>
                <w:szCs w:val="18"/>
                <w:color w:val="auto"/>
                <w:w w:val="89"/>
              </w:rPr>
              <w:t>(142.750;165.000)</w:t>
            </w:r>
          </w:p>
        </w:tc>
        <w:tc>
          <w:tcPr>
            <w:tcW w:w="0" w:type="dxa"/>
            <w:vAlign w:val="bottom"/>
          </w:tcPr>
          <w:p>
            <w:pPr>
              <w:spacing w:after="0"/>
              <w:rPr>
                <w:sz w:val="1"/>
                <w:szCs w:val="1"/>
                <w:color w:val="auto"/>
              </w:rPr>
            </w:pPr>
          </w:p>
        </w:tc>
      </w:tr>
      <w:tr>
        <w:trPr>
          <w:trHeight w:val="31"/>
        </w:trPr>
        <w:tc>
          <w:tcPr>
            <w:tcW w:w="1180" w:type="dxa"/>
            <w:vAlign w:val="bottom"/>
            <w:tcBorders>
              <w:bottom w:val="single" w:sz="8" w:color="auto"/>
            </w:tcBorders>
          </w:tcPr>
          <w:p>
            <w:pPr>
              <w:spacing w:after="0"/>
              <w:rPr>
                <w:sz w:val="2"/>
                <w:szCs w:val="2"/>
                <w:color w:val="auto"/>
              </w:rPr>
            </w:pPr>
          </w:p>
        </w:tc>
        <w:tc>
          <w:tcPr>
            <w:tcW w:w="8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75"/>
        </w:trPr>
        <w:tc>
          <w:tcPr>
            <w:tcW w:w="1180" w:type="dxa"/>
            <w:vAlign w:val="bottom"/>
            <w:tcBorders>
              <w:bottom w:val="single" w:sz="8" w:color="auto"/>
            </w:tcBorders>
          </w:tcPr>
          <w:p>
            <w:pPr>
              <w:spacing w:after="0"/>
              <w:rPr>
                <w:sz w:val="23"/>
                <w:szCs w:val="23"/>
                <w:color w:val="auto"/>
              </w:rPr>
            </w:pPr>
          </w:p>
        </w:tc>
        <w:tc>
          <w:tcPr>
            <w:tcW w:w="8380" w:type="dxa"/>
            <w:vAlign w:val="bottom"/>
            <w:tcBorders>
              <w:bottom w:val="single" w:sz="8" w:color="auto"/>
            </w:tcBorders>
            <w:gridSpan w:val="4"/>
          </w:tcPr>
          <w:p>
            <w:pPr>
              <w:jc w:val="center"/>
              <w:ind w:right="1070"/>
              <w:spacing w:after="0"/>
              <w:rPr>
                <w:sz w:val="20"/>
                <w:szCs w:val="20"/>
                <w:color w:val="auto"/>
              </w:rPr>
            </w:pPr>
            <w:r>
              <w:rPr>
                <w:rFonts w:ascii="Arial" w:cs="Arial" w:eastAsia="Arial" w:hAnsi="Arial"/>
                <w:sz w:val="18"/>
                <w:szCs w:val="18"/>
                <w:b w:val="1"/>
                <w:bCs w:val="1"/>
                <w:color w:val="auto"/>
                <w:w w:val="89"/>
              </w:rPr>
              <w:t>МWUTest: p</w:t>
            </w:r>
            <w:r>
              <w:rPr>
                <w:rFonts w:ascii="Arial" w:cs="Arial" w:eastAsia="Arial" w:hAnsi="Arial"/>
                <w:sz w:val="20"/>
                <w:szCs w:val="20"/>
                <w:b w:val="1"/>
                <w:bCs w:val="1"/>
                <w:color w:val="auto"/>
                <w:w w:val="89"/>
                <w:vertAlign w:val="subscript"/>
              </w:rPr>
              <w:t>1-2</w:t>
            </w:r>
            <w:r>
              <w:rPr>
                <w:rFonts w:ascii="Arial" w:cs="Arial" w:eastAsia="Arial" w:hAnsi="Arial"/>
                <w:sz w:val="18"/>
                <w:szCs w:val="18"/>
                <w:b w:val="1"/>
                <w:bCs w:val="1"/>
                <w:color w:val="auto"/>
                <w:w w:val="89"/>
              </w:rPr>
              <w:t xml:space="preserve"> = 0.0000; p</w:t>
            </w:r>
            <w:r>
              <w:rPr>
                <w:rFonts w:ascii="Arial" w:cs="Arial" w:eastAsia="Arial" w:hAnsi="Arial"/>
                <w:sz w:val="20"/>
                <w:szCs w:val="20"/>
                <w:b w:val="1"/>
                <w:bCs w:val="1"/>
                <w:color w:val="auto"/>
                <w:w w:val="89"/>
                <w:vertAlign w:val="subscript"/>
              </w:rPr>
              <w:t>1-3</w:t>
            </w:r>
            <w:r>
              <w:rPr>
                <w:rFonts w:ascii="Arial" w:cs="Arial" w:eastAsia="Arial" w:hAnsi="Arial"/>
                <w:sz w:val="18"/>
                <w:szCs w:val="18"/>
                <w:b w:val="1"/>
                <w:bCs w:val="1"/>
                <w:color w:val="auto"/>
                <w:w w:val="89"/>
              </w:rPr>
              <w:t xml:space="preserve"> = 0.0022; p</w:t>
            </w:r>
            <w:r>
              <w:rPr>
                <w:rFonts w:ascii="Arial" w:cs="Arial" w:eastAsia="Arial" w:hAnsi="Arial"/>
                <w:sz w:val="20"/>
                <w:szCs w:val="20"/>
                <w:b w:val="1"/>
                <w:bCs w:val="1"/>
                <w:color w:val="auto"/>
                <w:w w:val="89"/>
                <w:vertAlign w:val="subscript"/>
              </w:rPr>
              <w:t>2-3</w:t>
            </w:r>
            <w:r>
              <w:rPr>
                <w:rFonts w:ascii="Arial" w:cs="Arial" w:eastAsia="Arial" w:hAnsi="Arial"/>
                <w:sz w:val="18"/>
                <w:szCs w:val="18"/>
                <w:b w:val="1"/>
                <w:bCs w:val="1"/>
                <w:color w:val="auto"/>
                <w:w w:val="89"/>
              </w:rPr>
              <w:t xml:space="preserve"> = 0.000; p</w:t>
            </w:r>
            <w:r>
              <w:rPr>
                <w:rFonts w:ascii="Arial" w:cs="Arial" w:eastAsia="Arial" w:hAnsi="Arial"/>
                <w:sz w:val="20"/>
                <w:szCs w:val="20"/>
                <w:b w:val="1"/>
                <w:bCs w:val="1"/>
                <w:color w:val="auto"/>
                <w:w w:val="89"/>
                <w:vertAlign w:val="subscript"/>
              </w:rPr>
              <w:t>с-1</w:t>
            </w:r>
            <w:r>
              <w:rPr>
                <w:rFonts w:ascii="Arial" w:cs="Arial" w:eastAsia="Arial" w:hAnsi="Arial"/>
                <w:sz w:val="18"/>
                <w:szCs w:val="18"/>
                <w:b w:val="1"/>
                <w:bCs w:val="1"/>
                <w:color w:val="auto"/>
                <w:w w:val="89"/>
              </w:rPr>
              <w:t xml:space="preserve"> = 0.0000; p</w:t>
            </w:r>
            <w:r>
              <w:rPr>
                <w:rFonts w:ascii="Arial" w:cs="Arial" w:eastAsia="Arial" w:hAnsi="Arial"/>
                <w:sz w:val="20"/>
                <w:szCs w:val="20"/>
                <w:b w:val="1"/>
                <w:bCs w:val="1"/>
                <w:color w:val="auto"/>
                <w:w w:val="89"/>
                <w:vertAlign w:val="subscript"/>
              </w:rPr>
              <w:t>с-2</w:t>
            </w:r>
            <w:r>
              <w:rPr>
                <w:rFonts w:ascii="Arial" w:cs="Arial" w:eastAsia="Arial" w:hAnsi="Arial"/>
                <w:sz w:val="18"/>
                <w:szCs w:val="18"/>
                <w:b w:val="1"/>
                <w:bCs w:val="1"/>
                <w:color w:val="auto"/>
                <w:w w:val="89"/>
              </w:rPr>
              <w:t xml:space="preserve"> = 0.0000; p</w:t>
            </w:r>
            <w:r>
              <w:rPr>
                <w:rFonts w:ascii="Arial" w:cs="Arial" w:eastAsia="Arial" w:hAnsi="Arial"/>
                <w:sz w:val="20"/>
                <w:szCs w:val="20"/>
                <w:b w:val="1"/>
                <w:bCs w:val="1"/>
                <w:color w:val="auto"/>
                <w:w w:val="89"/>
                <w:vertAlign w:val="subscript"/>
              </w:rPr>
              <w:t>с-3</w:t>
            </w:r>
            <w:r>
              <w:rPr>
                <w:rFonts w:ascii="Arial" w:cs="Arial" w:eastAsia="Arial" w:hAnsi="Arial"/>
                <w:sz w:val="18"/>
                <w:szCs w:val="18"/>
                <w:b w:val="1"/>
                <w:bCs w:val="1"/>
                <w:color w:val="auto"/>
                <w:w w:val="89"/>
              </w:rPr>
              <w:t xml:space="preserve"> = 1105.5</w:t>
            </w:r>
          </w:p>
        </w:tc>
        <w:tc>
          <w:tcPr>
            <w:tcW w:w="0" w:type="dxa"/>
            <w:vAlign w:val="bottom"/>
          </w:tcPr>
          <w:p>
            <w:pPr>
              <w:spacing w:after="0"/>
              <w:rPr>
                <w:sz w:val="1"/>
                <w:szCs w:val="1"/>
                <w:color w:val="auto"/>
              </w:rPr>
            </w:pPr>
          </w:p>
        </w:tc>
      </w:tr>
      <w:tr>
        <w:trPr>
          <w:trHeight w:val="244"/>
        </w:trPr>
        <w:tc>
          <w:tcPr>
            <w:tcW w:w="1180" w:type="dxa"/>
            <w:vAlign w:val="bottom"/>
          </w:tcPr>
          <w:p>
            <w:pPr>
              <w:jc w:val="center"/>
              <w:ind w:left="270"/>
              <w:spacing w:after="0"/>
              <w:rPr>
                <w:sz w:val="20"/>
                <w:szCs w:val="20"/>
                <w:color w:val="auto"/>
              </w:rPr>
            </w:pPr>
            <w:r>
              <w:rPr>
                <w:rFonts w:ascii="Arial" w:cs="Arial" w:eastAsia="Arial" w:hAnsi="Arial"/>
                <w:sz w:val="18"/>
                <w:szCs w:val="18"/>
                <w:color w:val="auto"/>
                <w:w w:val="77"/>
              </w:rPr>
              <w:t>ЕT-1,</w:t>
            </w:r>
          </w:p>
        </w:tc>
        <w:tc>
          <w:tcPr>
            <w:tcW w:w="2400" w:type="dxa"/>
            <w:vAlign w:val="bottom"/>
          </w:tcPr>
          <w:p>
            <w:pPr>
              <w:jc w:val="center"/>
              <w:ind w:left="270"/>
              <w:spacing w:after="0"/>
              <w:rPr>
                <w:sz w:val="20"/>
                <w:szCs w:val="20"/>
                <w:color w:val="auto"/>
              </w:rPr>
            </w:pPr>
            <w:r>
              <w:rPr>
                <w:rFonts w:ascii="Arial" w:cs="Arial" w:eastAsia="Arial" w:hAnsi="Arial"/>
                <w:sz w:val="18"/>
                <w:szCs w:val="18"/>
                <w:color w:val="auto"/>
                <w:w w:val="92"/>
              </w:rPr>
              <w:t>3.680*</w:t>
            </w:r>
          </w:p>
        </w:tc>
        <w:tc>
          <w:tcPr>
            <w:tcW w:w="2000" w:type="dxa"/>
            <w:vAlign w:val="bottom"/>
          </w:tcPr>
          <w:p>
            <w:pPr>
              <w:jc w:val="center"/>
              <w:spacing w:after="0"/>
              <w:rPr>
                <w:sz w:val="20"/>
                <w:szCs w:val="20"/>
                <w:color w:val="auto"/>
              </w:rPr>
            </w:pPr>
            <w:r>
              <w:rPr>
                <w:rFonts w:ascii="Arial" w:cs="Arial" w:eastAsia="Arial" w:hAnsi="Arial"/>
                <w:sz w:val="18"/>
                <w:szCs w:val="18"/>
                <w:color w:val="auto"/>
                <w:w w:val="92"/>
              </w:rPr>
              <w:t>3.980*</w:t>
            </w:r>
          </w:p>
        </w:tc>
        <w:tc>
          <w:tcPr>
            <w:tcW w:w="2080" w:type="dxa"/>
            <w:vAlign w:val="bottom"/>
          </w:tcPr>
          <w:p>
            <w:pPr>
              <w:jc w:val="center"/>
              <w:spacing w:after="0"/>
              <w:rPr>
                <w:sz w:val="20"/>
                <w:szCs w:val="20"/>
                <w:color w:val="auto"/>
              </w:rPr>
            </w:pPr>
            <w:r>
              <w:rPr>
                <w:rFonts w:ascii="Arial" w:cs="Arial" w:eastAsia="Arial" w:hAnsi="Arial"/>
                <w:sz w:val="18"/>
                <w:szCs w:val="18"/>
                <w:color w:val="auto"/>
                <w:w w:val="92"/>
              </w:rPr>
              <w:t>9.860*</w:t>
            </w:r>
          </w:p>
        </w:tc>
        <w:tc>
          <w:tcPr>
            <w:tcW w:w="1900" w:type="dxa"/>
            <w:vAlign w:val="bottom"/>
          </w:tcPr>
          <w:p>
            <w:pPr>
              <w:jc w:val="center"/>
              <w:ind w:left="10"/>
              <w:spacing w:after="0"/>
              <w:rPr>
                <w:sz w:val="20"/>
                <w:szCs w:val="20"/>
                <w:color w:val="auto"/>
              </w:rPr>
            </w:pPr>
            <w:r>
              <w:rPr>
                <w:rFonts w:ascii="Arial" w:cs="Arial" w:eastAsia="Arial" w:hAnsi="Arial"/>
                <w:sz w:val="18"/>
                <w:szCs w:val="18"/>
                <w:color w:val="auto"/>
                <w:w w:val="92"/>
              </w:rPr>
              <w:t>6.240*</w:t>
            </w:r>
          </w:p>
        </w:tc>
        <w:tc>
          <w:tcPr>
            <w:tcW w:w="0" w:type="dxa"/>
            <w:vAlign w:val="bottom"/>
          </w:tcPr>
          <w:p>
            <w:pPr>
              <w:spacing w:after="0"/>
              <w:rPr>
                <w:sz w:val="1"/>
                <w:szCs w:val="1"/>
                <w:color w:val="auto"/>
              </w:rPr>
            </w:pPr>
          </w:p>
        </w:tc>
      </w:tr>
      <w:tr>
        <w:trPr>
          <w:trHeight w:val="216"/>
        </w:trPr>
        <w:tc>
          <w:tcPr>
            <w:tcW w:w="1180" w:type="dxa"/>
            <w:vAlign w:val="bottom"/>
          </w:tcPr>
          <w:p>
            <w:pPr>
              <w:jc w:val="center"/>
              <w:ind w:left="270"/>
              <w:spacing w:after="0"/>
              <w:rPr>
                <w:sz w:val="20"/>
                <w:szCs w:val="20"/>
                <w:color w:val="auto"/>
              </w:rPr>
            </w:pPr>
            <w:r>
              <w:rPr>
                <w:rFonts w:ascii="Arial" w:cs="Arial" w:eastAsia="Arial" w:hAnsi="Arial"/>
                <w:sz w:val="18"/>
                <w:szCs w:val="18"/>
                <w:color w:val="auto"/>
              </w:rPr>
              <w:t>µmol/ml</w:t>
            </w:r>
          </w:p>
        </w:tc>
        <w:tc>
          <w:tcPr>
            <w:tcW w:w="2400" w:type="dxa"/>
            <w:vAlign w:val="bottom"/>
          </w:tcPr>
          <w:p>
            <w:pPr>
              <w:jc w:val="center"/>
              <w:ind w:left="270"/>
              <w:spacing w:after="0"/>
              <w:rPr>
                <w:sz w:val="20"/>
                <w:szCs w:val="20"/>
                <w:color w:val="auto"/>
              </w:rPr>
            </w:pPr>
            <w:r>
              <w:rPr>
                <w:rFonts w:ascii="Arial" w:cs="Arial" w:eastAsia="Arial" w:hAnsi="Arial"/>
                <w:sz w:val="18"/>
                <w:szCs w:val="18"/>
                <w:color w:val="auto"/>
                <w:w w:val="89"/>
              </w:rPr>
              <w:t>(3.450;3.995)</w:t>
            </w:r>
          </w:p>
        </w:tc>
        <w:tc>
          <w:tcPr>
            <w:tcW w:w="2000" w:type="dxa"/>
            <w:vAlign w:val="bottom"/>
          </w:tcPr>
          <w:p>
            <w:pPr>
              <w:jc w:val="center"/>
              <w:spacing w:after="0"/>
              <w:rPr>
                <w:sz w:val="20"/>
                <w:szCs w:val="20"/>
                <w:color w:val="auto"/>
              </w:rPr>
            </w:pPr>
            <w:r>
              <w:rPr>
                <w:rFonts w:ascii="Arial" w:cs="Arial" w:eastAsia="Arial" w:hAnsi="Arial"/>
                <w:sz w:val="18"/>
                <w:szCs w:val="18"/>
                <w:color w:val="auto"/>
                <w:w w:val="89"/>
              </w:rPr>
              <w:t>(3.670;4.120)</w:t>
            </w:r>
          </w:p>
        </w:tc>
        <w:tc>
          <w:tcPr>
            <w:tcW w:w="2080" w:type="dxa"/>
            <w:vAlign w:val="bottom"/>
          </w:tcPr>
          <w:p>
            <w:pPr>
              <w:jc w:val="center"/>
              <w:spacing w:after="0"/>
              <w:rPr>
                <w:sz w:val="20"/>
                <w:szCs w:val="20"/>
                <w:color w:val="auto"/>
              </w:rPr>
            </w:pPr>
            <w:r>
              <w:rPr>
                <w:rFonts w:ascii="Arial" w:cs="Arial" w:eastAsia="Arial" w:hAnsi="Arial"/>
                <w:sz w:val="18"/>
                <w:szCs w:val="18"/>
                <w:color w:val="auto"/>
                <w:w w:val="88"/>
              </w:rPr>
              <w:t>(8.950;12.030)</w:t>
            </w:r>
          </w:p>
        </w:tc>
        <w:tc>
          <w:tcPr>
            <w:tcW w:w="1900" w:type="dxa"/>
            <w:vAlign w:val="bottom"/>
          </w:tcPr>
          <w:p>
            <w:pPr>
              <w:jc w:val="center"/>
              <w:ind w:left="30"/>
              <w:spacing w:after="0"/>
              <w:rPr>
                <w:sz w:val="20"/>
                <w:szCs w:val="20"/>
                <w:color w:val="auto"/>
              </w:rPr>
            </w:pPr>
            <w:r>
              <w:rPr>
                <w:rFonts w:ascii="Arial" w:cs="Arial" w:eastAsia="Arial" w:hAnsi="Arial"/>
                <w:sz w:val="18"/>
                <w:szCs w:val="18"/>
                <w:color w:val="auto"/>
                <w:w w:val="87"/>
              </w:rPr>
              <w:t>(5.880;6.870)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07758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775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78.55pt,1.75pt" o:allowincell="f" strokecolor="#000000" strokeweight="0.5pt"/>
            </w:pict>
          </mc:Fallback>
        </mc:AlternateContent>
      </w:r>
    </w:p>
    <w:p>
      <w:pPr>
        <w:spacing w:after="0" w:line="31" w:lineRule="exact"/>
        <w:rPr>
          <w:sz w:val="20"/>
          <w:szCs w:val="20"/>
          <w:color w:val="auto"/>
        </w:rPr>
      </w:pPr>
    </w:p>
    <w:p>
      <w:pPr>
        <w:ind w:left="3" w:right="1840" w:firstLine="1316"/>
        <w:spacing w:after="0" w:line="300" w:lineRule="auto"/>
        <w:rPr>
          <w:sz w:val="20"/>
          <w:szCs w:val="20"/>
          <w:color w:val="auto"/>
        </w:rPr>
      </w:pPr>
      <w:r>
        <w:rPr>
          <w:rFonts w:ascii="Arial" w:cs="Arial" w:eastAsia="Arial" w:hAnsi="Arial"/>
          <w:sz w:val="18"/>
          <w:szCs w:val="18"/>
          <w:b w:val="1"/>
          <w:bCs w:val="1"/>
          <w:color w:val="auto"/>
        </w:rPr>
        <w:t>МWUTest: p</w:t>
      </w:r>
      <w:r>
        <w:rPr>
          <w:rFonts w:ascii="Arial" w:cs="Arial" w:eastAsia="Arial" w:hAnsi="Arial"/>
          <w:sz w:val="20"/>
          <w:szCs w:val="20"/>
          <w:b w:val="1"/>
          <w:bCs w:val="1"/>
          <w:color w:val="auto"/>
          <w:vertAlign w:val="subscript"/>
        </w:rPr>
        <w:t>1-2</w:t>
      </w:r>
      <w:r>
        <w:rPr>
          <w:rFonts w:ascii="Arial" w:cs="Arial" w:eastAsia="Arial" w:hAnsi="Arial"/>
          <w:sz w:val="18"/>
          <w:szCs w:val="18"/>
          <w:b w:val="1"/>
          <w:bCs w:val="1"/>
          <w:color w:val="auto"/>
        </w:rPr>
        <w:t xml:space="preserve"> = 0.0000; p</w:t>
      </w:r>
      <w:r>
        <w:rPr>
          <w:rFonts w:ascii="Arial" w:cs="Arial" w:eastAsia="Arial" w:hAnsi="Arial"/>
          <w:sz w:val="20"/>
          <w:szCs w:val="20"/>
          <w:b w:val="1"/>
          <w:bCs w:val="1"/>
          <w:color w:val="auto"/>
          <w:vertAlign w:val="subscript"/>
        </w:rPr>
        <w:t>1-3</w:t>
      </w:r>
      <w:r>
        <w:rPr>
          <w:rFonts w:ascii="Arial" w:cs="Arial" w:eastAsia="Arial" w:hAnsi="Arial"/>
          <w:sz w:val="18"/>
          <w:szCs w:val="18"/>
          <w:b w:val="1"/>
          <w:bCs w:val="1"/>
          <w:color w:val="auto"/>
        </w:rPr>
        <w:t xml:space="preserve"> = 0.0022; p</w:t>
      </w:r>
      <w:r>
        <w:rPr>
          <w:rFonts w:ascii="Arial" w:cs="Arial" w:eastAsia="Arial" w:hAnsi="Arial"/>
          <w:sz w:val="20"/>
          <w:szCs w:val="20"/>
          <w:b w:val="1"/>
          <w:bCs w:val="1"/>
          <w:color w:val="auto"/>
          <w:vertAlign w:val="subscript"/>
        </w:rPr>
        <w:t>2-3</w:t>
      </w:r>
      <w:r>
        <w:rPr>
          <w:rFonts w:ascii="Arial" w:cs="Arial" w:eastAsia="Arial" w:hAnsi="Arial"/>
          <w:sz w:val="18"/>
          <w:szCs w:val="18"/>
          <w:b w:val="1"/>
          <w:bCs w:val="1"/>
          <w:color w:val="auto"/>
        </w:rPr>
        <w:t xml:space="preserve"> = 0.000; p</w:t>
      </w:r>
      <w:r>
        <w:rPr>
          <w:rFonts w:ascii="Arial" w:cs="Arial" w:eastAsia="Arial" w:hAnsi="Arial"/>
          <w:sz w:val="20"/>
          <w:szCs w:val="20"/>
          <w:b w:val="1"/>
          <w:bCs w:val="1"/>
          <w:color w:val="auto"/>
          <w:vertAlign w:val="subscript"/>
        </w:rPr>
        <w:t>с-1</w:t>
      </w:r>
      <w:r>
        <w:rPr>
          <w:rFonts w:ascii="Arial" w:cs="Arial" w:eastAsia="Arial" w:hAnsi="Arial"/>
          <w:sz w:val="18"/>
          <w:szCs w:val="18"/>
          <w:b w:val="1"/>
          <w:bCs w:val="1"/>
          <w:color w:val="auto"/>
        </w:rPr>
        <w:t xml:space="preserve"> = 0.0000; p</w:t>
      </w:r>
      <w:r>
        <w:rPr>
          <w:rFonts w:ascii="Arial" w:cs="Arial" w:eastAsia="Arial" w:hAnsi="Arial"/>
          <w:sz w:val="20"/>
          <w:szCs w:val="20"/>
          <w:b w:val="1"/>
          <w:bCs w:val="1"/>
          <w:color w:val="auto"/>
          <w:vertAlign w:val="subscript"/>
        </w:rPr>
        <w:t>с-2</w:t>
      </w:r>
      <w:r>
        <w:rPr>
          <w:rFonts w:ascii="Arial" w:cs="Arial" w:eastAsia="Arial" w:hAnsi="Arial"/>
          <w:sz w:val="18"/>
          <w:szCs w:val="18"/>
          <w:b w:val="1"/>
          <w:bCs w:val="1"/>
          <w:color w:val="auto"/>
        </w:rPr>
        <w:t xml:space="preserve"> = 0.0000; p</w:t>
      </w:r>
      <w:r>
        <w:rPr>
          <w:rFonts w:ascii="Arial" w:cs="Arial" w:eastAsia="Arial" w:hAnsi="Arial"/>
          <w:sz w:val="20"/>
          <w:szCs w:val="20"/>
          <w:b w:val="1"/>
          <w:bCs w:val="1"/>
          <w:color w:val="auto"/>
          <w:vertAlign w:val="subscript"/>
        </w:rPr>
        <w:t>с-3</w:t>
      </w:r>
      <w:r>
        <w:rPr>
          <w:rFonts w:ascii="Arial" w:cs="Arial" w:eastAsia="Arial" w:hAnsi="Arial"/>
          <w:sz w:val="18"/>
          <w:szCs w:val="18"/>
          <w:b w:val="1"/>
          <w:bCs w:val="1"/>
          <w:color w:val="auto"/>
        </w:rPr>
        <w:t xml:space="preserve"> = 0.0000 </w:t>
      </w:r>
      <w:r>
        <w:rPr>
          <w:rFonts w:ascii="Arial" w:cs="Arial" w:eastAsia="Arial" w:hAnsi="Arial"/>
          <w:sz w:val="22"/>
          <w:szCs w:val="22"/>
          <w:color w:val="auto"/>
        </w:rPr>
        <w:t>1. Ме – median, Lq – lower quartile, Uq – upper quartile;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-171450</wp:posOffset>
                </wp:positionV>
                <wp:extent cx="607758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775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999pt" to="478.55pt,-13.4999pt" o:allowincell="f" strokecolor="#000000" strokeweight="0.5pt"/>
            </w:pict>
          </mc:Fallback>
        </mc:AlternateContent>
      </w:r>
    </w:p>
    <w:p>
      <w:pPr>
        <w:ind w:left="423" w:right="4220" w:hanging="423"/>
        <w:spacing w:after="0" w:line="455" w:lineRule="auto"/>
        <w:tabs>
          <w:tab w:leader="none" w:pos="171" w:val="left"/>
        </w:tabs>
        <w:numPr>
          <w:ilvl w:val="0"/>
          <w:numId w:val="1"/>
        </w:numPr>
        <w:rPr>
          <w:rFonts w:ascii="Arial" w:cs="Arial" w:eastAsia="Arial" w:hAnsi="Arial"/>
          <w:sz w:val="15"/>
          <w:szCs w:val="15"/>
          <w:color w:val="auto"/>
        </w:rPr>
      </w:pPr>
      <w:r>
        <w:rPr>
          <w:rFonts w:ascii="Arial" w:cs="Arial" w:eastAsia="Arial" w:hAnsi="Arial"/>
          <w:sz w:val="15"/>
          <w:szCs w:val="15"/>
          <w:color w:val="auto"/>
        </w:rPr>
        <w:t>* The level of statistical significance versus the control group with р&lt;0.001; МWUTest – nonparametric Mann-Whitney U criterion for a pair-wise comparison.</w:t>
      </w:r>
    </w:p>
    <w:p>
      <w:pPr>
        <w:spacing w:after="0" w:line="61" w:lineRule="exact"/>
        <w:rPr>
          <w:sz w:val="20"/>
          <w:szCs w:val="20"/>
          <w:color w:val="auto"/>
        </w:rPr>
      </w:pPr>
    </w:p>
    <w:p>
      <w:pPr>
        <w:ind w:left="3"/>
        <w:spacing w:after="0"/>
        <w:rPr>
          <w:sz w:val="20"/>
          <w:szCs w:val="20"/>
          <w:color w:val="auto"/>
        </w:rPr>
      </w:pPr>
      <w:r>
        <w:rPr>
          <w:rFonts w:ascii="Arial" w:cs="Arial" w:eastAsia="Arial" w:hAnsi="Arial"/>
          <w:sz w:val="22"/>
          <w:szCs w:val="22"/>
          <w:b w:val="1"/>
          <w:bCs w:val="1"/>
          <w:color w:val="auto"/>
        </w:rPr>
        <w:t xml:space="preserve">Table II. </w:t>
      </w:r>
      <w:r>
        <w:rPr>
          <w:rFonts w:ascii="Arial" w:cs="Arial" w:eastAsia="Arial" w:hAnsi="Arial"/>
          <w:sz w:val="22"/>
          <w:szCs w:val="22"/>
          <w:color w:val="auto"/>
        </w:rPr>
        <w:t>The index of a correlation analysis between the studied indices and ET-1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14605</wp:posOffset>
            </wp:positionV>
            <wp:extent cx="5887085" cy="400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5887085" cy="400050"/>
                    </a:xfrm>
                    <a:prstGeom prst="rect">
                      <a:avLst/>
                    </a:prstGeom>
                    <a:noFill/>
                  </pic:spPr>
                </pic:pic>
              </a:graphicData>
            </a:graphic>
          </wp:anchor>
        </w:drawing>
      </w:r>
    </w:p>
    <w:p>
      <w:pPr>
        <w:spacing w:after="0" w:line="60" w:lineRule="exact"/>
        <w:rPr>
          <w:sz w:val="20"/>
          <w:szCs w:val="20"/>
          <w:color w:val="auto"/>
        </w:rPr>
      </w:pPr>
    </w:p>
    <w:tbl>
      <w:tblPr>
        <w:tblLayout w:type="fixed"/>
        <w:tblInd w:w="3" w:type="dxa"/>
        <w:tblCellMar>
          <w:top w:w="0" w:type="dxa"/>
          <w:left w:w="0" w:type="dxa"/>
          <w:bottom w:w="0" w:type="dxa"/>
          <w:right w:w="0" w:type="dxa"/>
        </w:tblCellMar>
      </w:tblPr>
      <w:tr>
        <w:trPr>
          <w:trHeight w:val="222"/>
        </w:trPr>
        <w:tc>
          <w:tcPr>
            <w:tcW w:w="222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7"/>
              </w:rPr>
              <w:t>Index</w:t>
            </w:r>
          </w:p>
        </w:tc>
        <w:tc>
          <w:tcPr>
            <w:tcW w:w="900" w:type="dxa"/>
            <w:vAlign w:val="bottom"/>
          </w:tcPr>
          <w:p>
            <w:pPr>
              <w:spacing w:after="0"/>
              <w:rPr>
                <w:sz w:val="19"/>
                <w:szCs w:val="19"/>
                <w:color w:val="auto"/>
              </w:rPr>
            </w:pPr>
          </w:p>
        </w:tc>
        <w:tc>
          <w:tcPr>
            <w:tcW w:w="1320" w:type="dxa"/>
            <w:vAlign w:val="bottom"/>
          </w:tcPr>
          <w:p>
            <w:pPr>
              <w:ind w:left="160"/>
              <w:spacing w:after="0"/>
              <w:rPr>
                <w:sz w:val="20"/>
                <w:szCs w:val="20"/>
                <w:color w:val="auto"/>
              </w:rPr>
            </w:pPr>
            <w:r>
              <w:rPr>
                <w:rFonts w:ascii="Arial" w:cs="Arial" w:eastAsia="Arial" w:hAnsi="Arial"/>
                <w:sz w:val="18"/>
                <w:szCs w:val="18"/>
                <w:b w:val="1"/>
                <w:bCs w:val="1"/>
                <w:color w:val="auto"/>
              </w:rPr>
              <w:t>A</w:t>
            </w:r>
          </w:p>
        </w:tc>
        <w:tc>
          <w:tcPr>
            <w:tcW w:w="760" w:type="dxa"/>
            <w:vAlign w:val="bottom"/>
          </w:tcPr>
          <w:p>
            <w:pPr>
              <w:spacing w:after="0"/>
              <w:rPr>
                <w:sz w:val="19"/>
                <w:szCs w:val="19"/>
                <w:color w:val="auto"/>
              </w:rPr>
            </w:pPr>
          </w:p>
        </w:tc>
        <w:tc>
          <w:tcPr>
            <w:tcW w:w="1600" w:type="dxa"/>
            <w:vAlign w:val="bottom"/>
          </w:tcPr>
          <w:p>
            <w:pPr>
              <w:ind w:left="20"/>
              <w:spacing w:after="0"/>
              <w:rPr>
                <w:sz w:val="20"/>
                <w:szCs w:val="20"/>
                <w:color w:val="auto"/>
              </w:rPr>
            </w:pPr>
            <w:r>
              <w:rPr>
                <w:rFonts w:ascii="Arial" w:cs="Arial" w:eastAsia="Arial" w:hAnsi="Arial"/>
                <w:sz w:val="18"/>
                <w:szCs w:val="18"/>
                <w:b w:val="1"/>
                <w:bCs w:val="1"/>
                <w:color w:val="auto"/>
              </w:rPr>
              <w:t>А+DM2Т</w:t>
            </w:r>
          </w:p>
        </w:tc>
        <w:tc>
          <w:tcPr>
            <w:tcW w:w="920" w:type="dxa"/>
            <w:vAlign w:val="bottom"/>
          </w:tcPr>
          <w:p>
            <w:pPr>
              <w:spacing w:after="0"/>
              <w:rPr>
                <w:sz w:val="19"/>
                <w:szCs w:val="19"/>
                <w:color w:val="auto"/>
              </w:rPr>
            </w:pPr>
          </w:p>
        </w:tc>
        <w:tc>
          <w:tcPr>
            <w:tcW w:w="1500" w:type="dxa"/>
            <w:vAlign w:val="bottom"/>
          </w:tcPr>
          <w:p>
            <w:pPr>
              <w:ind w:left="60"/>
              <w:spacing w:after="0"/>
              <w:rPr>
                <w:sz w:val="20"/>
                <w:szCs w:val="20"/>
                <w:color w:val="auto"/>
              </w:rPr>
            </w:pPr>
            <w:r>
              <w:rPr>
                <w:rFonts w:ascii="Arial" w:cs="Arial" w:eastAsia="Arial" w:hAnsi="Arial"/>
                <w:sz w:val="18"/>
                <w:szCs w:val="18"/>
                <w:b w:val="1"/>
                <w:bCs w:val="1"/>
                <w:color w:val="auto"/>
              </w:rPr>
              <w:t>А+О</w:t>
            </w:r>
          </w:p>
        </w:tc>
        <w:tc>
          <w:tcPr>
            <w:tcW w:w="0" w:type="dxa"/>
            <w:vAlign w:val="bottom"/>
          </w:tcPr>
          <w:p>
            <w:pPr>
              <w:spacing w:after="0"/>
              <w:rPr>
                <w:sz w:val="1"/>
                <w:szCs w:val="1"/>
                <w:color w:val="auto"/>
              </w:rPr>
            </w:pPr>
          </w:p>
        </w:tc>
      </w:tr>
      <w:tr>
        <w:trPr>
          <w:trHeight w:val="31"/>
        </w:trPr>
        <w:tc>
          <w:tcPr>
            <w:tcW w:w="2220" w:type="dxa"/>
            <w:vAlign w:val="bottom"/>
            <w:vMerge w:val="continue"/>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2220" w:type="dxa"/>
            <w:vAlign w:val="bottom"/>
            <w:vMerge w:val="continue"/>
          </w:tcPr>
          <w:p>
            <w:pPr>
              <w:spacing w:after="0"/>
              <w:rPr>
                <w:sz w:val="8"/>
                <w:szCs w:val="8"/>
                <w:color w:val="auto"/>
              </w:rPr>
            </w:pPr>
          </w:p>
        </w:tc>
        <w:tc>
          <w:tcPr>
            <w:tcW w:w="900" w:type="dxa"/>
            <w:vAlign w:val="bottom"/>
            <w:vMerge w:val="restart"/>
          </w:tcPr>
          <w:p>
            <w:pPr>
              <w:ind w:left="500"/>
              <w:spacing w:after="0" w:line="275" w:lineRule="exact"/>
              <w:rPr>
                <w:sz w:val="20"/>
                <w:szCs w:val="20"/>
                <w:color w:val="auto"/>
              </w:rPr>
            </w:pPr>
            <w:r>
              <w:rPr>
                <w:rFonts w:ascii="Arial" w:cs="Arial" w:eastAsia="Arial" w:hAnsi="Arial"/>
                <w:sz w:val="31"/>
                <w:szCs w:val="31"/>
                <w:b w:val="1"/>
                <w:bCs w:val="1"/>
                <w:color w:val="auto"/>
                <w:vertAlign w:val="superscript"/>
              </w:rPr>
              <w:t>r</w:t>
            </w:r>
            <w:r>
              <w:rPr>
                <w:rFonts w:ascii="Arial" w:cs="Arial" w:eastAsia="Arial" w:hAnsi="Arial"/>
                <w:sz w:val="10"/>
                <w:szCs w:val="10"/>
                <w:b w:val="1"/>
                <w:bCs w:val="1"/>
                <w:color w:val="auto"/>
              </w:rPr>
              <w:t>1</w:t>
            </w:r>
          </w:p>
        </w:tc>
        <w:tc>
          <w:tcPr>
            <w:tcW w:w="1320" w:type="dxa"/>
            <w:vAlign w:val="bottom"/>
            <w:vMerge w:val="restart"/>
          </w:tcPr>
          <w:p>
            <w:pPr>
              <w:ind w:left="680"/>
              <w:spacing w:after="0" w:line="275" w:lineRule="exact"/>
              <w:rPr>
                <w:sz w:val="20"/>
                <w:szCs w:val="20"/>
                <w:color w:val="auto"/>
              </w:rPr>
            </w:pPr>
            <w:r>
              <w:rPr>
                <w:rFonts w:ascii="Arial" w:cs="Arial" w:eastAsia="Arial" w:hAnsi="Arial"/>
                <w:sz w:val="31"/>
                <w:szCs w:val="31"/>
                <w:b w:val="1"/>
                <w:bCs w:val="1"/>
                <w:color w:val="auto"/>
                <w:vertAlign w:val="superscript"/>
              </w:rPr>
              <w:t>p</w:t>
            </w:r>
            <w:r>
              <w:rPr>
                <w:rFonts w:ascii="Arial" w:cs="Arial" w:eastAsia="Arial" w:hAnsi="Arial"/>
                <w:sz w:val="10"/>
                <w:szCs w:val="10"/>
                <w:b w:val="1"/>
                <w:bCs w:val="1"/>
                <w:color w:val="auto"/>
              </w:rPr>
              <w:t>1</w:t>
            </w:r>
          </w:p>
        </w:tc>
        <w:tc>
          <w:tcPr>
            <w:tcW w:w="760" w:type="dxa"/>
            <w:vAlign w:val="bottom"/>
            <w:vMerge w:val="restart"/>
          </w:tcPr>
          <w:p>
            <w:pPr>
              <w:ind w:left="480"/>
              <w:spacing w:after="0" w:line="275" w:lineRule="exact"/>
              <w:rPr>
                <w:sz w:val="20"/>
                <w:szCs w:val="20"/>
                <w:color w:val="auto"/>
              </w:rPr>
            </w:pPr>
            <w:r>
              <w:rPr>
                <w:rFonts w:ascii="Arial" w:cs="Arial" w:eastAsia="Arial" w:hAnsi="Arial"/>
                <w:sz w:val="31"/>
                <w:szCs w:val="31"/>
                <w:b w:val="1"/>
                <w:bCs w:val="1"/>
                <w:color w:val="auto"/>
                <w:vertAlign w:val="superscript"/>
              </w:rPr>
              <w:t>r</w:t>
            </w:r>
            <w:r>
              <w:rPr>
                <w:rFonts w:ascii="Arial" w:cs="Arial" w:eastAsia="Arial" w:hAnsi="Arial"/>
                <w:sz w:val="10"/>
                <w:szCs w:val="10"/>
                <w:b w:val="1"/>
                <w:bCs w:val="1"/>
                <w:color w:val="auto"/>
              </w:rPr>
              <w:t>2</w:t>
            </w:r>
          </w:p>
        </w:tc>
        <w:tc>
          <w:tcPr>
            <w:tcW w:w="1600" w:type="dxa"/>
            <w:vAlign w:val="bottom"/>
            <w:vMerge w:val="restart"/>
          </w:tcPr>
          <w:p>
            <w:pPr>
              <w:ind w:left="840"/>
              <w:spacing w:after="0" w:line="275" w:lineRule="exact"/>
              <w:rPr>
                <w:sz w:val="20"/>
                <w:szCs w:val="20"/>
                <w:color w:val="auto"/>
              </w:rPr>
            </w:pPr>
            <w:r>
              <w:rPr>
                <w:rFonts w:ascii="Arial" w:cs="Arial" w:eastAsia="Arial" w:hAnsi="Arial"/>
                <w:sz w:val="31"/>
                <w:szCs w:val="31"/>
                <w:b w:val="1"/>
                <w:bCs w:val="1"/>
                <w:color w:val="auto"/>
                <w:vertAlign w:val="superscript"/>
              </w:rPr>
              <w:t>p</w:t>
            </w:r>
            <w:r>
              <w:rPr>
                <w:rFonts w:ascii="Arial" w:cs="Arial" w:eastAsia="Arial" w:hAnsi="Arial"/>
                <w:sz w:val="10"/>
                <w:szCs w:val="10"/>
                <w:b w:val="1"/>
                <w:bCs w:val="1"/>
                <w:color w:val="auto"/>
              </w:rPr>
              <w:t>2</w:t>
            </w:r>
          </w:p>
        </w:tc>
        <w:tc>
          <w:tcPr>
            <w:tcW w:w="920" w:type="dxa"/>
            <w:vAlign w:val="bottom"/>
            <w:vMerge w:val="restart"/>
          </w:tcPr>
          <w:p>
            <w:pPr>
              <w:ind w:left="560"/>
              <w:spacing w:after="0" w:line="275" w:lineRule="exact"/>
              <w:rPr>
                <w:sz w:val="20"/>
                <w:szCs w:val="20"/>
                <w:color w:val="auto"/>
              </w:rPr>
            </w:pPr>
            <w:r>
              <w:rPr>
                <w:rFonts w:ascii="Arial" w:cs="Arial" w:eastAsia="Arial" w:hAnsi="Arial"/>
                <w:sz w:val="31"/>
                <w:szCs w:val="31"/>
                <w:b w:val="1"/>
                <w:bCs w:val="1"/>
                <w:color w:val="auto"/>
                <w:vertAlign w:val="superscript"/>
              </w:rPr>
              <w:t>r</w:t>
            </w:r>
            <w:r>
              <w:rPr>
                <w:rFonts w:ascii="Arial" w:cs="Arial" w:eastAsia="Arial" w:hAnsi="Arial"/>
                <w:sz w:val="10"/>
                <w:szCs w:val="10"/>
                <w:b w:val="1"/>
                <w:bCs w:val="1"/>
                <w:color w:val="auto"/>
              </w:rPr>
              <w:t>3</w:t>
            </w:r>
          </w:p>
        </w:tc>
        <w:tc>
          <w:tcPr>
            <w:tcW w:w="1500" w:type="dxa"/>
            <w:vAlign w:val="bottom"/>
            <w:vMerge w:val="restart"/>
          </w:tcPr>
          <w:p>
            <w:pPr>
              <w:ind w:left="880"/>
              <w:spacing w:after="0" w:line="275" w:lineRule="exact"/>
              <w:rPr>
                <w:sz w:val="20"/>
                <w:szCs w:val="20"/>
                <w:color w:val="auto"/>
              </w:rPr>
            </w:pPr>
            <w:r>
              <w:rPr>
                <w:rFonts w:ascii="Arial" w:cs="Arial" w:eastAsia="Arial" w:hAnsi="Arial"/>
                <w:sz w:val="31"/>
                <w:szCs w:val="31"/>
                <w:b w:val="1"/>
                <w:bCs w:val="1"/>
                <w:color w:val="auto"/>
                <w:vertAlign w:val="superscript"/>
              </w:rPr>
              <w:t>p</w:t>
            </w:r>
            <w:r>
              <w:rPr>
                <w:rFonts w:ascii="Arial" w:cs="Arial" w:eastAsia="Arial" w:hAnsi="Arial"/>
                <w:sz w:val="10"/>
                <w:szCs w:val="10"/>
                <w:b w:val="1"/>
                <w:bCs w:val="1"/>
                <w:color w:val="auto"/>
              </w:rPr>
              <w:t>3</w:t>
            </w:r>
          </w:p>
        </w:tc>
        <w:tc>
          <w:tcPr>
            <w:tcW w:w="0" w:type="dxa"/>
            <w:vAlign w:val="bottom"/>
          </w:tcPr>
          <w:p>
            <w:pPr>
              <w:spacing w:after="0"/>
              <w:rPr>
                <w:sz w:val="1"/>
                <w:szCs w:val="1"/>
                <w:color w:val="auto"/>
              </w:rPr>
            </w:pPr>
          </w:p>
        </w:tc>
      </w:tr>
      <w:tr>
        <w:trPr>
          <w:trHeight w:val="178"/>
        </w:trPr>
        <w:tc>
          <w:tcPr>
            <w:tcW w:w="2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vMerge w:val="continue"/>
          </w:tcPr>
          <w:p>
            <w:pPr>
              <w:spacing w:after="0"/>
              <w:rPr>
                <w:sz w:val="15"/>
                <w:szCs w:val="15"/>
                <w:color w:val="auto"/>
              </w:rPr>
            </w:pPr>
          </w:p>
        </w:tc>
        <w:tc>
          <w:tcPr>
            <w:tcW w:w="1320" w:type="dxa"/>
            <w:vAlign w:val="bottom"/>
            <w:tcBorders>
              <w:bottom w:val="single" w:sz="8" w:color="auto"/>
            </w:tcBorders>
            <w:vMerge w:val="continue"/>
          </w:tcPr>
          <w:p>
            <w:pPr>
              <w:spacing w:after="0"/>
              <w:rPr>
                <w:sz w:val="15"/>
                <w:szCs w:val="15"/>
                <w:color w:val="auto"/>
              </w:rPr>
            </w:pPr>
          </w:p>
        </w:tc>
        <w:tc>
          <w:tcPr>
            <w:tcW w:w="760" w:type="dxa"/>
            <w:vAlign w:val="bottom"/>
            <w:tcBorders>
              <w:bottom w:val="single" w:sz="8" w:color="auto"/>
            </w:tcBorders>
            <w:vMerge w:val="continue"/>
          </w:tcPr>
          <w:p>
            <w:pPr>
              <w:spacing w:after="0"/>
              <w:rPr>
                <w:sz w:val="15"/>
                <w:szCs w:val="15"/>
                <w:color w:val="auto"/>
              </w:rPr>
            </w:pPr>
          </w:p>
        </w:tc>
        <w:tc>
          <w:tcPr>
            <w:tcW w:w="1600" w:type="dxa"/>
            <w:vAlign w:val="bottom"/>
            <w:tcBorders>
              <w:bottom w:val="single" w:sz="8" w:color="auto"/>
            </w:tcBorders>
            <w:vMerge w:val="continue"/>
          </w:tcPr>
          <w:p>
            <w:pPr>
              <w:spacing w:after="0"/>
              <w:rPr>
                <w:sz w:val="15"/>
                <w:szCs w:val="15"/>
                <w:color w:val="auto"/>
              </w:rPr>
            </w:pPr>
          </w:p>
        </w:tc>
        <w:tc>
          <w:tcPr>
            <w:tcW w:w="920" w:type="dxa"/>
            <w:vAlign w:val="bottom"/>
            <w:tcBorders>
              <w:bottom w:val="single" w:sz="8" w:color="auto"/>
            </w:tcBorders>
            <w:vMerge w:val="continue"/>
          </w:tcPr>
          <w:p>
            <w:pPr>
              <w:spacing w:after="0"/>
              <w:rPr>
                <w:sz w:val="15"/>
                <w:szCs w:val="15"/>
                <w:color w:val="auto"/>
              </w:rPr>
            </w:pPr>
          </w:p>
        </w:tc>
        <w:tc>
          <w:tcPr>
            <w:tcW w:w="150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6"/>
              </w:rPr>
              <w:t>WC</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91"/>
              </w:rPr>
              <w:t>0.55</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88"/>
              </w:rPr>
              <w:t>0.001</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3"/>
              </w:rPr>
              <w:t>0.776</w:t>
            </w:r>
          </w:p>
        </w:tc>
        <w:tc>
          <w:tcPr>
            <w:tcW w:w="1600" w:type="dxa"/>
            <w:vAlign w:val="bottom"/>
          </w:tcPr>
          <w:p>
            <w:pPr>
              <w:jc w:val="center"/>
              <w:ind w:left="174"/>
              <w:spacing w:after="0"/>
              <w:rPr>
                <w:sz w:val="20"/>
                <w:szCs w:val="20"/>
                <w:color w:val="auto"/>
              </w:rPr>
            </w:pPr>
            <w:r>
              <w:rPr>
                <w:rFonts w:ascii="Arial" w:cs="Arial" w:eastAsia="Arial" w:hAnsi="Arial"/>
                <w:sz w:val="18"/>
                <w:szCs w:val="18"/>
                <w:color w:val="auto"/>
                <w:w w:val="90"/>
              </w:rPr>
              <w:t>0.0001</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85"/>
              </w:rPr>
              <w:t>0.37</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93"/>
              </w:rPr>
              <w:t>0.007</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7"/>
              </w:rPr>
              <w:t>Years of disease</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88"/>
              </w:rPr>
              <w:t>0.232</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91"/>
              </w:rPr>
              <w:t>0.05</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3"/>
              </w:rPr>
              <w:t>0.772</w:t>
            </w:r>
          </w:p>
        </w:tc>
        <w:tc>
          <w:tcPr>
            <w:tcW w:w="1600" w:type="dxa"/>
            <w:vAlign w:val="bottom"/>
          </w:tcPr>
          <w:p>
            <w:pPr>
              <w:jc w:val="center"/>
              <w:ind w:left="174"/>
              <w:spacing w:after="0"/>
              <w:rPr>
                <w:sz w:val="20"/>
                <w:szCs w:val="20"/>
                <w:color w:val="auto"/>
              </w:rPr>
            </w:pPr>
            <w:r>
              <w:rPr>
                <w:rFonts w:ascii="Arial" w:cs="Arial" w:eastAsia="Arial" w:hAnsi="Arial"/>
                <w:sz w:val="18"/>
                <w:szCs w:val="18"/>
                <w:color w:val="auto"/>
                <w:w w:val="90"/>
              </w:rPr>
              <w:t>0.0001</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85"/>
              </w:rPr>
              <w:t>0.21</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85"/>
              </w:rPr>
              <w:t>0.05</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2"/>
              </w:rPr>
              <w:t>VС, %</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91"/>
              </w:rPr>
              <w:t>0.12</w:t>
            </w:r>
          </w:p>
        </w:tc>
        <w:tc>
          <w:tcPr>
            <w:tcW w:w="1320" w:type="dxa"/>
            <w:vAlign w:val="bottom"/>
          </w:tcPr>
          <w:p>
            <w:pPr>
              <w:jc w:val="center"/>
              <w:ind w:left="134"/>
              <w:spacing w:after="0"/>
              <w:rPr>
                <w:sz w:val="20"/>
                <w:szCs w:val="20"/>
                <w:color w:val="auto"/>
              </w:rPr>
            </w:pPr>
            <w:r>
              <w:rPr>
                <w:rFonts w:ascii="Arial" w:cs="Arial" w:eastAsia="Arial" w:hAnsi="Arial"/>
                <w:sz w:val="18"/>
                <w:szCs w:val="18"/>
                <w:color w:val="auto"/>
                <w:w w:val="87"/>
              </w:rPr>
              <w:t>0.1</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2"/>
              </w:rPr>
              <w:t>-0.27</w:t>
            </w:r>
          </w:p>
        </w:tc>
        <w:tc>
          <w:tcPr>
            <w:tcW w:w="1600" w:type="dxa"/>
            <w:vAlign w:val="bottom"/>
          </w:tcPr>
          <w:p>
            <w:pPr>
              <w:jc w:val="center"/>
              <w:ind w:left="154"/>
              <w:spacing w:after="0"/>
              <w:rPr>
                <w:sz w:val="20"/>
                <w:szCs w:val="20"/>
                <w:color w:val="auto"/>
              </w:rPr>
            </w:pPr>
            <w:r>
              <w:rPr>
                <w:rFonts w:ascii="Arial" w:cs="Arial" w:eastAsia="Arial" w:hAnsi="Arial"/>
                <w:sz w:val="18"/>
                <w:szCs w:val="18"/>
                <w:color w:val="auto"/>
                <w:w w:val="88"/>
              </w:rPr>
              <w:t>0.005</w:t>
            </w:r>
          </w:p>
        </w:tc>
        <w:tc>
          <w:tcPr>
            <w:tcW w:w="920" w:type="dxa"/>
            <w:vAlign w:val="bottom"/>
          </w:tcPr>
          <w:p>
            <w:pPr>
              <w:jc w:val="center"/>
              <w:ind w:left="255"/>
              <w:spacing w:after="0"/>
              <w:rPr>
                <w:sz w:val="20"/>
                <w:szCs w:val="20"/>
                <w:color w:val="auto"/>
              </w:rPr>
            </w:pPr>
            <w:r>
              <w:rPr>
                <w:rFonts w:ascii="Arial" w:cs="Arial" w:eastAsia="Arial" w:hAnsi="Arial"/>
                <w:sz w:val="18"/>
                <w:szCs w:val="18"/>
                <w:b w:val="1"/>
                <w:bCs w:val="1"/>
                <w:color w:val="auto"/>
                <w:w w:val="91"/>
              </w:rPr>
              <w:t xml:space="preserve">- </w:t>
            </w:r>
            <w:r>
              <w:rPr>
                <w:rFonts w:ascii="Arial" w:cs="Arial" w:eastAsia="Arial" w:hAnsi="Arial"/>
                <w:sz w:val="18"/>
                <w:szCs w:val="18"/>
                <w:color w:val="auto"/>
                <w:w w:val="91"/>
              </w:rPr>
              <w:t>0.34</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93"/>
              </w:rPr>
              <w:t>0.031</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2"/>
              </w:rPr>
              <w:t>FEF, 25 %</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87"/>
              </w:rPr>
              <w:t>-0.31</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88"/>
              </w:rPr>
              <w:t>0.012</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1"/>
              </w:rPr>
              <w:t>- 0.76</w:t>
            </w:r>
          </w:p>
        </w:tc>
        <w:tc>
          <w:tcPr>
            <w:tcW w:w="1600" w:type="dxa"/>
            <w:vAlign w:val="bottom"/>
          </w:tcPr>
          <w:p>
            <w:pPr>
              <w:jc w:val="center"/>
              <w:ind w:left="154"/>
              <w:spacing w:after="0"/>
              <w:rPr>
                <w:sz w:val="20"/>
                <w:szCs w:val="20"/>
                <w:color w:val="auto"/>
              </w:rPr>
            </w:pPr>
            <w:r>
              <w:rPr>
                <w:rFonts w:ascii="Arial" w:cs="Arial" w:eastAsia="Arial" w:hAnsi="Arial"/>
                <w:sz w:val="18"/>
                <w:szCs w:val="18"/>
                <w:color w:val="auto"/>
                <w:w w:val="88"/>
              </w:rPr>
              <w:t>0.001</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91"/>
              </w:rPr>
              <w:t>- 0.29</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85"/>
              </w:rPr>
              <w:t>0.06</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2"/>
              </w:rPr>
              <w:t>FEF, 50 %</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87"/>
              </w:rPr>
              <w:t>-0.25</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91"/>
              </w:rPr>
              <w:t>0.03</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1"/>
              </w:rPr>
              <w:t>- 0.75</w:t>
            </w:r>
          </w:p>
        </w:tc>
        <w:tc>
          <w:tcPr>
            <w:tcW w:w="1600" w:type="dxa"/>
            <w:vAlign w:val="bottom"/>
          </w:tcPr>
          <w:p>
            <w:pPr>
              <w:jc w:val="center"/>
              <w:ind w:left="154"/>
              <w:spacing w:after="0"/>
              <w:rPr>
                <w:sz w:val="20"/>
                <w:szCs w:val="20"/>
                <w:color w:val="auto"/>
              </w:rPr>
            </w:pPr>
            <w:r>
              <w:rPr>
                <w:rFonts w:ascii="Arial" w:cs="Arial" w:eastAsia="Arial" w:hAnsi="Arial"/>
                <w:sz w:val="18"/>
                <w:szCs w:val="18"/>
                <w:color w:val="auto"/>
                <w:w w:val="88"/>
              </w:rPr>
              <w:t>0.001</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91"/>
              </w:rPr>
              <w:t>- 0.33</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93"/>
              </w:rPr>
              <w:t>0.001</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2"/>
              </w:rPr>
              <w:t>FEF, 75 %</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87"/>
              </w:rPr>
              <w:t>-0.34</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88"/>
              </w:rPr>
              <w:t>0.001</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1"/>
              </w:rPr>
              <w:t>- 0.59</w:t>
            </w:r>
          </w:p>
        </w:tc>
        <w:tc>
          <w:tcPr>
            <w:tcW w:w="1600" w:type="dxa"/>
            <w:vAlign w:val="bottom"/>
          </w:tcPr>
          <w:p>
            <w:pPr>
              <w:jc w:val="center"/>
              <w:ind w:left="154"/>
              <w:spacing w:after="0"/>
              <w:rPr>
                <w:sz w:val="20"/>
                <w:szCs w:val="20"/>
                <w:color w:val="auto"/>
              </w:rPr>
            </w:pPr>
            <w:r>
              <w:rPr>
                <w:rFonts w:ascii="Arial" w:cs="Arial" w:eastAsia="Arial" w:hAnsi="Arial"/>
                <w:sz w:val="18"/>
                <w:szCs w:val="18"/>
                <w:color w:val="auto"/>
                <w:w w:val="88"/>
              </w:rPr>
              <w:t>0.001</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91"/>
              </w:rPr>
              <w:t>- 0.62</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93"/>
              </w:rPr>
              <w:t>0.009</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81"/>
              </w:rPr>
              <w:t>VWF, %</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91"/>
              </w:rPr>
              <w:t>0.13</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91"/>
              </w:rPr>
              <w:t>0.36</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85"/>
              </w:rPr>
              <w:t>0.78</w:t>
            </w:r>
          </w:p>
        </w:tc>
        <w:tc>
          <w:tcPr>
            <w:tcW w:w="1600" w:type="dxa"/>
            <w:vAlign w:val="bottom"/>
          </w:tcPr>
          <w:p>
            <w:pPr>
              <w:jc w:val="center"/>
              <w:ind w:left="154"/>
              <w:spacing w:after="0"/>
              <w:rPr>
                <w:sz w:val="20"/>
                <w:szCs w:val="20"/>
                <w:color w:val="auto"/>
              </w:rPr>
            </w:pPr>
            <w:r>
              <w:rPr>
                <w:rFonts w:ascii="Arial" w:cs="Arial" w:eastAsia="Arial" w:hAnsi="Arial"/>
                <w:sz w:val="18"/>
                <w:szCs w:val="18"/>
                <w:color w:val="auto"/>
                <w:w w:val="88"/>
              </w:rPr>
              <w:t>0.001</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84"/>
              </w:rPr>
              <w:t>0. 32</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93"/>
              </w:rPr>
              <w:t>0.006</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220" w:type="dxa"/>
            <w:vAlign w:val="bottom"/>
          </w:tcPr>
          <w:p>
            <w:pPr>
              <w:jc w:val="center"/>
              <w:spacing w:after="0"/>
              <w:rPr>
                <w:sz w:val="20"/>
                <w:szCs w:val="20"/>
                <w:color w:val="auto"/>
              </w:rPr>
            </w:pPr>
            <w:r>
              <w:rPr>
                <w:rFonts w:ascii="Arial" w:cs="Arial" w:eastAsia="Arial" w:hAnsi="Arial"/>
                <w:sz w:val="18"/>
                <w:szCs w:val="18"/>
                <w:color w:val="auto"/>
                <w:w w:val="91"/>
              </w:rPr>
              <w:t>S-NO, fmol/l</w:t>
            </w:r>
          </w:p>
        </w:tc>
        <w:tc>
          <w:tcPr>
            <w:tcW w:w="900" w:type="dxa"/>
            <w:vAlign w:val="bottom"/>
          </w:tcPr>
          <w:p>
            <w:pPr>
              <w:jc w:val="center"/>
              <w:ind w:left="135"/>
              <w:spacing w:after="0"/>
              <w:rPr>
                <w:sz w:val="20"/>
                <w:szCs w:val="20"/>
                <w:color w:val="auto"/>
              </w:rPr>
            </w:pPr>
            <w:r>
              <w:rPr>
                <w:rFonts w:ascii="Arial" w:cs="Arial" w:eastAsia="Arial" w:hAnsi="Arial"/>
                <w:sz w:val="18"/>
                <w:szCs w:val="18"/>
                <w:color w:val="auto"/>
                <w:w w:val="87"/>
              </w:rPr>
              <w:t>-0.25</w:t>
            </w:r>
          </w:p>
        </w:tc>
        <w:tc>
          <w:tcPr>
            <w:tcW w:w="1320" w:type="dxa"/>
            <w:vAlign w:val="bottom"/>
          </w:tcPr>
          <w:p>
            <w:pPr>
              <w:jc w:val="center"/>
              <w:ind w:left="114"/>
              <w:spacing w:after="0"/>
              <w:rPr>
                <w:sz w:val="20"/>
                <w:szCs w:val="20"/>
                <w:color w:val="auto"/>
              </w:rPr>
            </w:pPr>
            <w:r>
              <w:rPr>
                <w:rFonts w:ascii="Arial" w:cs="Arial" w:eastAsia="Arial" w:hAnsi="Arial"/>
                <w:sz w:val="18"/>
                <w:szCs w:val="18"/>
                <w:color w:val="auto"/>
                <w:w w:val="88"/>
              </w:rPr>
              <w:t>0.043</w:t>
            </w:r>
          </w:p>
        </w:tc>
        <w:tc>
          <w:tcPr>
            <w:tcW w:w="760" w:type="dxa"/>
            <w:vAlign w:val="bottom"/>
          </w:tcPr>
          <w:p>
            <w:pPr>
              <w:jc w:val="center"/>
              <w:ind w:left="255"/>
              <w:spacing w:after="0"/>
              <w:rPr>
                <w:sz w:val="20"/>
                <w:szCs w:val="20"/>
                <w:color w:val="auto"/>
              </w:rPr>
            </w:pPr>
            <w:r>
              <w:rPr>
                <w:rFonts w:ascii="Arial" w:cs="Arial" w:eastAsia="Arial" w:hAnsi="Arial"/>
                <w:sz w:val="18"/>
                <w:szCs w:val="18"/>
                <w:color w:val="auto"/>
                <w:w w:val="92"/>
              </w:rPr>
              <w:t>-0.63</w:t>
            </w:r>
          </w:p>
        </w:tc>
        <w:tc>
          <w:tcPr>
            <w:tcW w:w="1600" w:type="dxa"/>
            <w:vAlign w:val="bottom"/>
          </w:tcPr>
          <w:p>
            <w:pPr>
              <w:jc w:val="center"/>
              <w:ind w:left="154"/>
              <w:spacing w:after="0"/>
              <w:rPr>
                <w:sz w:val="20"/>
                <w:szCs w:val="20"/>
                <w:color w:val="auto"/>
              </w:rPr>
            </w:pPr>
            <w:r>
              <w:rPr>
                <w:rFonts w:ascii="Arial" w:cs="Arial" w:eastAsia="Arial" w:hAnsi="Arial"/>
                <w:sz w:val="18"/>
                <w:szCs w:val="18"/>
                <w:color w:val="auto"/>
                <w:w w:val="88"/>
              </w:rPr>
              <w:t>0.002</w:t>
            </w:r>
          </w:p>
        </w:tc>
        <w:tc>
          <w:tcPr>
            <w:tcW w:w="920" w:type="dxa"/>
            <w:vAlign w:val="bottom"/>
          </w:tcPr>
          <w:p>
            <w:pPr>
              <w:jc w:val="center"/>
              <w:ind w:left="255"/>
              <w:spacing w:after="0"/>
              <w:rPr>
                <w:sz w:val="20"/>
                <w:szCs w:val="20"/>
                <w:color w:val="auto"/>
              </w:rPr>
            </w:pPr>
            <w:r>
              <w:rPr>
                <w:rFonts w:ascii="Arial" w:cs="Arial" w:eastAsia="Arial" w:hAnsi="Arial"/>
                <w:sz w:val="18"/>
                <w:szCs w:val="18"/>
                <w:color w:val="auto"/>
                <w:w w:val="91"/>
              </w:rPr>
              <w:t>- 0.45</w:t>
            </w:r>
          </w:p>
        </w:tc>
        <w:tc>
          <w:tcPr>
            <w:tcW w:w="1500" w:type="dxa"/>
            <w:vAlign w:val="bottom"/>
          </w:tcPr>
          <w:p>
            <w:pPr>
              <w:jc w:val="center"/>
              <w:ind w:left="354"/>
              <w:spacing w:after="0"/>
              <w:rPr>
                <w:sz w:val="20"/>
                <w:szCs w:val="20"/>
                <w:color w:val="auto"/>
              </w:rPr>
            </w:pPr>
            <w:r>
              <w:rPr>
                <w:rFonts w:ascii="Arial" w:cs="Arial" w:eastAsia="Arial" w:hAnsi="Arial"/>
                <w:sz w:val="18"/>
                <w:szCs w:val="18"/>
                <w:color w:val="auto"/>
                <w:w w:val="93"/>
              </w:rPr>
              <w:t>0.001</w:t>
            </w:r>
          </w:p>
        </w:tc>
        <w:tc>
          <w:tcPr>
            <w:tcW w:w="0" w:type="dxa"/>
            <w:vAlign w:val="bottom"/>
          </w:tcPr>
          <w:p>
            <w:pPr>
              <w:spacing w:after="0"/>
              <w:rPr>
                <w:sz w:val="1"/>
                <w:szCs w:val="1"/>
                <w:color w:val="auto"/>
              </w:rPr>
            </w:pPr>
          </w:p>
        </w:tc>
      </w:tr>
      <w:tr>
        <w:trPr>
          <w:trHeight w:val="31"/>
        </w:trPr>
        <w:tc>
          <w:tcPr>
            <w:tcW w:w="2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01" w:lineRule="exact"/>
        <w:rPr>
          <w:sz w:val="20"/>
          <w:szCs w:val="20"/>
          <w:color w:val="auto"/>
        </w:rPr>
      </w:pPr>
    </w:p>
    <w:p>
      <w:pPr>
        <w:ind w:left="3"/>
        <w:spacing w:after="0"/>
        <w:rPr>
          <w:sz w:val="20"/>
          <w:szCs w:val="20"/>
          <w:color w:val="auto"/>
        </w:rPr>
      </w:pPr>
      <w:r>
        <w:rPr>
          <w:rFonts w:ascii="Arial" w:cs="Arial" w:eastAsia="Arial" w:hAnsi="Arial"/>
          <w:sz w:val="22"/>
          <w:szCs w:val="22"/>
          <w:color w:val="auto"/>
        </w:rPr>
        <w:t>r1 – the relation of the indices in the group of А;</w:t>
      </w:r>
    </w:p>
    <w:p>
      <w:pPr>
        <w:ind w:left="3"/>
        <w:spacing w:after="0" w:line="227" w:lineRule="auto"/>
        <w:rPr>
          <w:sz w:val="20"/>
          <w:szCs w:val="20"/>
          <w:color w:val="auto"/>
        </w:rPr>
      </w:pPr>
      <w:r>
        <w:rPr>
          <w:rFonts w:ascii="Arial" w:cs="Arial" w:eastAsia="Arial" w:hAnsi="Arial"/>
          <w:sz w:val="22"/>
          <w:szCs w:val="22"/>
          <w:color w:val="auto"/>
        </w:rPr>
        <w:t>r2 – the relation of the indices in the group of А+DM2Т;</w:t>
      </w:r>
    </w:p>
    <w:p>
      <w:pPr>
        <w:ind w:left="3"/>
        <w:spacing w:after="0" w:line="228" w:lineRule="auto"/>
        <w:rPr>
          <w:sz w:val="20"/>
          <w:szCs w:val="20"/>
          <w:color w:val="auto"/>
        </w:rPr>
      </w:pPr>
      <w:r>
        <w:rPr>
          <w:rFonts w:ascii="Arial" w:cs="Arial" w:eastAsia="Arial" w:hAnsi="Arial"/>
          <w:sz w:val="22"/>
          <w:szCs w:val="22"/>
          <w:color w:val="auto"/>
        </w:rPr>
        <w:t>r3 – the relation of the indices in the group of А+О;</w:t>
      </w:r>
    </w:p>
    <w:p>
      <w:pPr>
        <w:ind w:left="3"/>
        <w:spacing w:after="0" w:line="228" w:lineRule="auto"/>
        <w:rPr>
          <w:sz w:val="20"/>
          <w:szCs w:val="20"/>
          <w:color w:val="auto"/>
        </w:rPr>
      </w:pPr>
      <w:r>
        <w:rPr>
          <w:rFonts w:ascii="Arial" w:cs="Arial" w:eastAsia="Arial" w:hAnsi="Arial"/>
          <w:sz w:val="22"/>
          <w:szCs w:val="22"/>
          <w:color w:val="auto"/>
        </w:rPr>
        <w:t>p1 – the probability of a correlation in the group of А;</w:t>
      </w:r>
    </w:p>
    <w:p>
      <w:pPr>
        <w:ind w:left="3"/>
        <w:spacing w:after="0" w:line="227" w:lineRule="auto"/>
        <w:rPr>
          <w:sz w:val="20"/>
          <w:szCs w:val="20"/>
          <w:color w:val="auto"/>
        </w:rPr>
      </w:pPr>
      <w:r>
        <w:rPr>
          <w:rFonts w:ascii="Arial" w:cs="Arial" w:eastAsia="Arial" w:hAnsi="Arial"/>
          <w:sz w:val="22"/>
          <w:szCs w:val="22"/>
          <w:color w:val="auto"/>
        </w:rPr>
        <w:t>p2 – the probability of a correlation in the group of А+DM2Т;</w:t>
      </w:r>
    </w:p>
    <w:p>
      <w:pPr>
        <w:spacing w:after="0" w:line="1" w:lineRule="exact"/>
        <w:rPr>
          <w:sz w:val="20"/>
          <w:szCs w:val="20"/>
          <w:color w:val="auto"/>
        </w:rPr>
      </w:pPr>
    </w:p>
    <w:p>
      <w:pPr>
        <w:ind w:left="3"/>
        <w:spacing w:after="0"/>
        <w:rPr>
          <w:sz w:val="20"/>
          <w:szCs w:val="20"/>
          <w:color w:val="auto"/>
        </w:rPr>
      </w:pPr>
      <w:r>
        <w:rPr>
          <w:rFonts w:ascii="Arial" w:cs="Arial" w:eastAsia="Arial" w:hAnsi="Arial"/>
          <w:sz w:val="22"/>
          <w:szCs w:val="22"/>
          <w:color w:val="auto"/>
        </w:rPr>
        <w:t>p3 – the probability of a correlation in the group of А+О.</w:t>
      </w:r>
    </w:p>
    <w:p>
      <w:pPr>
        <w:sectPr>
          <w:pgSz w:w="11620" w:h="16157" w:orient="portrait"/>
          <w:cols w:equalWidth="0" w:num="1">
            <w:col w:w="10103"/>
          </w:cols>
          <w:pgMar w:left="737" w:top="668" w:right="782" w:bottom="0" w:gutter="0" w:footer="0" w:header="0"/>
        </w:sectPr>
      </w:pPr>
    </w:p>
    <w:p>
      <w:pPr>
        <w:spacing w:after="0" w:line="200" w:lineRule="exact"/>
        <w:rPr>
          <w:sz w:val="20"/>
          <w:szCs w:val="20"/>
          <w:color w:val="auto"/>
        </w:rPr>
      </w:pPr>
    </w:p>
    <w:p>
      <w:pPr>
        <w:spacing w:after="0" w:line="259" w:lineRule="exact"/>
        <w:rPr>
          <w:sz w:val="20"/>
          <w:szCs w:val="20"/>
          <w:color w:val="auto"/>
        </w:rPr>
      </w:pPr>
    </w:p>
    <w:p>
      <w:pPr>
        <w:jc w:val="both"/>
        <w:ind w:left="3"/>
        <w:spacing w:after="0" w:line="268" w:lineRule="auto"/>
        <w:rPr>
          <w:sz w:val="20"/>
          <w:szCs w:val="20"/>
          <w:color w:val="auto"/>
        </w:rPr>
      </w:pPr>
      <w:r>
        <w:rPr>
          <w:rFonts w:ascii="Times New Roman" w:cs="Times New Roman" w:eastAsia="Times New Roman" w:hAnsi="Times New Roman"/>
          <w:sz w:val="19"/>
          <w:szCs w:val="19"/>
          <w:color w:val="auto"/>
        </w:rPr>
        <w:t>examination, a physical examination, revealing of their anthropometric values: weighing, calculation of their body mass index (BMI), measuring of their waist circumference (WC) and hip circumference. Their respiratory function (RF) was assessed. The study of the endothelial function included revealing of nitrosothiols (S-NO), von Willebrand factor (VWF) and endothelin-1 (EТ-1). Determination of the level of ET-1 in plasma samples was made with help of an immunoenzymatic kit for quantification of endothelin (1-21) in biological fluids (Biomedica, Germany). Blood for ET-1 study was taken at morning hours from the ulnar vein into 5 ml cooled siliconized test tubes, which contained complexon K3. Fresh samples were immediately placed on ice. Plasma was separated by centrifugation at the rate of 3,000 rotations per minute during 5 minutes and put into silicon test tubes. The samples were frozen and delivered in a special refrigerator to the Central Research Laboratory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9" w:lineRule="exact"/>
        <w:rPr>
          <w:sz w:val="20"/>
          <w:szCs w:val="20"/>
          <w:color w:val="auto"/>
        </w:rPr>
      </w:pPr>
    </w:p>
    <w:p>
      <w:pPr>
        <w:jc w:val="both"/>
        <w:spacing w:after="0" w:line="263" w:lineRule="auto"/>
        <w:rPr>
          <w:sz w:val="20"/>
          <w:szCs w:val="20"/>
          <w:color w:val="auto"/>
        </w:rPr>
      </w:pPr>
      <w:r>
        <w:rPr>
          <w:rFonts w:ascii="Times New Roman" w:cs="Times New Roman" w:eastAsia="Times New Roman" w:hAnsi="Times New Roman"/>
          <w:sz w:val="19"/>
          <w:szCs w:val="19"/>
          <w:color w:val="auto"/>
        </w:rPr>
        <w:t>of Kharkiv National Medical University, where they were stored at the temperature of -70</w:t>
      </w:r>
      <w:r>
        <w:rPr>
          <w:rFonts w:ascii="Times New Roman" w:cs="Times New Roman" w:eastAsia="Times New Roman" w:hAnsi="Times New Roman"/>
          <w:sz w:val="11"/>
          <w:szCs w:val="11"/>
          <w:color w:val="auto"/>
        </w:rPr>
        <w:t>о</w:t>
      </w:r>
      <w:r>
        <w:rPr>
          <w:rFonts w:ascii="Times New Roman" w:cs="Times New Roman" w:eastAsia="Times New Roman" w:hAnsi="Times New Roman"/>
          <w:sz w:val="19"/>
          <w:szCs w:val="19"/>
          <w:color w:val="auto"/>
        </w:rPr>
        <w:t>С until being analysed. The concentration of stable metabolites of nitric oxide in blood serum (S-NO) was determined by the spectrophotometric method modified by Kovalova О.M. (2007) [16].</w:t>
      </w:r>
    </w:p>
    <w:p>
      <w:pPr>
        <w:spacing w:after="0" w:line="3" w:lineRule="exact"/>
        <w:rPr>
          <w:sz w:val="20"/>
          <w:szCs w:val="20"/>
          <w:color w:val="auto"/>
        </w:rPr>
      </w:pPr>
    </w:p>
    <w:p>
      <w:pPr>
        <w:jc w:val="both"/>
        <w:ind w:right="20" w:firstLine="170"/>
        <w:spacing w:after="0" w:line="227" w:lineRule="auto"/>
        <w:rPr>
          <w:sz w:val="20"/>
          <w:szCs w:val="20"/>
          <w:color w:val="auto"/>
        </w:rPr>
      </w:pPr>
      <w:r>
        <w:rPr>
          <w:rFonts w:ascii="Times New Roman" w:cs="Times New Roman" w:eastAsia="Times New Roman" w:hAnsi="Times New Roman"/>
          <w:sz w:val="22"/>
          <w:szCs w:val="22"/>
          <w:color w:val="auto"/>
        </w:rPr>
        <w:t>VWF was detected by the photoelectrocolorimetric method. The activity of VWF in the studied plasma was assessed by agglutination of the standardized preparation of thrombocytes [16].</w:t>
      </w:r>
    </w:p>
    <w:p>
      <w:pPr>
        <w:spacing w:after="0" w:line="3" w:lineRule="exact"/>
        <w:rPr>
          <w:sz w:val="20"/>
          <w:szCs w:val="20"/>
          <w:color w:val="auto"/>
        </w:rPr>
      </w:pPr>
    </w:p>
    <w:p>
      <w:pPr>
        <w:jc w:val="both"/>
        <w:ind w:right="20" w:firstLine="170"/>
        <w:spacing w:after="0" w:line="274" w:lineRule="auto"/>
        <w:rPr>
          <w:sz w:val="20"/>
          <w:szCs w:val="20"/>
          <w:color w:val="auto"/>
        </w:rPr>
      </w:pPr>
      <w:r>
        <w:rPr>
          <w:rFonts w:ascii="Times New Roman" w:cs="Times New Roman" w:eastAsia="Times New Roman" w:hAnsi="Times New Roman"/>
          <w:sz w:val="19"/>
          <w:szCs w:val="19"/>
          <w:color w:val="auto"/>
        </w:rPr>
        <w:t>The study findings were statistically processed with use of SPSS 19 program for Windows (IBM, USA). Quantitative variables were described by the following parameters: the median (Me) and the 25th and 75 percentiles (M [Q1; Q2]). In order to reveal differences between independent samples, the Mann-Whitney U test was used. The normality of data distribution was analysed with help of the Shapiro-Wilk test. Relations between the indices were</w:t>
      </w:r>
    </w:p>
    <w:p>
      <w:pPr>
        <w:spacing w:after="0" w:line="200" w:lineRule="exact"/>
        <w:rPr>
          <w:sz w:val="20"/>
          <w:szCs w:val="20"/>
          <w:color w:val="auto"/>
        </w:rPr>
      </w:pPr>
    </w:p>
    <w:p>
      <w:pPr>
        <w:sectPr>
          <w:pgSz w:w="11620" w:h="16157" w:orient="portrait"/>
          <w:cols w:equalWidth="0" w:num="2">
            <w:col w:w="4903" w:space="280"/>
            <w:col w:w="4920"/>
          </w:cols>
          <w:pgMar w:left="737" w:top="668" w:right="782" w:bottom="0" w:gutter="0" w:footer="0" w:header="0"/>
          <w:type w:val="continuous"/>
        </w:sectPr>
      </w:pPr>
    </w:p>
    <w:p>
      <w:pPr>
        <w:spacing w:after="0" w:line="121" w:lineRule="exact"/>
        <w:rPr>
          <w:sz w:val="20"/>
          <w:szCs w:val="20"/>
          <w:color w:val="auto"/>
        </w:rPr>
      </w:pPr>
    </w:p>
    <w:p>
      <w:pPr>
        <w:ind w:left="3"/>
        <w:spacing w:after="0"/>
        <w:rPr>
          <w:sz w:val="20"/>
          <w:szCs w:val="20"/>
          <w:color w:val="auto"/>
        </w:rPr>
      </w:pPr>
      <w:r>
        <w:rPr>
          <w:rFonts w:ascii="Arial" w:cs="Arial" w:eastAsia="Arial" w:hAnsi="Arial"/>
          <w:sz w:val="19"/>
          <w:szCs w:val="19"/>
          <w:color w:val="auto"/>
        </w:rPr>
        <w:t>330</w:t>
      </w:r>
    </w:p>
    <w:p>
      <w:pPr>
        <w:sectPr>
          <w:pgSz w:w="11620" w:h="16157" w:orient="portrait"/>
          <w:cols w:equalWidth="0" w:num="1">
            <w:col w:w="10103"/>
          </w:cols>
          <w:pgMar w:left="737" w:top="668" w:right="782" w:bottom="0" w:gutter="0" w:footer="0" w:header="0"/>
          <w:type w:val="continuous"/>
        </w:sectPr>
      </w:pPr>
    </w:p>
    <w:bookmarkStart w:id="4" w:name="page5"/>
    <w:bookmarkEnd w:id="4"/>
    <w:p>
      <w:pPr>
        <w:ind w:left="1546"/>
        <w:spacing w:after="0"/>
        <w:rPr>
          <w:sz w:val="20"/>
          <w:szCs w:val="20"/>
          <w:color w:val="auto"/>
        </w:rPr>
      </w:pPr>
      <w:r>
        <w:rPr>
          <w:rFonts w:ascii="Arial" w:cs="Arial" w:eastAsia="Arial" w:hAnsi="Arial"/>
          <w:sz w:val="16"/>
          <w:szCs w:val="16"/>
          <w:color w:val="auto"/>
        </w:rPr>
        <w:t>THE DEPENDENCE OF THE ENDOTHELIAL FUNCTION ON COMORBID STATES IN PATIENTS WITH ASTHMA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55880</wp:posOffset>
                </wp:positionV>
                <wp:extent cx="640778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pt" to="504.55pt,4.4pt" o:allowincell="f" strokecolor="#000000" strokeweight="0.5pt"/>
            </w:pict>
          </mc:Fallback>
        </mc:AlternateContent>
      </w:r>
    </w:p>
    <w:p>
      <w:pPr>
        <w:sectPr>
          <w:pgSz w:w="11620" w:h="16157" w:orient="portrait"/>
          <w:cols w:equalWidth="0" w:num="1">
            <w:col w:w="10086"/>
          </w:cols>
          <w:pgMar w:left="794" w:top="639" w:right="742" w:bottom="0" w:gutter="0" w:footer="0" w:header="0"/>
        </w:sectPr>
      </w:pPr>
    </w:p>
    <w:p>
      <w:pPr>
        <w:spacing w:after="0" w:line="367" w:lineRule="exact"/>
        <w:rPr>
          <w:sz w:val="20"/>
          <w:szCs w:val="20"/>
          <w:color w:val="auto"/>
        </w:rPr>
      </w:pPr>
    </w:p>
    <w:p>
      <w:pPr>
        <w:jc w:val="both"/>
        <w:ind w:left="6"/>
        <w:spacing w:after="0" w:line="256" w:lineRule="auto"/>
        <w:rPr>
          <w:sz w:val="20"/>
          <w:szCs w:val="20"/>
          <w:color w:val="auto"/>
        </w:rPr>
      </w:pPr>
      <w:r>
        <w:rPr>
          <w:rFonts w:ascii="Times New Roman" w:cs="Times New Roman" w:eastAsia="Times New Roman" w:hAnsi="Times New Roman"/>
          <w:sz w:val="21"/>
          <w:szCs w:val="21"/>
          <w:color w:val="auto"/>
        </w:rPr>
        <w:t>studied with a correlation analysis using the Spearman’s rank correlation coefficient (r) and the Chaddock’s scale.</w:t>
      </w:r>
    </w:p>
    <w:p>
      <w:pPr>
        <w:spacing w:after="0" w:line="1" w:lineRule="exact"/>
        <w:rPr>
          <w:sz w:val="20"/>
          <w:szCs w:val="20"/>
          <w:color w:val="auto"/>
        </w:rPr>
      </w:pPr>
    </w:p>
    <w:p>
      <w:pPr>
        <w:jc w:val="both"/>
        <w:ind w:left="6" w:firstLine="170"/>
        <w:spacing w:after="0" w:line="263" w:lineRule="auto"/>
        <w:rPr>
          <w:sz w:val="20"/>
          <w:szCs w:val="20"/>
          <w:color w:val="auto"/>
        </w:rPr>
      </w:pPr>
      <w:r>
        <w:rPr>
          <w:rFonts w:ascii="Times New Roman" w:cs="Times New Roman" w:eastAsia="Times New Roman" w:hAnsi="Times New Roman"/>
          <w:sz w:val="19"/>
          <w:szCs w:val="19"/>
          <w:color w:val="auto"/>
        </w:rPr>
        <w:t>The age of the examined people was 48 (21; 56) years. Distribution of the groups by the gender sign revealed predominance of women – 68 %, men comprising 32 %. The age median was equal to 46 (23; 61) years in the women and 43 (20; 56) in the men. The median of disease duration was 12 (4; 29) years. The disease duration median in the men was 10 (3; 42) years, that of the women being 14 (5;</w:t>
      </w:r>
    </w:p>
    <w:p>
      <w:pPr>
        <w:spacing w:after="0" w:line="4" w:lineRule="exact"/>
        <w:rPr>
          <w:sz w:val="20"/>
          <w:szCs w:val="20"/>
          <w:color w:val="auto"/>
        </w:rPr>
      </w:pPr>
    </w:p>
    <w:p>
      <w:pPr>
        <w:jc w:val="both"/>
        <w:ind w:left="6" w:hanging="6"/>
        <w:spacing w:after="0" w:line="227" w:lineRule="auto"/>
        <w:tabs>
          <w:tab w:leader="none" w:pos="357"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years. The patients’ diagnoses were as follows: there were 59 % of cases with a moderately severe persisting course of the disease and 41 % of patients with a severe persisting course.</w:t>
      </w:r>
    </w:p>
    <w:p>
      <w:pPr>
        <w:spacing w:after="0" w:line="2" w:lineRule="exact"/>
        <w:rPr>
          <w:rFonts w:ascii="Times New Roman" w:cs="Times New Roman" w:eastAsia="Times New Roman" w:hAnsi="Times New Roman"/>
          <w:sz w:val="22"/>
          <w:szCs w:val="22"/>
          <w:color w:val="auto"/>
        </w:rPr>
      </w:pPr>
    </w:p>
    <w:p>
      <w:pPr>
        <w:jc w:val="both"/>
        <w:ind w:left="6" w:firstLine="170"/>
        <w:spacing w:after="0" w:line="23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research was conducted in compliance with re-quirements of the Declaration of Helsinki (Br.Med J, 1964; p.177) the protocol was approved by the Ethics Committee of Kharkiv National Medical University; the patients’ in-formed consent was received.</w:t>
      </w:r>
    </w:p>
    <w:p>
      <w:pPr>
        <w:spacing w:after="0" w:line="395" w:lineRule="exact"/>
        <w:rPr>
          <w:sz w:val="20"/>
          <w:szCs w:val="20"/>
          <w:color w:val="auto"/>
        </w:rPr>
      </w:pPr>
    </w:p>
    <w:p>
      <w:pPr>
        <w:ind w:left="6"/>
        <w:spacing w:after="0"/>
        <w:rPr>
          <w:sz w:val="20"/>
          <w:szCs w:val="20"/>
          <w:color w:val="auto"/>
        </w:rPr>
      </w:pPr>
      <w:r>
        <w:rPr>
          <w:rFonts w:ascii="Arial" w:cs="Arial" w:eastAsia="Arial" w:hAnsi="Arial"/>
          <w:sz w:val="24"/>
          <w:szCs w:val="24"/>
          <w:b w:val="1"/>
          <w:bCs w:val="1"/>
          <w:color w:val="auto"/>
        </w:rPr>
        <w:t>RESULTS AND DISCUSSION</w:t>
      </w:r>
    </w:p>
    <w:p>
      <w:pPr>
        <w:jc w:val="both"/>
        <w:ind w:left="6"/>
        <w:spacing w:after="0" w:line="263" w:lineRule="auto"/>
        <w:rPr>
          <w:sz w:val="20"/>
          <w:szCs w:val="20"/>
          <w:color w:val="auto"/>
        </w:rPr>
      </w:pPr>
      <w:r>
        <w:rPr>
          <w:rFonts w:ascii="Times New Roman" w:cs="Times New Roman" w:eastAsia="Times New Roman" w:hAnsi="Times New Roman"/>
          <w:sz w:val="19"/>
          <w:szCs w:val="19"/>
          <w:color w:val="auto"/>
        </w:rPr>
        <w:t>Indices of the functional state of the endothelium in pa-tients with A, A+DM2T and A+O significantly differed from the control group (Table I). Lower S-NO levels in patients from groups 2 and 3 and an increase of ET-1 in these groups demonstrate an imbalance of the indices, which produce an effect on the vascular tone. Statistically, the activity of VWF as the marker of an endothelial damage was significantly higher: it was 169.0 (147.0; 178.50) in cases from group 2 and 156.0 (142.75; 165.0) in those from the group of A+O. Thus, indices of a disrupted endothelial function were more expressed in patients from group 2. An increase of VWF in cases suffering from A with DM2T and obesity resulted in a higher thrombogenicity of the vascular wall against a background of the endothelial dysfunction.</w:t>
      </w:r>
    </w:p>
    <w:p>
      <w:pPr>
        <w:spacing w:after="0" w:line="8" w:lineRule="exact"/>
        <w:rPr>
          <w:sz w:val="20"/>
          <w:szCs w:val="20"/>
          <w:color w:val="auto"/>
        </w:rPr>
      </w:pPr>
    </w:p>
    <w:p>
      <w:pPr>
        <w:jc w:val="both"/>
        <w:ind w:left="6" w:firstLine="170"/>
        <w:spacing w:after="0" w:line="238" w:lineRule="auto"/>
        <w:rPr>
          <w:sz w:val="20"/>
          <w:szCs w:val="20"/>
          <w:color w:val="auto"/>
        </w:rPr>
      </w:pPr>
      <w:r>
        <w:rPr>
          <w:rFonts w:ascii="Times New Roman" w:cs="Times New Roman" w:eastAsia="Times New Roman" w:hAnsi="Times New Roman"/>
          <w:sz w:val="21"/>
          <w:szCs w:val="21"/>
          <w:color w:val="auto"/>
        </w:rPr>
        <w:t>A correlation analysis revealed relationships of the stud-ied indices of the functional state of their endothelium in patients from different groups (Table II).</w:t>
      </w:r>
    </w:p>
    <w:p>
      <w:pPr>
        <w:spacing w:after="0" w:line="2" w:lineRule="exact"/>
        <w:rPr>
          <w:sz w:val="20"/>
          <w:szCs w:val="20"/>
          <w:color w:val="auto"/>
        </w:rPr>
      </w:pPr>
    </w:p>
    <w:p>
      <w:pPr>
        <w:jc w:val="both"/>
        <w:ind w:left="6" w:firstLine="170"/>
        <w:spacing w:after="0" w:line="227" w:lineRule="auto"/>
        <w:rPr>
          <w:sz w:val="20"/>
          <w:szCs w:val="20"/>
          <w:color w:val="auto"/>
        </w:rPr>
      </w:pPr>
      <w:r>
        <w:rPr>
          <w:rFonts w:ascii="Times New Roman" w:cs="Times New Roman" w:eastAsia="Times New Roman" w:hAnsi="Times New Roman"/>
          <w:sz w:val="22"/>
          <w:szCs w:val="22"/>
          <w:color w:val="auto"/>
        </w:rPr>
        <w:t>Positive relations of ET-1 with VWF and negative ones with S-NO and basic indices of RF were demonstrated. The endothelial function was affected by duration of the disease and abdominal obesity, as it was confirmed by the correlations revealed (Table II).</w:t>
      </w:r>
    </w:p>
    <w:p>
      <w:pPr>
        <w:spacing w:after="0" w:line="4" w:lineRule="exact"/>
        <w:rPr>
          <w:sz w:val="20"/>
          <w:szCs w:val="20"/>
          <w:color w:val="auto"/>
        </w:rPr>
      </w:pPr>
    </w:p>
    <w:p>
      <w:pPr>
        <w:jc w:val="both"/>
        <w:ind w:left="6" w:firstLine="170"/>
        <w:spacing w:after="0" w:line="238" w:lineRule="auto"/>
        <w:rPr>
          <w:sz w:val="20"/>
          <w:szCs w:val="20"/>
          <w:color w:val="auto"/>
        </w:rPr>
      </w:pPr>
      <w:r>
        <w:rPr>
          <w:rFonts w:ascii="Times New Roman" w:cs="Times New Roman" w:eastAsia="Times New Roman" w:hAnsi="Times New Roman"/>
          <w:sz w:val="21"/>
          <w:szCs w:val="21"/>
          <w:color w:val="auto"/>
        </w:rPr>
        <w:t>Endothelin, produced by the cells of the respiratory epi-thelium and endothelium, is of paramount importance in the development of bronchospasm, including that caused by physical activity, as it contributes to the increase in the tone of smooth muscles and increased permeability of the microcirculatory channel [17]. S-NO is involved in the regulation of the tone and structure of vessels, promotes mucociliary clearance in the respiratory tract, participates in the processes of inflammation and immune defense</w:t>
      </w:r>
    </w:p>
    <w:p>
      <w:pPr>
        <w:spacing w:after="0" w:line="5" w:lineRule="exact"/>
        <w:rPr>
          <w:sz w:val="20"/>
          <w:szCs w:val="20"/>
          <w:color w:val="auto"/>
        </w:rPr>
      </w:pPr>
    </w:p>
    <w:p>
      <w:pPr>
        <w:jc w:val="both"/>
        <w:ind w:left="6" w:hanging="6"/>
        <w:spacing w:after="0" w:line="279" w:lineRule="auto"/>
        <w:tabs>
          <w:tab w:leader="none" w:pos="467" w:val="left"/>
        </w:tabs>
        <w:numPr>
          <w:ilvl w:val="0"/>
          <w:numId w:val="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One of the main causes of activation of VWF is the destruction of endothelial cells and subendothelium, which, in the opinion of several authors, is important not only for assessing the degree of disturbance of its function as a predictor of endothelial dysfunction, but the severity and prevalence of vessels, but the severity and prevalence</w:t>
      </w:r>
    </w:p>
    <w:p>
      <w:pPr>
        <w:spacing w:after="0" w:line="20" w:lineRule="exact"/>
        <w:rPr>
          <w:sz w:val="20"/>
          <w:szCs w:val="20"/>
          <w:color w:val="auto"/>
        </w:rPr>
      </w:pPr>
      <w:r>
        <w:rPr>
          <w:sz w:val="20"/>
          <w:szCs w:val="20"/>
          <w:color w:val="auto"/>
        </w:rPr>
        <w:br w:type="column"/>
      </w:r>
    </w:p>
    <w:p>
      <w:pPr>
        <w:spacing w:after="0" w:line="382"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21"/>
          <w:szCs w:val="21"/>
          <w:color w:val="auto"/>
        </w:rPr>
        <w:t>of vascular injury [18]. The findings show that endothe-lial damages are an unfavourable pathogenetic factor in pulmonary vascular dystonia with resultant progression of bronchial obstruction and development of hypoxia, particularly in patients with a comorbid course. Our data coincide with literature ones. Having analysed statistical characteristics of all examined endothelial indices in our patients, we revealed a high reliability both in A and in A with comorbid states. The above fact entitles us to state that statistical characteristics of the corresponding indices in different groups reliably differed from one another and that the level of the examined parameters depended upon the patient’s belonging to a particular group. A sequential comparison of the above indices in the studied groups depending upon the degree of severity did not reveal any reliable differences.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CONCLUSION</w:t>
      </w:r>
    </w:p>
    <w:p>
      <w:pPr>
        <w:jc w:val="both"/>
        <w:spacing w:after="0" w:line="243" w:lineRule="auto"/>
        <w:rPr>
          <w:sz w:val="20"/>
          <w:szCs w:val="20"/>
          <w:color w:val="auto"/>
        </w:rPr>
      </w:pPr>
      <w:r>
        <w:rPr>
          <w:rFonts w:ascii="Times New Roman" w:cs="Times New Roman" w:eastAsia="Times New Roman" w:hAnsi="Times New Roman"/>
          <w:sz w:val="21"/>
          <w:szCs w:val="21"/>
          <w:color w:val="auto"/>
        </w:rPr>
        <w:t>The conducted study has proved that the endothelial func-tion in patients with A+DM2T and A+O is characterized by a disturbed relationship between relaxing and constric-ting endothelial factors, mainly by means of an intensified action of the constricting ones. When compared with the group of patients without any accompanying pathology, the largest changes were revealed in patients with A and DM2T from the side of activity indices of their coagulative and endothelial factors of relaxation. The obtained data make it possible to receive an opportunity to correct the above impairments in future.</w:t>
      </w:r>
    </w:p>
    <w:p>
      <w:pPr>
        <w:spacing w:after="0" w:line="166" w:lineRule="exact"/>
        <w:rPr>
          <w:sz w:val="20"/>
          <w:szCs w:val="20"/>
          <w:color w:val="auto"/>
        </w:rPr>
      </w:pPr>
    </w:p>
    <w:p>
      <w:pPr>
        <w:spacing w:after="0"/>
        <w:rPr>
          <w:sz w:val="20"/>
          <w:szCs w:val="20"/>
          <w:color w:val="auto"/>
        </w:rPr>
      </w:pPr>
      <w:r>
        <w:rPr>
          <w:rFonts w:ascii="Arial" w:cs="Arial" w:eastAsia="Arial" w:hAnsi="Arial"/>
          <w:sz w:val="24"/>
          <w:szCs w:val="24"/>
          <w:color w:val="auto"/>
        </w:rPr>
        <w:t>REFERENCES</w:t>
      </w:r>
    </w:p>
    <w:p>
      <w:pPr>
        <w:jc w:val="both"/>
        <w:ind w:left="320" w:hanging="184"/>
        <w:spacing w:after="0" w:line="357" w:lineRule="auto"/>
        <w:tabs>
          <w:tab w:leader="none" w:pos="320" w:val="left"/>
        </w:tabs>
        <w:numPr>
          <w:ilvl w:val="0"/>
          <w:numId w:val="4"/>
        </w:numPr>
        <w:rPr>
          <w:rFonts w:ascii="Arial" w:cs="Arial" w:eastAsia="Arial" w:hAnsi="Arial"/>
          <w:sz w:val="14"/>
          <w:szCs w:val="14"/>
          <w:color w:val="auto"/>
        </w:rPr>
      </w:pPr>
      <w:r>
        <w:rPr>
          <w:rFonts w:ascii="Arial" w:cs="Arial" w:eastAsia="Arial" w:hAnsi="Arial"/>
          <w:sz w:val="14"/>
          <w:szCs w:val="14"/>
          <w:color w:val="auto"/>
        </w:rPr>
        <w:t>MacNee W. Systemic inflammatory biomarkers and co-morbidities of chronic obstructive pulmonary disease. Ann Med. 2013; 45(3): 291–300.</w:t>
      </w:r>
    </w:p>
    <w:p>
      <w:pPr>
        <w:spacing w:after="0" w:line="1" w:lineRule="exact"/>
        <w:rPr>
          <w:rFonts w:ascii="Arial" w:cs="Arial" w:eastAsia="Arial" w:hAnsi="Arial"/>
          <w:sz w:val="14"/>
          <w:szCs w:val="14"/>
          <w:color w:val="auto"/>
        </w:rPr>
      </w:pPr>
    </w:p>
    <w:p>
      <w:pPr>
        <w:jc w:val="both"/>
        <w:ind w:left="320" w:hanging="184"/>
        <w:spacing w:after="0" w:line="263" w:lineRule="auto"/>
        <w:tabs>
          <w:tab w:leader="none" w:pos="320" w:val="left"/>
        </w:tabs>
        <w:numPr>
          <w:ilvl w:val="0"/>
          <w:numId w:val="4"/>
        </w:numPr>
        <w:rPr>
          <w:rFonts w:ascii="Arial" w:cs="Arial" w:eastAsia="Arial" w:hAnsi="Arial"/>
          <w:sz w:val="19"/>
          <w:szCs w:val="19"/>
          <w:color w:val="auto"/>
        </w:rPr>
      </w:pPr>
      <w:r>
        <w:rPr>
          <w:rFonts w:ascii="Arial" w:cs="Arial" w:eastAsia="Arial" w:hAnsi="Arial"/>
          <w:sz w:val="19"/>
          <w:szCs w:val="19"/>
          <w:color w:val="auto"/>
        </w:rPr>
        <w:t>Miller J., Edwards L.D., Agusti A., et al. Comorbidity, systemic inflammation and outcomes in the ECLIPSE cohort. Respir Med. 2013; 107(9): 1376–84.</w:t>
      </w:r>
    </w:p>
    <w:p>
      <w:pPr>
        <w:spacing w:after="0" w:line="1" w:lineRule="exact"/>
        <w:rPr>
          <w:rFonts w:ascii="Arial" w:cs="Arial" w:eastAsia="Arial" w:hAnsi="Arial"/>
          <w:sz w:val="19"/>
          <w:szCs w:val="19"/>
          <w:color w:val="auto"/>
        </w:rPr>
      </w:pPr>
    </w:p>
    <w:p>
      <w:pPr>
        <w:jc w:val="both"/>
        <w:ind w:left="320" w:hanging="184"/>
        <w:spacing w:after="0" w:line="333" w:lineRule="auto"/>
        <w:tabs>
          <w:tab w:leader="none" w:pos="320" w:val="left"/>
        </w:tabs>
        <w:numPr>
          <w:ilvl w:val="0"/>
          <w:numId w:val="4"/>
        </w:numPr>
        <w:rPr>
          <w:rFonts w:ascii="Arial" w:cs="Arial" w:eastAsia="Arial" w:hAnsi="Arial"/>
          <w:sz w:val="15"/>
          <w:szCs w:val="15"/>
          <w:color w:val="auto"/>
        </w:rPr>
      </w:pPr>
      <w:r>
        <w:rPr>
          <w:rFonts w:ascii="Arial" w:cs="Arial" w:eastAsia="Arial" w:hAnsi="Arial"/>
          <w:sz w:val="15"/>
          <w:szCs w:val="15"/>
          <w:color w:val="auto"/>
        </w:rPr>
        <w:t>Zhu G, Carlsen K, Carlsen KH, Lenney W, Silverman M, Whyte MK, et al. Polymorphisms in the endothelin-1 (EDN1) are associated with asthma in two populations. Genes Immun. 2008;9(1):23–9.</w:t>
      </w:r>
    </w:p>
    <w:p>
      <w:pPr>
        <w:spacing w:after="0" w:line="2" w:lineRule="exact"/>
        <w:rPr>
          <w:rFonts w:ascii="Arial" w:cs="Arial" w:eastAsia="Arial" w:hAnsi="Arial"/>
          <w:sz w:val="15"/>
          <w:szCs w:val="15"/>
          <w:color w:val="auto"/>
        </w:rPr>
      </w:pPr>
    </w:p>
    <w:p>
      <w:pPr>
        <w:jc w:val="both"/>
        <w:ind w:left="320" w:hanging="184"/>
        <w:spacing w:after="0" w:line="357" w:lineRule="auto"/>
        <w:tabs>
          <w:tab w:leader="none" w:pos="320" w:val="left"/>
        </w:tabs>
        <w:numPr>
          <w:ilvl w:val="0"/>
          <w:numId w:val="4"/>
        </w:numPr>
        <w:rPr>
          <w:rFonts w:ascii="Arial" w:cs="Arial" w:eastAsia="Arial" w:hAnsi="Arial"/>
          <w:sz w:val="14"/>
          <w:szCs w:val="14"/>
          <w:color w:val="auto"/>
        </w:rPr>
      </w:pPr>
      <w:r>
        <w:rPr>
          <w:rFonts w:ascii="Arial" w:cs="Arial" w:eastAsia="Arial" w:hAnsi="Arial"/>
          <w:sz w:val="14"/>
          <w:szCs w:val="14"/>
          <w:color w:val="auto"/>
        </w:rPr>
        <w:t>Ehrlich S.F., Quesenberry C.P. Jr, Van Den Eeden S.K., Shan J., Ferrara A. Patients diagnosed with diabetes are at increased risk for asthma, chronic obstructive pulmonary disease, pulmonary fibrosis, and pneumonia but not lung cancer. Diabetes Care. 2010;33(1):55–60.</w:t>
      </w:r>
    </w:p>
    <w:p>
      <w:pPr>
        <w:spacing w:after="0" w:line="2" w:lineRule="exact"/>
        <w:rPr>
          <w:rFonts w:ascii="Arial" w:cs="Arial" w:eastAsia="Arial" w:hAnsi="Arial"/>
          <w:sz w:val="14"/>
          <w:szCs w:val="14"/>
          <w:color w:val="auto"/>
        </w:rPr>
      </w:pPr>
    </w:p>
    <w:p>
      <w:pPr>
        <w:ind w:left="320" w:hanging="184"/>
        <w:spacing w:after="0" w:line="333" w:lineRule="auto"/>
        <w:tabs>
          <w:tab w:leader="none" w:pos="320" w:val="left"/>
        </w:tabs>
        <w:numPr>
          <w:ilvl w:val="0"/>
          <w:numId w:val="4"/>
        </w:numPr>
        <w:rPr>
          <w:rFonts w:ascii="Arial" w:cs="Arial" w:eastAsia="Arial" w:hAnsi="Arial"/>
          <w:sz w:val="15"/>
          <w:szCs w:val="15"/>
          <w:color w:val="auto"/>
        </w:rPr>
      </w:pPr>
      <w:r>
        <w:rPr>
          <w:rFonts w:ascii="Arial" w:cs="Arial" w:eastAsia="Arial" w:hAnsi="Arial"/>
          <w:sz w:val="15"/>
          <w:szCs w:val="15"/>
          <w:color w:val="auto"/>
        </w:rPr>
        <w:t>Ledford DK, Lockey RF. Asthma and comorbidities. Vol. 13, Current Opinion in Allergy and Clinical Immunology. 2013. p. 78–86.</w:t>
      </w:r>
    </w:p>
    <w:p>
      <w:pPr>
        <w:spacing w:after="0" w:line="1" w:lineRule="exact"/>
        <w:rPr>
          <w:rFonts w:ascii="Arial" w:cs="Arial" w:eastAsia="Arial" w:hAnsi="Arial"/>
          <w:sz w:val="15"/>
          <w:szCs w:val="15"/>
          <w:color w:val="auto"/>
        </w:rPr>
      </w:pPr>
    </w:p>
    <w:p>
      <w:pPr>
        <w:jc w:val="both"/>
        <w:ind w:left="320" w:hanging="184"/>
        <w:spacing w:after="0" w:line="333" w:lineRule="auto"/>
        <w:tabs>
          <w:tab w:leader="none" w:pos="320" w:val="left"/>
        </w:tabs>
        <w:numPr>
          <w:ilvl w:val="0"/>
          <w:numId w:val="4"/>
        </w:numPr>
        <w:rPr>
          <w:rFonts w:ascii="Arial" w:cs="Arial" w:eastAsia="Arial" w:hAnsi="Arial"/>
          <w:sz w:val="15"/>
          <w:szCs w:val="15"/>
          <w:color w:val="auto"/>
        </w:rPr>
      </w:pPr>
      <w:r>
        <w:rPr>
          <w:rFonts w:ascii="Arial" w:cs="Arial" w:eastAsia="Arial" w:hAnsi="Arial"/>
          <w:sz w:val="15"/>
          <w:szCs w:val="15"/>
          <w:color w:val="auto"/>
        </w:rPr>
        <w:t>European Lung Foundation. Lung Health in Europe—Facts and figures. [books online], 2013. Available from: URL: http://www.ers-education. org/home/browse-all-content.aspx?idParent=131897</w:t>
      </w:r>
    </w:p>
    <w:p>
      <w:pPr>
        <w:spacing w:after="0" w:line="2" w:lineRule="exact"/>
        <w:rPr>
          <w:rFonts w:ascii="Arial" w:cs="Arial" w:eastAsia="Arial" w:hAnsi="Arial"/>
          <w:sz w:val="15"/>
          <w:szCs w:val="15"/>
          <w:color w:val="auto"/>
        </w:rPr>
      </w:pPr>
    </w:p>
    <w:p>
      <w:pPr>
        <w:jc w:val="both"/>
        <w:ind w:left="320" w:hanging="184"/>
        <w:spacing w:after="0" w:line="278" w:lineRule="auto"/>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van Huisstede A., Castro Cabezas M., van de Geijn G.J., et al. Underdiagnosis and overdiagnosis of asthma in the morbidly obese. Respir Med. 2013; 107(9): 1356-1364.</w:t>
      </w:r>
    </w:p>
    <w:p>
      <w:pPr>
        <w:jc w:val="both"/>
        <w:ind w:left="320" w:hanging="184"/>
        <w:spacing w:after="0" w:line="278" w:lineRule="auto"/>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Bahna SL. Should exhaled nitric oxide measurement be part of routine asthma management? Vol. 109, Annals of Allergy, Asthma and Immunology. 2012. p. 289–91.</w:t>
      </w:r>
    </w:p>
    <w:p>
      <w:pPr>
        <w:jc w:val="both"/>
        <w:ind w:left="320" w:hanging="184"/>
        <w:spacing w:after="0" w:line="392" w:lineRule="auto"/>
        <w:tabs>
          <w:tab w:leader="none" w:pos="320" w:val="left"/>
        </w:tabs>
        <w:numPr>
          <w:ilvl w:val="0"/>
          <w:numId w:val="4"/>
        </w:numPr>
        <w:rPr>
          <w:rFonts w:ascii="Arial" w:cs="Arial" w:eastAsia="Arial" w:hAnsi="Arial"/>
          <w:sz w:val="15"/>
          <w:szCs w:val="15"/>
          <w:color w:val="auto"/>
        </w:rPr>
      </w:pPr>
      <w:r>
        <w:rPr>
          <w:rFonts w:ascii="Arial" w:cs="Arial" w:eastAsia="Arial" w:hAnsi="Arial"/>
          <w:sz w:val="15"/>
          <w:szCs w:val="15"/>
          <w:color w:val="auto"/>
        </w:rPr>
        <w:t>Hansen S., Strom M., Maslova E. A comparison of three methods to measure asthma in epidemiologic studies: results from the Danish National Birth Cohort. PLoS ONE. 2012; 7(5): 363-368.</w:t>
      </w:r>
    </w:p>
    <w:p>
      <w:pPr>
        <w:spacing w:after="0" w:line="200" w:lineRule="exact"/>
        <w:rPr>
          <w:sz w:val="20"/>
          <w:szCs w:val="20"/>
          <w:color w:val="auto"/>
        </w:rPr>
      </w:pPr>
    </w:p>
    <w:p>
      <w:pPr>
        <w:sectPr>
          <w:pgSz w:w="11620" w:h="16157" w:orient="portrait"/>
          <w:cols w:equalWidth="0" w:num="2">
            <w:col w:w="4906" w:space="280"/>
            <w:col w:w="4900"/>
          </w:cols>
          <w:pgMar w:left="794" w:top="639" w:right="742" w:bottom="0" w:gutter="0" w:footer="0" w:header="0"/>
          <w:type w:val="continuous"/>
        </w:sectPr>
      </w:pPr>
    </w:p>
    <w:p>
      <w:pPr>
        <w:spacing w:after="0" w:line="59" w:lineRule="exact"/>
        <w:rPr>
          <w:sz w:val="20"/>
          <w:szCs w:val="20"/>
          <w:color w:val="auto"/>
        </w:rPr>
      </w:pPr>
    </w:p>
    <w:p>
      <w:pPr>
        <w:ind w:left="9766"/>
        <w:spacing w:after="0"/>
        <w:rPr>
          <w:sz w:val="20"/>
          <w:szCs w:val="20"/>
          <w:color w:val="auto"/>
        </w:rPr>
      </w:pPr>
      <w:r>
        <w:rPr>
          <w:rFonts w:ascii="Arial" w:cs="Arial" w:eastAsia="Arial" w:hAnsi="Arial"/>
          <w:sz w:val="19"/>
          <w:szCs w:val="19"/>
          <w:color w:val="auto"/>
        </w:rPr>
        <w:t>331</w:t>
      </w:r>
    </w:p>
    <w:p>
      <w:pPr>
        <w:sectPr>
          <w:pgSz w:w="11620" w:h="16157" w:orient="portrait"/>
          <w:cols w:equalWidth="0" w:num="1">
            <w:col w:w="10086"/>
          </w:cols>
          <w:pgMar w:left="794" w:top="639" w:right="742" w:bottom="0" w:gutter="0" w:footer="0" w:header="0"/>
          <w:type w:val="continuous"/>
        </w:sectPr>
      </w:pPr>
    </w:p>
    <w:bookmarkStart w:id="5" w:name="page6"/>
    <w:bookmarkEnd w:id="5"/>
    <w:p>
      <w:pPr>
        <w:spacing w:after="0"/>
        <w:rPr>
          <w:sz w:val="20"/>
          <w:szCs w:val="20"/>
          <w:color w:val="auto"/>
        </w:rPr>
      </w:pPr>
      <w:r>
        <w:rPr>
          <w:rFonts w:ascii="Arial" w:cs="Arial" w:eastAsia="Arial" w:hAnsi="Arial"/>
          <w:sz w:val="17"/>
          <w:szCs w:val="17"/>
          <w:color w:val="auto"/>
        </w:rPr>
        <w:t>Galyna V. Yeryomenko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30480</wp:posOffset>
                </wp:positionV>
                <wp:extent cx="640715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1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4pt" to="504.4pt,2.4pt" o:allowincell="f" strokecolor="#000000" strokeweight="0.5pt"/>
            </w:pict>
          </mc:Fallback>
        </mc:AlternateContent>
      </w:r>
    </w:p>
    <w:p>
      <w:pPr>
        <w:sectPr>
          <w:pgSz w:w="11620" w:h="16157" w:orient="portrait"/>
          <w:cols w:equalWidth="0" w:num="1">
            <w:col w:w="10100"/>
          </w:cols>
          <w:pgMar w:left="740" w:top="668" w:right="782" w:bottom="0" w:gutter="0" w:footer="0" w:header="0"/>
        </w:sectPr>
      </w:pPr>
    </w:p>
    <w:p>
      <w:pPr>
        <w:spacing w:after="0" w:line="374" w:lineRule="exact"/>
        <w:rPr>
          <w:sz w:val="20"/>
          <w:szCs w:val="20"/>
          <w:color w:val="auto"/>
        </w:rPr>
      </w:pPr>
    </w:p>
    <w:p>
      <w:pPr>
        <w:jc w:val="both"/>
        <w:ind w:left="320" w:hanging="271"/>
        <w:spacing w:after="0" w:line="357" w:lineRule="auto"/>
        <w:tabs>
          <w:tab w:leader="none" w:pos="320" w:val="left"/>
        </w:tabs>
        <w:numPr>
          <w:ilvl w:val="0"/>
          <w:numId w:val="5"/>
        </w:numPr>
        <w:rPr>
          <w:rFonts w:ascii="Arial" w:cs="Arial" w:eastAsia="Arial" w:hAnsi="Arial"/>
          <w:sz w:val="14"/>
          <w:szCs w:val="14"/>
          <w:color w:val="auto"/>
        </w:rPr>
      </w:pPr>
      <w:r>
        <w:rPr>
          <w:rFonts w:ascii="Arial" w:cs="Arial" w:eastAsia="Arial" w:hAnsi="Arial"/>
          <w:sz w:val="14"/>
          <w:szCs w:val="14"/>
          <w:color w:val="auto"/>
        </w:rPr>
        <w:t>Kwon C.H., Rhee E.J., Song J.U., Kim J.T., Kwag H.J., Sung K.C. Reduced lung function is independently associated with increased risk of type 2 diabetes in Korean men. Cardiovasc Diabetol. 2012; 11(1): 38.</w:t>
      </w:r>
    </w:p>
    <w:p>
      <w:pPr>
        <w:spacing w:after="0" w:line="1" w:lineRule="exact"/>
        <w:rPr>
          <w:rFonts w:ascii="Arial" w:cs="Arial" w:eastAsia="Arial" w:hAnsi="Arial"/>
          <w:sz w:val="14"/>
          <w:szCs w:val="14"/>
          <w:color w:val="auto"/>
        </w:rPr>
      </w:pPr>
    </w:p>
    <w:p>
      <w:pPr>
        <w:jc w:val="both"/>
        <w:ind w:left="320" w:hanging="271"/>
        <w:spacing w:after="0" w:line="385" w:lineRule="auto"/>
        <w:tabs>
          <w:tab w:leader="none" w:pos="320" w:val="left"/>
        </w:tabs>
        <w:numPr>
          <w:ilvl w:val="0"/>
          <w:numId w:val="5"/>
        </w:numPr>
        <w:rPr>
          <w:rFonts w:ascii="Arial" w:cs="Arial" w:eastAsia="Arial" w:hAnsi="Arial"/>
          <w:sz w:val="13"/>
          <w:szCs w:val="13"/>
          <w:color w:val="auto"/>
        </w:rPr>
      </w:pPr>
      <w:r>
        <w:rPr>
          <w:rFonts w:ascii="Arial" w:cs="Arial" w:eastAsia="Arial" w:hAnsi="Arial"/>
          <w:sz w:val="13"/>
          <w:szCs w:val="13"/>
          <w:color w:val="auto"/>
        </w:rPr>
        <w:t>Mirrakhimov A.E. Chronic obstructive pulmonary disease and glucose metabolism: a bitter sweet symphony. Cardiovasc Diabetol. 2012; 11: 132.</w:t>
      </w:r>
    </w:p>
    <w:p>
      <w:pPr>
        <w:ind w:left="320" w:hanging="271"/>
        <w:spacing w:after="0"/>
        <w:tabs>
          <w:tab w:leader="none" w:pos="320" w:val="left"/>
        </w:tabs>
        <w:numPr>
          <w:ilvl w:val="0"/>
          <w:numId w:val="5"/>
        </w:numPr>
        <w:rPr>
          <w:rFonts w:ascii="Arial" w:cs="Arial" w:eastAsia="Arial" w:hAnsi="Arial"/>
          <w:sz w:val="15"/>
          <w:szCs w:val="15"/>
          <w:color w:val="auto"/>
        </w:rPr>
      </w:pPr>
      <w:r>
        <w:rPr>
          <w:rFonts w:ascii="Arial" w:cs="Arial" w:eastAsia="Arial" w:hAnsi="Arial"/>
          <w:sz w:val="15"/>
          <w:szCs w:val="15"/>
          <w:color w:val="auto"/>
        </w:rPr>
        <w:t>Boulet LP. Asthma and obesity. Clin Exp Allergy. 2013;43(1):8–21.</w:t>
      </w:r>
    </w:p>
    <w:p>
      <w:pPr>
        <w:spacing w:after="0" w:line="67" w:lineRule="exact"/>
        <w:rPr>
          <w:rFonts w:ascii="Arial" w:cs="Arial" w:eastAsia="Arial" w:hAnsi="Arial"/>
          <w:sz w:val="15"/>
          <w:szCs w:val="15"/>
          <w:color w:val="auto"/>
        </w:rPr>
      </w:pPr>
    </w:p>
    <w:p>
      <w:pPr>
        <w:jc w:val="both"/>
        <w:ind w:left="320" w:hanging="271"/>
        <w:spacing w:after="0" w:line="313" w:lineRule="auto"/>
        <w:tabs>
          <w:tab w:leader="none" w:pos="320" w:val="left"/>
        </w:tabs>
        <w:numPr>
          <w:ilvl w:val="0"/>
          <w:numId w:val="5"/>
        </w:numPr>
        <w:rPr>
          <w:rFonts w:ascii="Arial" w:cs="Arial" w:eastAsia="Arial" w:hAnsi="Arial"/>
          <w:sz w:val="16"/>
          <w:szCs w:val="16"/>
          <w:color w:val="auto"/>
        </w:rPr>
      </w:pPr>
      <w:r>
        <w:rPr>
          <w:rFonts w:ascii="Arial" w:cs="Arial" w:eastAsia="Arial" w:hAnsi="Arial"/>
          <w:sz w:val="16"/>
          <w:szCs w:val="16"/>
          <w:color w:val="auto"/>
        </w:rPr>
        <w:t>Perez MK, Piedimonte G. Metabolic asthma: Is there a link between obesity, diabetes, and asthma? Vol. 34, Immunology and Allergy Clinics of North America. 2014. p. 777–84.</w:t>
      </w:r>
    </w:p>
    <w:p>
      <w:pPr>
        <w:ind w:left="320" w:hanging="271"/>
        <w:spacing w:after="0" w:line="385" w:lineRule="auto"/>
        <w:tabs>
          <w:tab w:leader="none" w:pos="320" w:val="left"/>
        </w:tabs>
        <w:numPr>
          <w:ilvl w:val="0"/>
          <w:numId w:val="5"/>
        </w:numPr>
        <w:rPr>
          <w:rFonts w:ascii="Arial" w:cs="Arial" w:eastAsia="Arial" w:hAnsi="Arial"/>
          <w:sz w:val="13"/>
          <w:szCs w:val="13"/>
          <w:color w:val="auto"/>
        </w:rPr>
      </w:pPr>
      <w:r>
        <w:rPr>
          <w:rFonts w:ascii="Arial" w:cs="Arial" w:eastAsia="Arial" w:hAnsi="Arial"/>
          <w:sz w:val="13"/>
          <w:szCs w:val="13"/>
          <w:color w:val="auto"/>
        </w:rPr>
        <w:t>Al-Shawwa B a, Al-Huniti NH, DeMattia L, et al. Asthma and insulin resistance in morbidly obese children and adolescents. J Asthma. 2007;44(6):469–73.</w:t>
      </w:r>
    </w:p>
    <w:p>
      <w:pPr>
        <w:jc w:val="both"/>
        <w:ind w:left="320" w:hanging="271"/>
        <w:spacing w:after="0" w:line="442" w:lineRule="auto"/>
        <w:tabs>
          <w:tab w:leader="none" w:pos="320" w:val="left"/>
        </w:tabs>
        <w:numPr>
          <w:ilvl w:val="0"/>
          <w:numId w:val="5"/>
        </w:numPr>
        <w:rPr>
          <w:rFonts w:ascii="Arial" w:cs="Arial" w:eastAsia="Arial" w:hAnsi="Arial"/>
          <w:sz w:val="13"/>
          <w:szCs w:val="13"/>
          <w:color w:val="auto"/>
        </w:rPr>
      </w:pPr>
      <w:r>
        <w:rPr>
          <w:rFonts w:ascii="Arial" w:cs="Arial" w:eastAsia="Arial" w:hAnsi="Arial"/>
          <w:sz w:val="13"/>
          <w:szCs w:val="13"/>
          <w:color w:val="auto"/>
        </w:rPr>
        <w:t>Vos T., Barber R.M., Bell B., et al. Global, regional, and national incidence, prevalence, and years lived with disability for 301 acute and chronic diseases and injuries in 188 countries, 1990-2013: a systematic analysis for the global burden of disease study 2013. Lancet. 2015; 386(9995): 743-800.</w:t>
      </w:r>
    </w:p>
    <w:p>
      <w:pPr>
        <w:spacing w:after="0" w:line="20" w:lineRule="exact"/>
        <w:rPr>
          <w:sz w:val="20"/>
          <w:szCs w:val="20"/>
          <w:color w:val="auto"/>
        </w:rPr>
      </w:pPr>
      <w:r>
        <w:rPr>
          <w:sz w:val="20"/>
          <w:szCs w:val="20"/>
          <w:color w:val="auto"/>
        </w:rPr>
        <w:br w:type="column"/>
      </w:r>
    </w:p>
    <w:p>
      <w:pPr>
        <w:spacing w:after="0" w:line="354" w:lineRule="exact"/>
        <w:rPr>
          <w:sz w:val="20"/>
          <w:szCs w:val="20"/>
          <w:color w:val="auto"/>
        </w:rPr>
      </w:pPr>
    </w:p>
    <w:p>
      <w:pPr>
        <w:jc w:val="both"/>
        <w:ind w:left="320" w:right="20" w:hanging="264"/>
        <w:spacing w:after="0" w:line="313" w:lineRule="auto"/>
        <w:tabs>
          <w:tab w:leader="none" w:pos="320" w:val="left"/>
        </w:tabs>
        <w:numPr>
          <w:ilvl w:val="0"/>
          <w:numId w:val="6"/>
        </w:numPr>
        <w:rPr>
          <w:rFonts w:ascii="Arial" w:cs="Arial" w:eastAsia="Arial" w:hAnsi="Arial"/>
          <w:sz w:val="16"/>
          <w:szCs w:val="16"/>
          <w:color w:val="auto"/>
        </w:rPr>
      </w:pPr>
      <w:r>
        <w:rPr>
          <w:rFonts w:ascii="Arial" w:cs="Arial" w:eastAsia="Arial" w:hAnsi="Arial"/>
          <w:sz w:val="16"/>
          <w:szCs w:val="16"/>
          <w:color w:val="auto"/>
        </w:rPr>
        <w:t>Kovalova O.M., Demydenko G.V., Gorbach T.V. Diagnosis of endothelial function - assessment of the vasoactive pool of nitric oxide (methodical recommendations). Kiev; 2007; p. 16-19.</w:t>
      </w:r>
    </w:p>
    <w:p>
      <w:pPr>
        <w:jc w:val="both"/>
        <w:ind w:left="320" w:right="20" w:hanging="264"/>
        <w:spacing w:after="0" w:line="333" w:lineRule="auto"/>
        <w:tabs>
          <w:tab w:leader="none" w:pos="320" w:val="left"/>
        </w:tabs>
        <w:numPr>
          <w:ilvl w:val="0"/>
          <w:numId w:val="6"/>
        </w:numPr>
        <w:rPr>
          <w:rFonts w:ascii="Arial" w:cs="Arial" w:eastAsia="Arial" w:hAnsi="Arial"/>
          <w:sz w:val="15"/>
          <w:szCs w:val="15"/>
          <w:color w:val="auto"/>
        </w:rPr>
      </w:pPr>
      <w:r>
        <w:rPr>
          <w:rFonts w:ascii="Arial" w:cs="Arial" w:eastAsia="Arial" w:hAnsi="Arial"/>
          <w:sz w:val="15"/>
          <w:szCs w:val="15"/>
          <w:color w:val="auto"/>
        </w:rPr>
        <w:t>Basha B, Samuel SM, Triggle CR, Ding H. Endothelial dysfunction in diabetes mellitus: Possible involvement of endoplasmic reticulum stress? Experimental Diabetes Research. 2012;2012:1-14.</w:t>
      </w:r>
    </w:p>
    <w:p>
      <w:pPr>
        <w:spacing w:after="0" w:line="2" w:lineRule="exact"/>
        <w:rPr>
          <w:rFonts w:ascii="Arial" w:cs="Arial" w:eastAsia="Arial" w:hAnsi="Arial"/>
          <w:sz w:val="15"/>
          <w:szCs w:val="15"/>
          <w:color w:val="auto"/>
        </w:rPr>
      </w:pPr>
    </w:p>
    <w:p>
      <w:pPr>
        <w:jc w:val="both"/>
        <w:ind w:left="320" w:hanging="264"/>
        <w:spacing w:after="0" w:line="306" w:lineRule="auto"/>
        <w:tabs>
          <w:tab w:leader="none" w:pos="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Petri B, Broermann A, Li H, Khandoga AG, Zarbock A, Krombach F, et al. Von Willebrand factor promotes leukocyte extravasation. Blood. 2010;116(22):4712–9.</w:t>
      </w:r>
    </w:p>
    <w:p>
      <w:pPr>
        <w:spacing w:after="0" w:line="154" w:lineRule="exact"/>
        <w:rPr>
          <w:sz w:val="20"/>
          <w:szCs w:val="20"/>
          <w:color w:val="auto"/>
        </w:rPr>
      </w:pPr>
    </w:p>
    <w:p>
      <w:pPr>
        <w:jc w:val="both"/>
        <w:ind w:right="20" w:firstLine="170"/>
        <w:spacing w:after="0" w:line="283" w:lineRule="auto"/>
        <w:rPr>
          <w:sz w:val="20"/>
          <w:szCs w:val="20"/>
          <w:color w:val="auto"/>
        </w:rPr>
      </w:pPr>
      <w:r>
        <w:rPr>
          <w:rFonts w:ascii="Times New Roman" w:cs="Times New Roman" w:eastAsia="Times New Roman" w:hAnsi="Times New Roman"/>
          <w:sz w:val="19"/>
          <w:szCs w:val="19"/>
          <w:i w:val="1"/>
          <w:iCs w:val="1"/>
          <w:color w:val="auto"/>
        </w:rPr>
        <w:t>Scientific research: Features of Diagnosis, Treatment, Mon-itoring, Prognosis in Different Clinical Phenotypes of Asthma and Chronic Obstructive Pulmonary Disease. UDC: 616.23 4−036+616.24−007.272−036.12]−07−08−037. Number of the state registration 0113U002280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182245</wp:posOffset>
                </wp:positionH>
                <wp:positionV relativeFrom="paragraph">
                  <wp:posOffset>389255</wp:posOffset>
                </wp:positionV>
                <wp:extent cx="293433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343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5pt,30.65pt" to="245.4pt,30.65pt" o:allowincell="f" strokecolor="#000000" strokeweight="0.5pt"/>
            </w:pict>
          </mc:Fallback>
        </mc:AlternateContent>
      </w:r>
    </w:p>
    <w:p>
      <w:pPr>
        <w:spacing w:after="0" w:line="267" w:lineRule="exact"/>
        <w:rPr>
          <w:sz w:val="20"/>
          <w:szCs w:val="20"/>
          <w:color w:val="auto"/>
        </w:rPr>
      </w:pPr>
    </w:p>
    <w:p>
      <w:pPr>
        <w:sectPr>
          <w:pgSz w:w="11620" w:h="16157" w:orient="portrait"/>
          <w:cols w:equalWidth="0" w:num="2">
            <w:col w:w="4900" w:space="280"/>
            <w:col w:w="4920"/>
          </w:cols>
          <w:pgMar w:left="740" w:top="668" w:right="782" w:bottom="0" w:gutter="0" w:footer="0" w:header="0"/>
          <w:type w:val="continuous"/>
        </w:sectPr>
      </w:pPr>
    </w:p>
    <w:p>
      <w:pPr>
        <w:spacing w:after="0" w:line="383" w:lineRule="exact"/>
        <w:rPr>
          <w:sz w:val="20"/>
          <w:szCs w:val="20"/>
          <w:color w:val="auto"/>
        </w:rPr>
      </w:pPr>
    </w:p>
    <w:p>
      <w:pPr>
        <w:ind w:left="5460"/>
        <w:spacing w:after="0"/>
        <w:rPr>
          <w:sz w:val="20"/>
          <w:szCs w:val="20"/>
          <w:color w:val="auto"/>
        </w:rPr>
      </w:pPr>
      <w:r>
        <w:rPr>
          <w:rFonts w:ascii="Arial" w:cs="Arial" w:eastAsia="Arial" w:hAnsi="Arial"/>
          <w:sz w:val="17"/>
          <w:szCs w:val="17"/>
          <w:b w:val="1"/>
          <w:bCs w:val="1"/>
          <w:color w:val="auto"/>
        </w:rPr>
        <w:t>ADDRESS FOR CORRESPONDENCE</w:t>
      </w:r>
    </w:p>
    <w:p>
      <w:pPr>
        <w:spacing w:after="0" w:line="27" w:lineRule="exact"/>
        <w:rPr>
          <w:sz w:val="20"/>
          <w:szCs w:val="20"/>
          <w:color w:val="auto"/>
        </w:rPr>
      </w:pPr>
    </w:p>
    <w:p>
      <w:pPr>
        <w:ind w:left="5460"/>
        <w:spacing w:after="0"/>
        <w:rPr>
          <w:sz w:val="20"/>
          <w:szCs w:val="20"/>
          <w:color w:val="auto"/>
        </w:rPr>
      </w:pPr>
      <w:r>
        <w:rPr>
          <w:rFonts w:ascii="Arial" w:cs="Arial" w:eastAsia="Arial" w:hAnsi="Arial"/>
          <w:sz w:val="22"/>
          <w:szCs w:val="22"/>
          <w:b w:val="1"/>
          <w:bCs w:val="1"/>
          <w:color w:val="auto"/>
        </w:rPr>
        <w:t>Galyna Yeryomenko</w:t>
      </w:r>
    </w:p>
    <w:p>
      <w:pPr>
        <w:ind w:left="5460"/>
        <w:spacing w:after="0"/>
        <w:rPr>
          <w:sz w:val="20"/>
          <w:szCs w:val="20"/>
          <w:color w:val="auto"/>
        </w:rPr>
      </w:pPr>
      <w:r>
        <w:rPr>
          <w:rFonts w:ascii="Arial" w:cs="Arial" w:eastAsia="Arial" w:hAnsi="Arial"/>
          <w:sz w:val="16"/>
          <w:szCs w:val="16"/>
          <w:color w:val="auto"/>
        </w:rPr>
        <w:t>4 Nauky Avenue, Kharkiv, 61022, Ukraine</w:t>
      </w:r>
    </w:p>
    <w:p>
      <w:pPr>
        <w:spacing w:after="0" w:line="43" w:lineRule="exact"/>
        <w:rPr>
          <w:sz w:val="20"/>
          <w:szCs w:val="20"/>
          <w:color w:val="auto"/>
        </w:rPr>
      </w:pPr>
    </w:p>
    <w:p>
      <w:pPr>
        <w:ind w:left="5460"/>
        <w:spacing w:after="0"/>
        <w:rPr>
          <w:sz w:val="20"/>
          <w:szCs w:val="20"/>
          <w:color w:val="auto"/>
        </w:rPr>
      </w:pPr>
      <w:r>
        <w:rPr>
          <w:rFonts w:ascii="Arial" w:cs="Arial" w:eastAsia="Arial" w:hAnsi="Arial"/>
          <w:sz w:val="22"/>
          <w:szCs w:val="22"/>
          <w:color w:val="auto"/>
        </w:rPr>
        <w:t>tel: +380666485213</w:t>
      </w:r>
    </w:p>
    <w:p>
      <w:pPr>
        <w:ind w:left="5460"/>
        <w:spacing w:after="0"/>
        <w:rPr>
          <w:sz w:val="20"/>
          <w:szCs w:val="20"/>
          <w:color w:val="auto"/>
        </w:rPr>
      </w:pPr>
      <w:r>
        <w:rPr>
          <w:rFonts w:ascii="Arial" w:cs="Arial" w:eastAsia="Arial" w:hAnsi="Arial"/>
          <w:sz w:val="22"/>
          <w:szCs w:val="22"/>
          <w:color w:val="auto"/>
        </w:rPr>
        <w:t>e-mail: galyna0512@ukr.net</w:t>
      </w:r>
    </w:p>
    <w:p>
      <w:pPr>
        <w:spacing w:after="0" w:line="209" w:lineRule="exact"/>
        <w:rPr>
          <w:sz w:val="20"/>
          <w:szCs w:val="20"/>
          <w:color w:val="auto"/>
        </w:rPr>
      </w:pPr>
    </w:p>
    <w:p>
      <w:pPr>
        <w:ind w:left="5460"/>
        <w:spacing w:after="0"/>
        <w:rPr>
          <w:sz w:val="20"/>
          <w:szCs w:val="20"/>
          <w:color w:val="auto"/>
        </w:rPr>
      </w:pPr>
      <w:r>
        <w:rPr>
          <w:rFonts w:ascii="Arial" w:cs="Arial" w:eastAsia="Arial" w:hAnsi="Arial"/>
          <w:sz w:val="22"/>
          <w:szCs w:val="22"/>
          <w:b w:val="1"/>
          <w:bCs w:val="1"/>
          <w:color w:val="auto"/>
        </w:rPr>
        <w:t xml:space="preserve">Received: </w:t>
      </w:r>
      <w:r>
        <w:rPr>
          <w:rFonts w:ascii="Arial" w:cs="Arial" w:eastAsia="Arial" w:hAnsi="Arial"/>
          <w:sz w:val="22"/>
          <w:szCs w:val="22"/>
          <w:color w:val="auto"/>
        </w:rPr>
        <w:t>20.02.2018</w:t>
      </w:r>
    </w:p>
    <w:p>
      <w:pPr>
        <w:ind w:left="5460"/>
        <w:spacing w:after="0"/>
        <w:rPr>
          <w:sz w:val="20"/>
          <w:szCs w:val="20"/>
          <w:color w:val="auto"/>
        </w:rPr>
      </w:pPr>
      <w:r>
        <w:rPr>
          <w:rFonts w:ascii="Arial" w:cs="Arial" w:eastAsia="Arial" w:hAnsi="Arial"/>
          <w:sz w:val="22"/>
          <w:szCs w:val="22"/>
          <w:b w:val="1"/>
          <w:bCs w:val="1"/>
          <w:color w:val="auto"/>
        </w:rPr>
        <w:t xml:space="preserve">Accepted: </w:t>
      </w:r>
      <w:r>
        <w:rPr>
          <w:rFonts w:ascii="Arial" w:cs="Arial" w:eastAsia="Arial" w:hAnsi="Arial"/>
          <w:sz w:val="22"/>
          <w:szCs w:val="22"/>
          <w:color w:val="auto"/>
        </w:rPr>
        <w:t>10.04.2018</w:t>
      </w:r>
    </w:p>
    <w:p>
      <w:pPr>
        <w:sectPr>
          <w:pgSz w:w="11620" w:h="16157" w:orient="portrait"/>
          <w:cols w:equalWidth="0" w:num="1">
            <w:col w:w="10100"/>
          </w:cols>
          <w:pgMar w:left="740" w:top="668" w:right="782"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9"/>
          <w:szCs w:val="19"/>
          <w:color w:val="auto"/>
        </w:rPr>
        <w:t>332</w:t>
      </w:r>
    </w:p>
    <w:sectPr>
      <w:pgSz w:w="11620" w:h="16157" w:orient="portrait"/>
      <w:cols w:equalWidth="0" w:num="1">
        <w:col w:w="10100"/>
      </w:cols>
      <w:pgMar w:left="740" w:top="668" w:right="782"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2"/>
    </w:lvl>
  </w:abstractNum>
  <w:abstractNum w:abstractNumId="1">
    <w:nsid w:val="625558EC"/>
    <w:multiLevelType w:val="hybridMultilevel"/>
    <w:lvl w:ilvl="0">
      <w:lvlJc w:val="left"/>
      <w:lvlText w:val="%1)"/>
      <w:numFmt w:val="decimal"/>
      <w:start w:val="36"/>
    </w:lvl>
  </w:abstractNum>
  <w:abstractNum w:abstractNumId="2">
    <w:nsid w:val="238E1F29"/>
    <w:multiLevelType w:val="hybridMultilevel"/>
    <w:lvl w:ilvl="0">
      <w:lvlJc w:val="left"/>
      <w:lvlText w:val="[%1]."/>
      <w:numFmt w:val="decimal"/>
      <w:start w:val="16"/>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1."/>
      <w:numFmt w:val="decimal"/>
      <w:start w:val="10"/>
    </w:lvl>
  </w:abstractNum>
  <w:abstractNum w:abstractNumId="5">
    <w:nsid w:val="507ED7AB"/>
    <w:multiLevelType w:val="hybridMultilevel"/>
    <w:lvl w:ilvl="0">
      <w:lvlJc w:val="left"/>
      <w:lvlText w:val="%1."/>
      <w:numFmt w:val="decimal"/>
      <w:start w:val="16"/>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2018-11-08T03:56:05Z</dcterms:created>
  <dcterms:modified xsi:type="dcterms:W3CDTF">2018-11-08T03:56:05Z</dcterms:modified>
</cp:coreProperties>
</file>