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387" w:rsidRDefault="00695BB3">
      <w:pPr>
        <w:ind w:left="7820"/>
        <w:rPr>
          <w:sz w:val="20"/>
          <w:szCs w:val="20"/>
        </w:rPr>
      </w:pPr>
      <w:bookmarkStart w:id="0" w:name="page1"/>
      <w:bookmarkEnd w:id="0"/>
      <w:r>
        <w:rPr>
          <w:rFonts w:eastAsia="Times New Roman"/>
          <w:sz w:val="26"/>
          <w:szCs w:val="26"/>
        </w:rPr>
        <w:t>ISSN 2307-3373</w:t>
      </w:r>
    </w:p>
    <w:p w:rsidR="00514387" w:rsidRDefault="00514387">
      <w:pPr>
        <w:spacing w:line="278" w:lineRule="exact"/>
        <w:rPr>
          <w:sz w:val="24"/>
          <w:szCs w:val="24"/>
        </w:rPr>
      </w:pPr>
    </w:p>
    <w:p w:rsidR="00514387" w:rsidRDefault="00695BB3">
      <w:pPr>
        <w:spacing w:line="257" w:lineRule="auto"/>
        <w:ind w:left="1320" w:right="7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19"/>
          <w:szCs w:val="19"/>
        </w:rPr>
        <w:t xml:space="preserve">НАЦІОНАЛЬНА АКАДЕМІЯ МЕДИЧНИХ НАУК УКРАЇНИ ДЕРЖАВНА УСТАНОВА «НАЦІОНАЛЬНИЙ ІНСТИТУТ ФТИЗІАТРІЇ І ПУЛЬМОНОЛОГІЇ ІМ. Ф.Г. ЯНОВСЬКОГО НАЦІОНАЛЬНОЇ АКАДЕМІЇ МЕДИЧНИХ НАУК УКРАЇНИ» АСОЦІАЦІЯ СПЕЦІАЛІСТІВ З ПРОБЛЕМ БРОНХІАЛЬНОЇ АСТМИ ТА АЛЕРГІЇ </w:t>
      </w:r>
      <w:r>
        <w:rPr>
          <w:rFonts w:eastAsia="Times New Roman"/>
          <w:b/>
          <w:bCs/>
          <w:sz w:val="19"/>
          <w:szCs w:val="19"/>
        </w:rPr>
        <w:t>УКРАЇНИ МІНІСТЕРСТВО ОХОРОНИ ЗДОРОВ’Я УКРАЇНИ</w:t>
      </w:r>
    </w:p>
    <w:p w:rsidR="00514387" w:rsidRDefault="00514387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" o:spid="_x0000_s1026" style="position:absolute;z-index:251622912;visibility:visible;mso-wrap-distance-left:0;mso-wrap-distance-right:0" from="-.3pt,7.1pt" to="481.55pt,7.1pt" o:allowincell="f" strokeweight="2pt"/>
        </w:pict>
      </w:r>
      <w:r>
        <w:rPr>
          <w:sz w:val="24"/>
          <w:szCs w:val="24"/>
        </w:rPr>
        <w:pict>
          <v:line id="Shape 2" o:spid="_x0000_s1027" style="position:absolute;z-index:251623936;visibility:visible;mso-wrap-distance-left:0;mso-wrap-distance-right:0" from="-.3pt,9.75pt" to="481.55pt,9.75pt" o:allowincell="f" strokeweight=".23567mm"/>
        </w:pict>
      </w:r>
    </w:p>
    <w:p w:rsidR="00514387" w:rsidRDefault="00514387">
      <w:pPr>
        <w:spacing w:line="247" w:lineRule="exact"/>
        <w:rPr>
          <w:sz w:val="24"/>
          <w:szCs w:val="24"/>
        </w:rPr>
      </w:pPr>
    </w:p>
    <w:p w:rsidR="00514387" w:rsidRDefault="00695BB3">
      <w:pPr>
        <w:ind w:right="-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АСТМА ТА АЛЕРГІЯ</w:t>
      </w:r>
    </w:p>
    <w:p w:rsidR="00514387" w:rsidRDefault="00695BB3">
      <w:pPr>
        <w:tabs>
          <w:tab w:val="left" w:pos="7220"/>
        </w:tabs>
        <w:ind w:left="20"/>
        <w:rPr>
          <w:sz w:val="20"/>
          <w:szCs w:val="20"/>
        </w:rPr>
      </w:pPr>
      <w:r>
        <w:rPr>
          <w:rFonts w:eastAsia="Times New Roman"/>
          <w:b/>
          <w:bCs/>
          <w:sz w:val="19"/>
          <w:szCs w:val="19"/>
        </w:rPr>
        <w:t>Науково-практичний журнал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18"/>
          <w:szCs w:val="18"/>
        </w:rPr>
        <w:t>Січень–Березень № 1 • 2018</w:t>
      </w:r>
    </w:p>
    <w:p w:rsidR="00514387" w:rsidRDefault="00514387">
      <w:pPr>
        <w:spacing w:line="19" w:lineRule="exact"/>
        <w:rPr>
          <w:sz w:val="24"/>
          <w:szCs w:val="24"/>
        </w:rPr>
      </w:pPr>
    </w:p>
    <w:p w:rsidR="00514387" w:rsidRDefault="00695BB3">
      <w:pPr>
        <w:ind w:left="20"/>
        <w:rPr>
          <w:sz w:val="20"/>
          <w:szCs w:val="20"/>
        </w:rPr>
      </w:pPr>
      <w:r>
        <w:rPr>
          <w:rFonts w:eastAsia="Times New Roman"/>
          <w:sz w:val="18"/>
          <w:szCs w:val="18"/>
        </w:rPr>
        <w:t>Рекомендовано Президією ВАК України, протокол №1–05/6 від 12.06.2002 р.</w:t>
      </w:r>
    </w:p>
    <w:p w:rsidR="00514387" w:rsidRDefault="00514387">
      <w:pPr>
        <w:spacing w:line="81" w:lineRule="exact"/>
        <w:rPr>
          <w:sz w:val="24"/>
          <w:szCs w:val="24"/>
        </w:rPr>
      </w:pPr>
    </w:p>
    <w:p w:rsidR="00514387" w:rsidRDefault="00695BB3">
      <w:pPr>
        <w:spacing w:line="242" w:lineRule="auto"/>
        <w:ind w:left="20"/>
        <w:rPr>
          <w:sz w:val="20"/>
          <w:szCs w:val="20"/>
        </w:rPr>
      </w:pPr>
      <w:r>
        <w:rPr>
          <w:rFonts w:eastAsia="Times New Roman"/>
          <w:sz w:val="18"/>
          <w:szCs w:val="18"/>
        </w:rPr>
        <w:t>Включений до Переліку наукових фахових видань України відповід</w:t>
      </w:r>
      <w:r>
        <w:rPr>
          <w:rFonts w:eastAsia="Times New Roman"/>
          <w:sz w:val="18"/>
          <w:szCs w:val="18"/>
        </w:rPr>
        <w:t>но до наказу Міністерства освіти і науки України від 15.04.2014 р. № 455.</w:t>
      </w:r>
    </w:p>
    <w:p w:rsidR="00514387" w:rsidRDefault="00514387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3" o:spid="_x0000_s1028" style="position:absolute;z-index:251624960;visibility:visible;mso-wrap-distance-left:0;mso-wrap-distance-right:0" from="-.3pt,7.55pt" to="481.55pt,7.55pt" o:allowincell="f" strokeweight="2pt"/>
        </w:pict>
      </w:r>
      <w:r>
        <w:rPr>
          <w:sz w:val="24"/>
          <w:szCs w:val="24"/>
        </w:rPr>
        <w:pict>
          <v:line id="Shape 4" o:spid="_x0000_s1029" style="position:absolute;z-index:251625984;visibility:visible;mso-wrap-distance-left:0;mso-wrap-distance-right:0" from="-.3pt,10.2pt" to="481.55pt,10.2pt" o:allowincell="f" strokeweight=".23567mm"/>
        </w:pict>
      </w:r>
    </w:p>
    <w:p w:rsidR="00514387" w:rsidRDefault="00514387">
      <w:pPr>
        <w:spacing w:line="392" w:lineRule="exact"/>
        <w:rPr>
          <w:sz w:val="24"/>
          <w:szCs w:val="24"/>
        </w:rPr>
      </w:pPr>
    </w:p>
    <w:p w:rsidR="00514387" w:rsidRDefault="00695BB3">
      <w:pPr>
        <w:spacing w:line="248" w:lineRule="auto"/>
        <w:ind w:left="2720" w:right="2480" w:hanging="2711"/>
        <w:rPr>
          <w:sz w:val="20"/>
          <w:szCs w:val="20"/>
        </w:rPr>
      </w:pPr>
      <w:r>
        <w:rPr>
          <w:rFonts w:eastAsia="Times New Roman"/>
          <w:b/>
          <w:bCs/>
          <w:sz w:val="17"/>
          <w:szCs w:val="17"/>
        </w:rPr>
        <w:t xml:space="preserve">Головний редактор – </w:t>
      </w:r>
      <w:r>
        <w:rPr>
          <w:rFonts w:eastAsia="Times New Roman"/>
          <w:b/>
          <w:bCs/>
          <w:sz w:val="16"/>
          <w:szCs w:val="16"/>
        </w:rPr>
        <w:t>Яшина Л.О.</w:t>
      </w:r>
      <w:r>
        <w:rPr>
          <w:rFonts w:eastAsia="Times New Roman"/>
          <w:i/>
          <w:iCs/>
          <w:sz w:val="16"/>
          <w:szCs w:val="16"/>
        </w:rPr>
        <w:t>, д-р мед. наук, професор, завідувач відділенням діагностики,</w:t>
      </w:r>
      <w:r>
        <w:rPr>
          <w:rFonts w:eastAsia="Times New Roman"/>
          <w:b/>
          <w:bCs/>
          <w:sz w:val="17"/>
          <w:szCs w:val="17"/>
        </w:rPr>
        <w:t xml:space="preserve"> </w:t>
      </w:r>
      <w:r>
        <w:rPr>
          <w:rFonts w:eastAsia="Times New Roman"/>
          <w:i/>
          <w:iCs/>
          <w:sz w:val="16"/>
          <w:szCs w:val="16"/>
        </w:rPr>
        <w:t>терапії і клінічної фармакології захворювань легень</w:t>
      </w:r>
    </w:p>
    <w:p w:rsidR="00514387" w:rsidRDefault="00695BB3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18816" behindDoc="1" locked="0" layoutInCell="0" allowOverlap="1">
            <wp:simplePos x="0" y="0"/>
            <wp:positionH relativeFrom="column">
              <wp:posOffset>4737735</wp:posOffset>
            </wp:positionH>
            <wp:positionV relativeFrom="paragraph">
              <wp:posOffset>-61595</wp:posOffset>
            </wp:positionV>
            <wp:extent cx="1617980" cy="101536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0" cy="1015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4387" w:rsidRDefault="00514387">
      <w:pPr>
        <w:spacing w:line="75" w:lineRule="exact"/>
        <w:rPr>
          <w:sz w:val="24"/>
          <w:szCs w:val="24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b/>
          <w:bCs/>
          <w:sz w:val="19"/>
          <w:szCs w:val="19"/>
        </w:rPr>
        <w:t>Редакційна колегія:</w:t>
      </w:r>
    </w:p>
    <w:p w:rsidR="00514387" w:rsidRDefault="00514387">
      <w:pPr>
        <w:spacing w:line="29" w:lineRule="exact"/>
        <w:rPr>
          <w:sz w:val="24"/>
          <w:szCs w:val="24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sz w:val="18"/>
          <w:szCs w:val="18"/>
        </w:rPr>
        <w:t xml:space="preserve">Горовенко Н.Г. (Київ) — </w:t>
      </w:r>
      <w:r>
        <w:rPr>
          <w:rFonts w:eastAsia="Times New Roman"/>
          <w:i/>
          <w:iCs/>
          <w:sz w:val="18"/>
          <w:szCs w:val="18"/>
        </w:rPr>
        <w:t>заступник головного редактора</w:t>
      </w:r>
    </w:p>
    <w:p w:rsidR="00514387" w:rsidRDefault="00514387">
      <w:pPr>
        <w:spacing w:line="33" w:lineRule="exact"/>
        <w:rPr>
          <w:sz w:val="24"/>
          <w:szCs w:val="24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sz w:val="18"/>
          <w:szCs w:val="18"/>
        </w:rPr>
        <w:t xml:space="preserve">Заболотний Д.І. (Київ) — </w:t>
      </w:r>
      <w:r>
        <w:rPr>
          <w:rFonts w:eastAsia="Times New Roman"/>
          <w:i/>
          <w:iCs/>
          <w:sz w:val="18"/>
          <w:szCs w:val="18"/>
        </w:rPr>
        <w:t>заступник головного редактора</w:t>
      </w:r>
    </w:p>
    <w:p w:rsidR="00514387" w:rsidRDefault="00514387">
      <w:pPr>
        <w:spacing w:line="33" w:lineRule="exact"/>
        <w:rPr>
          <w:sz w:val="24"/>
          <w:szCs w:val="24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sz w:val="18"/>
          <w:szCs w:val="18"/>
        </w:rPr>
        <w:t xml:space="preserve">Гуменюк Г.Л. (Київ) — </w:t>
      </w:r>
      <w:r>
        <w:rPr>
          <w:rFonts w:eastAsia="Times New Roman"/>
          <w:i/>
          <w:iCs/>
          <w:sz w:val="18"/>
          <w:szCs w:val="18"/>
        </w:rPr>
        <w:t>відповідальний секретар</w:t>
      </w:r>
    </w:p>
    <w:p w:rsidR="00514387" w:rsidRDefault="00514387">
      <w:pPr>
        <w:spacing w:line="147" w:lineRule="exact"/>
        <w:rPr>
          <w:sz w:val="24"/>
          <w:szCs w:val="24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sz w:val="18"/>
          <w:szCs w:val="18"/>
        </w:rPr>
        <w:t xml:space="preserve">Антипкін Ю.Г. </w:t>
      </w:r>
      <w:r>
        <w:rPr>
          <w:rFonts w:eastAsia="Times New Roman"/>
          <w:i/>
          <w:iCs/>
          <w:sz w:val="18"/>
          <w:szCs w:val="18"/>
        </w:rPr>
        <w:t>(Київ)</w:t>
      </w:r>
      <w:r>
        <w:rPr>
          <w:rFonts w:eastAsia="Times New Roman"/>
          <w:sz w:val="18"/>
          <w:szCs w:val="18"/>
        </w:rPr>
        <w:t xml:space="preserve">, Бандрівська А.З. </w:t>
      </w:r>
      <w:r>
        <w:rPr>
          <w:rFonts w:eastAsia="Times New Roman"/>
          <w:i/>
          <w:iCs/>
          <w:sz w:val="18"/>
          <w:szCs w:val="18"/>
        </w:rPr>
        <w:t>(Львів)</w:t>
      </w:r>
      <w:r>
        <w:rPr>
          <w:rFonts w:eastAsia="Times New Roman"/>
          <w:sz w:val="18"/>
          <w:szCs w:val="18"/>
        </w:rPr>
        <w:t xml:space="preserve">, Барнс П. </w:t>
      </w:r>
      <w:r>
        <w:rPr>
          <w:rFonts w:eastAsia="Times New Roman"/>
          <w:i/>
          <w:iCs/>
          <w:sz w:val="18"/>
          <w:szCs w:val="18"/>
        </w:rPr>
        <w:t>(Лондон, Велика Британія)</w:t>
      </w:r>
      <w:r>
        <w:rPr>
          <w:rFonts w:eastAsia="Times New Roman"/>
          <w:sz w:val="18"/>
          <w:szCs w:val="18"/>
        </w:rPr>
        <w:t>,</w:t>
      </w:r>
    </w:p>
    <w:p w:rsidR="00514387" w:rsidRDefault="00514387">
      <w:pPr>
        <w:spacing w:line="13" w:lineRule="exact"/>
        <w:rPr>
          <w:sz w:val="24"/>
          <w:szCs w:val="24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sz w:val="18"/>
          <w:szCs w:val="18"/>
        </w:rPr>
        <w:t xml:space="preserve">Бойко Д.М. </w:t>
      </w:r>
      <w:r>
        <w:rPr>
          <w:rFonts w:eastAsia="Times New Roman"/>
          <w:i/>
          <w:iCs/>
          <w:sz w:val="18"/>
          <w:szCs w:val="18"/>
        </w:rPr>
        <w:t>(П</w:t>
      </w:r>
      <w:r>
        <w:rPr>
          <w:rFonts w:eastAsia="Times New Roman"/>
          <w:i/>
          <w:iCs/>
          <w:sz w:val="18"/>
          <w:szCs w:val="18"/>
        </w:rPr>
        <w:t>олтава)</w:t>
      </w:r>
      <w:r>
        <w:rPr>
          <w:rFonts w:eastAsia="Times New Roman"/>
          <w:sz w:val="18"/>
          <w:szCs w:val="18"/>
        </w:rPr>
        <w:t xml:space="preserve">, Гаврисюк В.К. </w:t>
      </w:r>
      <w:r>
        <w:rPr>
          <w:rFonts w:eastAsia="Times New Roman"/>
          <w:i/>
          <w:iCs/>
          <w:sz w:val="18"/>
          <w:szCs w:val="18"/>
        </w:rPr>
        <w:t>(Київ)</w:t>
      </w:r>
      <w:r>
        <w:rPr>
          <w:rFonts w:eastAsia="Times New Roman"/>
          <w:sz w:val="18"/>
          <w:szCs w:val="18"/>
        </w:rPr>
        <w:t xml:space="preserve">, Геппе Н.А. </w:t>
      </w:r>
      <w:r>
        <w:rPr>
          <w:rFonts w:eastAsia="Times New Roman"/>
          <w:i/>
          <w:iCs/>
          <w:sz w:val="18"/>
          <w:szCs w:val="18"/>
        </w:rPr>
        <w:t>(Москва, РФ)</w:t>
      </w:r>
      <w:r>
        <w:rPr>
          <w:rFonts w:eastAsia="Times New Roman"/>
          <w:sz w:val="18"/>
          <w:szCs w:val="18"/>
        </w:rPr>
        <w:t>,</w:t>
      </w:r>
    </w:p>
    <w:p w:rsidR="00514387" w:rsidRDefault="00514387">
      <w:pPr>
        <w:spacing w:line="24" w:lineRule="exact"/>
        <w:rPr>
          <w:sz w:val="24"/>
          <w:szCs w:val="24"/>
        </w:rPr>
      </w:pPr>
    </w:p>
    <w:p w:rsidR="00514387" w:rsidRDefault="00695BB3">
      <w:pPr>
        <w:spacing w:line="251" w:lineRule="auto"/>
        <w:ind w:right="1160"/>
        <w:rPr>
          <w:sz w:val="20"/>
          <w:szCs w:val="20"/>
        </w:rPr>
      </w:pPr>
      <w:r>
        <w:rPr>
          <w:rFonts w:eastAsia="Times New Roman"/>
          <w:sz w:val="18"/>
          <w:szCs w:val="18"/>
        </w:rPr>
        <w:t xml:space="preserve">Горячкіна Л.О. </w:t>
      </w:r>
      <w:r>
        <w:rPr>
          <w:rFonts w:eastAsia="Times New Roman"/>
          <w:i/>
          <w:iCs/>
          <w:sz w:val="18"/>
          <w:szCs w:val="18"/>
        </w:rPr>
        <w:t>(Москва, РФ)</w:t>
      </w:r>
      <w:r>
        <w:rPr>
          <w:rFonts w:eastAsia="Times New Roman"/>
          <w:sz w:val="18"/>
          <w:szCs w:val="18"/>
        </w:rPr>
        <w:t xml:space="preserve">, Гуменюк М.І. </w:t>
      </w:r>
      <w:r>
        <w:rPr>
          <w:rFonts w:eastAsia="Times New Roman"/>
          <w:i/>
          <w:iCs/>
          <w:sz w:val="18"/>
          <w:szCs w:val="18"/>
        </w:rPr>
        <w:t>(Київ)</w:t>
      </w:r>
      <w:r>
        <w:rPr>
          <w:rFonts w:eastAsia="Times New Roman"/>
          <w:sz w:val="18"/>
          <w:szCs w:val="18"/>
        </w:rPr>
        <w:t xml:space="preserve">, Дзюблик О.Я. </w:t>
      </w:r>
      <w:r>
        <w:rPr>
          <w:rFonts w:eastAsia="Times New Roman"/>
          <w:i/>
          <w:iCs/>
          <w:sz w:val="18"/>
          <w:szCs w:val="18"/>
        </w:rPr>
        <w:t>(Київ)</w:t>
      </w:r>
      <w:r>
        <w:rPr>
          <w:rFonts w:eastAsia="Times New Roman"/>
          <w:sz w:val="18"/>
          <w:szCs w:val="18"/>
        </w:rPr>
        <w:t xml:space="preserve">, Дитятківська Є.М. </w:t>
      </w:r>
      <w:r>
        <w:rPr>
          <w:rFonts w:eastAsia="Times New Roman"/>
          <w:i/>
          <w:iCs/>
          <w:sz w:val="18"/>
          <w:szCs w:val="18"/>
        </w:rPr>
        <w:t>(Дніпро)</w:t>
      </w:r>
      <w:r>
        <w:rPr>
          <w:rFonts w:eastAsia="Times New Roman"/>
          <w:sz w:val="18"/>
          <w:szCs w:val="18"/>
        </w:rPr>
        <w:t xml:space="preserve">, Зайков С.В. </w:t>
      </w:r>
      <w:r>
        <w:rPr>
          <w:rFonts w:eastAsia="Times New Roman"/>
          <w:i/>
          <w:iCs/>
          <w:sz w:val="18"/>
          <w:szCs w:val="18"/>
        </w:rPr>
        <w:t>(Київ)</w:t>
      </w:r>
      <w:r>
        <w:rPr>
          <w:rFonts w:eastAsia="Times New Roman"/>
          <w:sz w:val="18"/>
          <w:szCs w:val="18"/>
        </w:rPr>
        <w:t xml:space="preserve">, Калюжна Л.Д. </w:t>
      </w:r>
      <w:r>
        <w:rPr>
          <w:rFonts w:eastAsia="Times New Roman"/>
          <w:i/>
          <w:iCs/>
          <w:sz w:val="18"/>
          <w:szCs w:val="18"/>
        </w:rPr>
        <w:t>(Київ)</w:t>
      </w:r>
      <w:r>
        <w:rPr>
          <w:rFonts w:eastAsia="Times New Roman"/>
          <w:sz w:val="18"/>
          <w:szCs w:val="18"/>
        </w:rPr>
        <w:t xml:space="preserve">, Кужко М.М. </w:t>
      </w:r>
      <w:r>
        <w:rPr>
          <w:rFonts w:eastAsia="Times New Roman"/>
          <w:i/>
          <w:iCs/>
          <w:sz w:val="18"/>
          <w:szCs w:val="18"/>
        </w:rPr>
        <w:t>(Київ)</w:t>
      </w:r>
      <w:r>
        <w:rPr>
          <w:rFonts w:eastAsia="Times New Roman"/>
          <w:sz w:val="18"/>
          <w:szCs w:val="18"/>
        </w:rPr>
        <w:t xml:space="preserve">, Лемко І.С. </w:t>
      </w:r>
      <w:r>
        <w:rPr>
          <w:rFonts w:eastAsia="Times New Roman"/>
          <w:i/>
          <w:iCs/>
          <w:sz w:val="18"/>
          <w:szCs w:val="18"/>
        </w:rPr>
        <w:t>(Ужгород)</w:t>
      </w:r>
      <w:r>
        <w:rPr>
          <w:rFonts w:eastAsia="Times New Roman"/>
          <w:sz w:val="18"/>
          <w:szCs w:val="18"/>
        </w:rPr>
        <w:t xml:space="preserve">, Мельник В.М. </w:t>
      </w:r>
      <w:r>
        <w:rPr>
          <w:rFonts w:eastAsia="Times New Roman"/>
          <w:i/>
          <w:iCs/>
          <w:sz w:val="18"/>
          <w:szCs w:val="18"/>
        </w:rPr>
        <w:t>(Київ)</w:t>
      </w:r>
      <w:r>
        <w:rPr>
          <w:rFonts w:eastAsia="Times New Roman"/>
          <w:sz w:val="18"/>
          <w:szCs w:val="18"/>
        </w:rPr>
        <w:t xml:space="preserve">, Недєльська С.М. </w:t>
      </w:r>
      <w:r>
        <w:rPr>
          <w:rFonts w:eastAsia="Times New Roman"/>
          <w:i/>
          <w:iCs/>
          <w:sz w:val="18"/>
          <w:szCs w:val="18"/>
        </w:rPr>
        <w:t>(Запоріжжя)</w:t>
      </w:r>
      <w:r>
        <w:rPr>
          <w:rFonts w:eastAsia="Times New Roman"/>
          <w:sz w:val="18"/>
          <w:szCs w:val="18"/>
        </w:rPr>
        <w:t xml:space="preserve">, Охотнікова О.М. </w:t>
      </w:r>
      <w:r>
        <w:rPr>
          <w:rFonts w:eastAsia="Times New Roman"/>
          <w:i/>
          <w:iCs/>
          <w:sz w:val="18"/>
          <w:szCs w:val="18"/>
        </w:rPr>
        <w:t>(Київ)</w:t>
      </w:r>
      <w:r>
        <w:rPr>
          <w:rFonts w:eastAsia="Times New Roman"/>
          <w:sz w:val="18"/>
          <w:szCs w:val="18"/>
        </w:rPr>
        <w:t xml:space="preserve">, Перцева Т.О. </w:t>
      </w:r>
      <w:r>
        <w:rPr>
          <w:rFonts w:eastAsia="Times New Roman"/>
          <w:i/>
          <w:iCs/>
          <w:sz w:val="18"/>
          <w:szCs w:val="18"/>
        </w:rPr>
        <w:t>(Дніпро)</w:t>
      </w:r>
      <w:r>
        <w:rPr>
          <w:rFonts w:eastAsia="Times New Roman"/>
          <w:sz w:val="18"/>
          <w:szCs w:val="18"/>
        </w:rPr>
        <w:t xml:space="preserve">, Пухлик Б.М. </w:t>
      </w:r>
      <w:r>
        <w:rPr>
          <w:rFonts w:eastAsia="Times New Roman"/>
          <w:i/>
          <w:iCs/>
          <w:sz w:val="18"/>
          <w:szCs w:val="18"/>
        </w:rPr>
        <w:t>(Вінниця)</w:t>
      </w:r>
      <w:r>
        <w:rPr>
          <w:rFonts w:eastAsia="Times New Roman"/>
          <w:sz w:val="18"/>
          <w:szCs w:val="18"/>
        </w:rPr>
        <w:t xml:space="preserve">, Романюк Л.І. </w:t>
      </w:r>
      <w:r>
        <w:rPr>
          <w:rFonts w:eastAsia="Times New Roman"/>
          <w:i/>
          <w:iCs/>
          <w:sz w:val="18"/>
          <w:szCs w:val="18"/>
        </w:rPr>
        <w:t>(Київ)</w:t>
      </w:r>
      <w:r>
        <w:rPr>
          <w:rFonts w:eastAsia="Times New Roman"/>
          <w:sz w:val="18"/>
          <w:szCs w:val="18"/>
        </w:rPr>
        <w:t xml:space="preserve">, Рекалова О.М. </w:t>
      </w:r>
      <w:r>
        <w:rPr>
          <w:rFonts w:eastAsia="Times New Roman"/>
          <w:i/>
          <w:iCs/>
          <w:sz w:val="18"/>
          <w:szCs w:val="18"/>
        </w:rPr>
        <w:t>(Київ)</w:t>
      </w:r>
      <w:r>
        <w:rPr>
          <w:rFonts w:eastAsia="Times New Roman"/>
          <w:sz w:val="18"/>
          <w:szCs w:val="18"/>
        </w:rPr>
        <w:t xml:space="preserve">, Фещенко Ю.І. </w:t>
      </w:r>
      <w:r>
        <w:rPr>
          <w:rFonts w:eastAsia="Times New Roman"/>
          <w:i/>
          <w:iCs/>
          <w:sz w:val="18"/>
          <w:szCs w:val="18"/>
        </w:rPr>
        <w:t>(Київ)</w:t>
      </w:r>
      <w:r>
        <w:rPr>
          <w:rFonts w:eastAsia="Times New Roman"/>
          <w:sz w:val="18"/>
          <w:szCs w:val="18"/>
        </w:rPr>
        <w:t xml:space="preserve">, Харитонов С. </w:t>
      </w:r>
      <w:r>
        <w:rPr>
          <w:rFonts w:eastAsia="Times New Roman"/>
          <w:i/>
          <w:iCs/>
          <w:sz w:val="18"/>
          <w:szCs w:val="18"/>
        </w:rPr>
        <w:t>(Лондон, Велика Британія),</w:t>
      </w:r>
      <w:r>
        <w:rPr>
          <w:rFonts w:eastAsia="Times New Roman"/>
          <w:sz w:val="18"/>
          <w:szCs w:val="18"/>
        </w:rPr>
        <w:t xml:space="preserve"> Чопяк В.В. </w:t>
      </w:r>
      <w:r>
        <w:rPr>
          <w:rFonts w:eastAsia="Times New Roman"/>
          <w:i/>
          <w:iCs/>
          <w:sz w:val="18"/>
          <w:szCs w:val="18"/>
        </w:rPr>
        <w:t>(Львів)</w:t>
      </w:r>
      <w:r>
        <w:rPr>
          <w:rFonts w:eastAsia="Times New Roman"/>
          <w:sz w:val="18"/>
          <w:szCs w:val="18"/>
        </w:rPr>
        <w:t xml:space="preserve">, Чумак А.А. </w:t>
      </w:r>
      <w:r>
        <w:rPr>
          <w:rFonts w:eastAsia="Times New Roman"/>
          <w:i/>
          <w:iCs/>
          <w:sz w:val="18"/>
          <w:szCs w:val="18"/>
        </w:rPr>
        <w:t>(Київ)</w:t>
      </w:r>
      <w:r>
        <w:rPr>
          <w:rFonts w:eastAsia="Times New Roman"/>
          <w:sz w:val="18"/>
          <w:szCs w:val="18"/>
        </w:rPr>
        <w:t>, Юхимец</w:t>
      </w:r>
      <w:r>
        <w:rPr>
          <w:rFonts w:eastAsia="Times New Roman"/>
          <w:sz w:val="18"/>
          <w:szCs w:val="18"/>
        </w:rPr>
        <w:t xml:space="preserve">ь В.О. </w:t>
      </w:r>
      <w:r>
        <w:rPr>
          <w:rFonts w:eastAsia="Times New Roman"/>
          <w:i/>
          <w:iCs/>
          <w:sz w:val="18"/>
          <w:szCs w:val="18"/>
        </w:rPr>
        <w:t>(Київ)</w:t>
      </w:r>
    </w:p>
    <w:p w:rsidR="00514387" w:rsidRDefault="00514387">
      <w:pPr>
        <w:spacing w:line="117" w:lineRule="exact"/>
        <w:rPr>
          <w:sz w:val="24"/>
          <w:szCs w:val="24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b/>
          <w:bCs/>
          <w:sz w:val="19"/>
          <w:szCs w:val="19"/>
        </w:rPr>
        <w:t>Редакційна рада:</w:t>
      </w:r>
    </w:p>
    <w:p w:rsidR="00514387" w:rsidRDefault="00514387">
      <w:pPr>
        <w:spacing w:line="20" w:lineRule="exact"/>
        <w:rPr>
          <w:sz w:val="24"/>
          <w:szCs w:val="24"/>
        </w:rPr>
      </w:pPr>
    </w:p>
    <w:p w:rsidR="00514387" w:rsidRDefault="00695BB3">
      <w:pPr>
        <w:spacing w:line="248" w:lineRule="auto"/>
        <w:ind w:right="620"/>
        <w:rPr>
          <w:sz w:val="20"/>
          <w:szCs w:val="20"/>
        </w:rPr>
      </w:pPr>
      <w:r>
        <w:rPr>
          <w:rFonts w:eastAsia="Times New Roman"/>
          <w:sz w:val="18"/>
          <w:szCs w:val="18"/>
        </w:rPr>
        <w:t xml:space="preserve">Агафонова І.O. </w:t>
      </w:r>
      <w:r>
        <w:rPr>
          <w:rFonts w:eastAsia="Times New Roman"/>
          <w:i/>
          <w:iCs/>
          <w:sz w:val="18"/>
          <w:szCs w:val="18"/>
        </w:rPr>
        <w:t>(Дніпро)</w:t>
      </w:r>
      <w:r>
        <w:rPr>
          <w:rFonts w:eastAsia="Times New Roman"/>
          <w:sz w:val="18"/>
          <w:szCs w:val="18"/>
        </w:rPr>
        <w:t xml:space="preserve">, Бездєтко Т.В. </w:t>
      </w:r>
      <w:r>
        <w:rPr>
          <w:rFonts w:eastAsia="Times New Roman"/>
          <w:i/>
          <w:iCs/>
          <w:sz w:val="18"/>
          <w:szCs w:val="18"/>
        </w:rPr>
        <w:t>(Харків)</w:t>
      </w:r>
      <w:r>
        <w:rPr>
          <w:rFonts w:eastAsia="Times New Roman"/>
          <w:sz w:val="18"/>
          <w:szCs w:val="18"/>
        </w:rPr>
        <w:t xml:space="preserve">, Беш Л.В. </w:t>
      </w:r>
      <w:r>
        <w:rPr>
          <w:rFonts w:eastAsia="Times New Roman"/>
          <w:i/>
          <w:iCs/>
          <w:sz w:val="18"/>
          <w:szCs w:val="18"/>
        </w:rPr>
        <w:t>(Львів)</w:t>
      </w:r>
      <w:r>
        <w:rPr>
          <w:rFonts w:eastAsia="Times New Roman"/>
          <w:sz w:val="18"/>
          <w:szCs w:val="18"/>
        </w:rPr>
        <w:t xml:space="preserve">, Коваленко В.М. </w:t>
      </w:r>
      <w:r>
        <w:rPr>
          <w:rFonts w:eastAsia="Times New Roman"/>
          <w:i/>
          <w:iCs/>
          <w:sz w:val="18"/>
          <w:szCs w:val="18"/>
        </w:rPr>
        <w:t>(Київ)</w:t>
      </w:r>
      <w:r>
        <w:rPr>
          <w:rFonts w:eastAsia="Times New Roman"/>
          <w:sz w:val="18"/>
          <w:szCs w:val="18"/>
        </w:rPr>
        <w:t xml:space="preserve">, Косенкова А.С. </w:t>
      </w:r>
      <w:r>
        <w:rPr>
          <w:rFonts w:eastAsia="Times New Roman"/>
          <w:i/>
          <w:iCs/>
          <w:sz w:val="18"/>
          <w:szCs w:val="18"/>
        </w:rPr>
        <w:t>(Одеса)</w:t>
      </w:r>
      <w:r>
        <w:rPr>
          <w:rFonts w:eastAsia="Times New Roman"/>
          <w:sz w:val="18"/>
          <w:szCs w:val="18"/>
        </w:rPr>
        <w:t xml:space="preserve">, Крахмалова О.О. </w:t>
      </w:r>
      <w:r>
        <w:rPr>
          <w:rFonts w:eastAsia="Times New Roman"/>
          <w:i/>
          <w:iCs/>
          <w:sz w:val="18"/>
          <w:szCs w:val="18"/>
        </w:rPr>
        <w:t>(Харків)</w:t>
      </w:r>
      <w:r>
        <w:rPr>
          <w:rFonts w:eastAsia="Times New Roman"/>
          <w:sz w:val="18"/>
          <w:szCs w:val="18"/>
        </w:rPr>
        <w:t xml:space="preserve">, Кусс Е.Л. </w:t>
      </w:r>
      <w:r>
        <w:rPr>
          <w:rFonts w:eastAsia="Times New Roman"/>
          <w:i/>
          <w:iCs/>
          <w:sz w:val="18"/>
          <w:szCs w:val="18"/>
        </w:rPr>
        <w:t>(Миколаїв)</w:t>
      </w:r>
      <w:r>
        <w:rPr>
          <w:rFonts w:eastAsia="Times New Roman"/>
          <w:sz w:val="18"/>
          <w:szCs w:val="18"/>
        </w:rPr>
        <w:t xml:space="preserve">, Лисенко І.В. </w:t>
      </w:r>
      <w:r>
        <w:rPr>
          <w:rFonts w:eastAsia="Times New Roman"/>
          <w:i/>
          <w:iCs/>
          <w:sz w:val="18"/>
          <w:szCs w:val="18"/>
        </w:rPr>
        <w:t>(Запоріжжя)</w:t>
      </w:r>
      <w:r>
        <w:rPr>
          <w:rFonts w:eastAsia="Times New Roman"/>
          <w:sz w:val="18"/>
          <w:szCs w:val="18"/>
        </w:rPr>
        <w:t xml:space="preserve">, Мостовий Ю.М. </w:t>
      </w:r>
      <w:r>
        <w:rPr>
          <w:rFonts w:eastAsia="Times New Roman"/>
          <w:i/>
          <w:iCs/>
          <w:sz w:val="18"/>
          <w:szCs w:val="18"/>
        </w:rPr>
        <w:t>(Вінниця)</w:t>
      </w:r>
      <w:r>
        <w:rPr>
          <w:rFonts w:eastAsia="Times New Roman"/>
          <w:sz w:val="18"/>
          <w:szCs w:val="18"/>
        </w:rPr>
        <w:t>, Пухлик С.М</w:t>
      </w:r>
      <w:r>
        <w:rPr>
          <w:rFonts w:eastAsia="Times New Roman"/>
          <w:sz w:val="18"/>
          <w:szCs w:val="18"/>
        </w:rPr>
        <w:t xml:space="preserve">. </w:t>
      </w:r>
      <w:r>
        <w:rPr>
          <w:rFonts w:eastAsia="Times New Roman"/>
          <w:i/>
          <w:iCs/>
          <w:sz w:val="18"/>
          <w:szCs w:val="18"/>
        </w:rPr>
        <w:t>(Одеса)</w:t>
      </w:r>
      <w:r>
        <w:rPr>
          <w:rFonts w:eastAsia="Times New Roman"/>
          <w:sz w:val="18"/>
          <w:szCs w:val="18"/>
        </w:rPr>
        <w:t xml:space="preserve">, Речкіна О.О. </w:t>
      </w:r>
      <w:r>
        <w:rPr>
          <w:rFonts w:eastAsia="Times New Roman"/>
          <w:i/>
          <w:iCs/>
          <w:sz w:val="18"/>
          <w:szCs w:val="18"/>
        </w:rPr>
        <w:t>(Київ)</w:t>
      </w:r>
      <w:r>
        <w:rPr>
          <w:rFonts w:eastAsia="Times New Roman"/>
          <w:sz w:val="18"/>
          <w:szCs w:val="18"/>
        </w:rPr>
        <w:t xml:space="preserve">, Садовник О.М. </w:t>
      </w:r>
      <w:r>
        <w:rPr>
          <w:rFonts w:eastAsia="Times New Roman"/>
          <w:i/>
          <w:iCs/>
          <w:sz w:val="18"/>
          <w:szCs w:val="18"/>
        </w:rPr>
        <w:t>(Полтава)</w:t>
      </w:r>
    </w:p>
    <w:p w:rsidR="00514387" w:rsidRDefault="00514387">
      <w:pPr>
        <w:spacing w:line="154" w:lineRule="exact"/>
        <w:rPr>
          <w:sz w:val="24"/>
          <w:szCs w:val="24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Адреса редколегії:</w:t>
      </w:r>
    </w:p>
    <w:p w:rsidR="00514387" w:rsidRDefault="00514387">
      <w:pPr>
        <w:spacing w:line="22" w:lineRule="exact"/>
        <w:rPr>
          <w:sz w:val="24"/>
          <w:szCs w:val="24"/>
        </w:rPr>
      </w:pPr>
    </w:p>
    <w:p w:rsidR="00514387" w:rsidRDefault="00695BB3">
      <w:pPr>
        <w:spacing w:line="242" w:lineRule="auto"/>
        <w:ind w:right="20"/>
        <w:rPr>
          <w:sz w:val="20"/>
          <w:szCs w:val="20"/>
        </w:rPr>
      </w:pPr>
      <w:r>
        <w:rPr>
          <w:rFonts w:eastAsia="Times New Roman"/>
          <w:sz w:val="16"/>
          <w:szCs w:val="16"/>
        </w:rPr>
        <w:t xml:space="preserve">вул. М. Амосова, 10, м. Київ, 03038; ДУ «Національний інститут фтизіатрії і пульмонології ім. Ф.Г. Яновського НАМН України», журнал «Астма та алергія»; тел.: +38 (044) 275-62-42, </w:t>
      </w:r>
      <w:r>
        <w:rPr>
          <w:rFonts w:eastAsia="Times New Roman"/>
          <w:sz w:val="16"/>
          <w:szCs w:val="16"/>
        </w:rPr>
        <w:t>тел./факс: +38 (044) 275-05-68; e-mail: gumenuk@ifp.kiev.ua, diagnost@ifp.kiev.ua</w:t>
      </w:r>
    </w:p>
    <w:p w:rsidR="00514387" w:rsidRDefault="00514387">
      <w:pPr>
        <w:spacing w:line="75" w:lineRule="exact"/>
        <w:rPr>
          <w:sz w:val="24"/>
          <w:szCs w:val="24"/>
        </w:rPr>
      </w:pPr>
    </w:p>
    <w:p w:rsidR="00514387" w:rsidRDefault="00695BB3">
      <w:pPr>
        <w:spacing w:line="245" w:lineRule="auto"/>
        <w:ind w:right="224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 xml:space="preserve">Засновники: </w:t>
      </w:r>
      <w:r>
        <w:rPr>
          <w:rFonts w:eastAsia="Times New Roman"/>
          <w:sz w:val="16"/>
          <w:szCs w:val="16"/>
        </w:rPr>
        <w:t>ДУ «Національний інститут фтизіатрії і пульмонології ім. Ф.Г. Яновського НАМН України»;</w:t>
      </w:r>
      <w:r>
        <w:rPr>
          <w:rFonts w:eastAsia="Times New Roman"/>
          <w:b/>
          <w:bCs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>Асоціація спеціалістів з проблем бронхіальної астми та алергії України.</w:t>
      </w:r>
    </w:p>
    <w:p w:rsidR="00514387" w:rsidRDefault="00514387">
      <w:pPr>
        <w:spacing w:line="65" w:lineRule="exact"/>
        <w:rPr>
          <w:sz w:val="24"/>
          <w:szCs w:val="24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 xml:space="preserve">Видавець: </w:t>
      </w:r>
      <w:r>
        <w:rPr>
          <w:rFonts w:eastAsia="Times New Roman"/>
          <w:sz w:val="16"/>
          <w:szCs w:val="16"/>
        </w:rPr>
        <w:t>ТОВ «Медичний журнал «Клінічна імунологія. Алергологія. Інфектологія»</w:t>
      </w:r>
    </w:p>
    <w:p w:rsidR="00514387" w:rsidRDefault="00514387">
      <w:pPr>
        <w:spacing w:line="80" w:lineRule="exact"/>
        <w:rPr>
          <w:sz w:val="24"/>
          <w:szCs w:val="24"/>
        </w:rPr>
      </w:pPr>
    </w:p>
    <w:tbl>
      <w:tblPr>
        <w:tblW w:w="0" w:type="auto"/>
        <w:tblInd w:w="10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740"/>
        <w:gridCol w:w="4600"/>
      </w:tblGrid>
      <w:tr w:rsidR="00514387">
        <w:trPr>
          <w:trHeight w:val="184"/>
        </w:trPr>
        <w:tc>
          <w:tcPr>
            <w:tcW w:w="3740" w:type="dxa"/>
            <w:vAlign w:val="bottom"/>
          </w:tcPr>
          <w:p w:rsidR="00514387" w:rsidRDefault="00695BB3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 xml:space="preserve">Генеральний директор: </w:t>
            </w:r>
            <w:r>
              <w:rPr>
                <w:rFonts w:eastAsia="Times New Roman"/>
                <w:sz w:val="16"/>
                <w:szCs w:val="16"/>
              </w:rPr>
              <w:t>Анастасія Чаплиженко</w:t>
            </w:r>
          </w:p>
        </w:tc>
        <w:tc>
          <w:tcPr>
            <w:tcW w:w="4600" w:type="dxa"/>
            <w:vAlign w:val="bottom"/>
          </w:tcPr>
          <w:p w:rsidR="00514387" w:rsidRDefault="00695BB3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 xml:space="preserve">Відповідальний секретар: </w:t>
            </w:r>
            <w:r>
              <w:rPr>
                <w:rFonts w:eastAsia="Times New Roman"/>
                <w:sz w:val="16"/>
                <w:szCs w:val="16"/>
              </w:rPr>
              <w:t>Олена Білоконь</w:t>
            </w:r>
          </w:p>
        </w:tc>
      </w:tr>
      <w:tr w:rsidR="00514387">
        <w:trPr>
          <w:trHeight w:val="196"/>
        </w:trPr>
        <w:tc>
          <w:tcPr>
            <w:tcW w:w="3740" w:type="dxa"/>
            <w:vAlign w:val="bottom"/>
          </w:tcPr>
          <w:p w:rsidR="00514387" w:rsidRDefault="00695BB3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6"/>
                <w:sz w:val="16"/>
                <w:szCs w:val="16"/>
              </w:rPr>
              <w:t xml:space="preserve">Шеф-редактор: </w:t>
            </w:r>
            <w:r>
              <w:rPr>
                <w:rFonts w:eastAsia="Times New Roman"/>
                <w:w w:val="96"/>
                <w:sz w:val="16"/>
                <w:szCs w:val="16"/>
              </w:rPr>
              <w:t>Анна Артюх</w:t>
            </w:r>
            <w:r>
              <w:rPr>
                <w:rFonts w:eastAsia="Times New Roman"/>
                <w:i/>
                <w:iCs/>
                <w:w w:val="96"/>
                <w:sz w:val="16"/>
                <w:szCs w:val="16"/>
              </w:rPr>
              <w:t>, artyukh.kiai@gmail.com</w:t>
            </w:r>
          </w:p>
        </w:tc>
        <w:tc>
          <w:tcPr>
            <w:tcW w:w="4600" w:type="dxa"/>
            <w:vAlign w:val="bottom"/>
          </w:tcPr>
          <w:p w:rsidR="00514387" w:rsidRDefault="00695BB3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 xml:space="preserve">Дизайн/комп’ютерна верстка: </w:t>
            </w:r>
            <w:r>
              <w:rPr>
                <w:rFonts w:eastAsia="Times New Roman"/>
                <w:sz w:val="16"/>
                <w:szCs w:val="16"/>
              </w:rPr>
              <w:t>Тамара Музика</w:t>
            </w:r>
          </w:p>
        </w:tc>
      </w:tr>
      <w:tr w:rsidR="00514387">
        <w:trPr>
          <w:trHeight w:val="196"/>
        </w:trPr>
        <w:tc>
          <w:tcPr>
            <w:tcW w:w="3740" w:type="dxa"/>
            <w:vAlign w:val="bottom"/>
          </w:tcPr>
          <w:p w:rsidR="00514387" w:rsidRDefault="00695BB3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 xml:space="preserve">Медичний редактор: </w:t>
            </w:r>
            <w:r>
              <w:rPr>
                <w:rFonts w:eastAsia="Times New Roman"/>
                <w:sz w:val="16"/>
                <w:szCs w:val="16"/>
              </w:rPr>
              <w:t>Галина Гуменюк</w:t>
            </w:r>
          </w:p>
        </w:tc>
        <w:tc>
          <w:tcPr>
            <w:tcW w:w="4600" w:type="dxa"/>
            <w:vAlign w:val="bottom"/>
          </w:tcPr>
          <w:p w:rsidR="00514387" w:rsidRDefault="00695BB3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7"/>
                <w:sz w:val="16"/>
                <w:szCs w:val="16"/>
              </w:rPr>
              <w:t xml:space="preserve">Менеджер з реклами: </w:t>
            </w:r>
            <w:r>
              <w:rPr>
                <w:rFonts w:eastAsia="Times New Roman"/>
                <w:w w:val="97"/>
                <w:sz w:val="16"/>
                <w:szCs w:val="16"/>
              </w:rPr>
              <w:t>Катерина Панасевич</w:t>
            </w:r>
            <w:r>
              <w:rPr>
                <w:rFonts w:eastAsia="Times New Roman"/>
                <w:i/>
                <w:iCs/>
                <w:w w:val="97"/>
                <w:sz w:val="16"/>
                <w:szCs w:val="16"/>
              </w:rPr>
              <w:t>, panasevich@id-zu.com</w:t>
            </w:r>
          </w:p>
        </w:tc>
      </w:tr>
    </w:tbl>
    <w:p w:rsidR="00514387" w:rsidRDefault="00514387">
      <w:pPr>
        <w:spacing w:line="92" w:lineRule="exact"/>
        <w:rPr>
          <w:sz w:val="24"/>
          <w:szCs w:val="24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 xml:space="preserve">Фінансовий відділ: </w:t>
      </w:r>
      <w:r>
        <w:rPr>
          <w:rFonts w:eastAsia="Times New Roman"/>
          <w:sz w:val="16"/>
          <w:szCs w:val="16"/>
        </w:rPr>
        <w:t>+38 (044) 364-40-25</w:t>
      </w:r>
    </w:p>
    <w:p w:rsidR="00514387" w:rsidRDefault="00514387">
      <w:pPr>
        <w:spacing w:line="56" w:lineRule="exact"/>
        <w:rPr>
          <w:sz w:val="24"/>
          <w:szCs w:val="24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 xml:space="preserve">Відділ передплати та розповсюдження: </w:t>
      </w:r>
      <w:r>
        <w:rPr>
          <w:rFonts w:eastAsia="Times New Roman"/>
          <w:sz w:val="16"/>
          <w:szCs w:val="16"/>
        </w:rPr>
        <w:t>+38 (044) 364-40-29, peredplata.zu@gmail.com</w:t>
      </w:r>
    </w:p>
    <w:p w:rsidR="00514387" w:rsidRDefault="00514387">
      <w:pPr>
        <w:spacing w:line="56" w:lineRule="exact"/>
        <w:rPr>
          <w:sz w:val="24"/>
          <w:szCs w:val="24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 xml:space="preserve">Реєстраційне свідоцтво: </w:t>
      </w:r>
      <w:r>
        <w:rPr>
          <w:rFonts w:eastAsia="Times New Roman"/>
          <w:sz w:val="16"/>
          <w:szCs w:val="16"/>
        </w:rPr>
        <w:t xml:space="preserve">КВ № </w:t>
      </w:r>
      <w:r>
        <w:rPr>
          <w:rFonts w:eastAsia="Times New Roman"/>
          <w:sz w:val="16"/>
          <w:szCs w:val="16"/>
        </w:rPr>
        <w:t>2050910309ПР­ від 17.01.2014 р.</w:t>
      </w:r>
    </w:p>
    <w:p w:rsidR="00514387" w:rsidRDefault="00514387">
      <w:pPr>
        <w:spacing w:line="52" w:lineRule="exact"/>
        <w:rPr>
          <w:sz w:val="24"/>
          <w:szCs w:val="24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sz w:val="15"/>
          <w:szCs w:val="15"/>
        </w:rPr>
        <w:t>Статті прорецензовано.</w:t>
      </w:r>
    </w:p>
    <w:p w:rsidR="00514387" w:rsidRDefault="00514387">
      <w:pPr>
        <w:spacing w:line="7" w:lineRule="exact"/>
        <w:rPr>
          <w:sz w:val="24"/>
          <w:szCs w:val="24"/>
        </w:rPr>
      </w:pPr>
    </w:p>
    <w:p w:rsidR="00514387" w:rsidRDefault="00695BB3">
      <w:pPr>
        <w:spacing w:line="231" w:lineRule="auto"/>
        <w:ind w:right="940"/>
        <w:rPr>
          <w:sz w:val="20"/>
          <w:szCs w:val="20"/>
        </w:rPr>
      </w:pPr>
      <w:r>
        <w:rPr>
          <w:rFonts w:eastAsia="Times New Roman"/>
          <w:sz w:val="15"/>
          <w:szCs w:val="15"/>
        </w:rPr>
        <w:t xml:space="preserve">Рекомендовано до друку Вченою радою Державної установи «Національний інститут фтизіатрії і пульмонології ім. Ф.Г. Яновського Національної академії медичних наук України». Протокол № 4 від 27.03.2018 </w:t>
      </w:r>
      <w:r>
        <w:rPr>
          <w:rFonts w:eastAsia="Times New Roman"/>
          <w:sz w:val="15"/>
          <w:szCs w:val="15"/>
        </w:rPr>
        <w:t>р.</w:t>
      </w:r>
    </w:p>
    <w:p w:rsidR="00514387" w:rsidRDefault="00514387">
      <w:pPr>
        <w:spacing w:line="72" w:lineRule="exact"/>
        <w:rPr>
          <w:sz w:val="24"/>
          <w:szCs w:val="24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sz w:val="16"/>
          <w:szCs w:val="16"/>
        </w:rPr>
        <w:t>Підписано до друку 06.04.2018 р.</w:t>
      </w:r>
    </w:p>
    <w:p w:rsidR="00514387" w:rsidRDefault="00514387">
      <w:pPr>
        <w:spacing w:line="69" w:lineRule="exact"/>
        <w:rPr>
          <w:sz w:val="24"/>
          <w:szCs w:val="24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sz w:val="16"/>
          <w:szCs w:val="16"/>
        </w:rPr>
        <w:t>ТОВ «Прінтінг Індастрі». 01033, м. Київ, вул. Короленківська, 4.</w:t>
      </w:r>
    </w:p>
    <w:p w:rsidR="00514387" w:rsidRDefault="00514387">
      <w:pPr>
        <w:spacing w:line="69" w:lineRule="exact"/>
        <w:rPr>
          <w:sz w:val="24"/>
          <w:szCs w:val="24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sz w:val="16"/>
          <w:szCs w:val="16"/>
        </w:rPr>
        <w:t>Наклад – 2500 прим.</w:t>
      </w:r>
    </w:p>
    <w:p w:rsidR="00514387" w:rsidRDefault="00514387">
      <w:pPr>
        <w:spacing w:line="69" w:lineRule="exact"/>
        <w:rPr>
          <w:sz w:val="24"/>
          <w:szCs w:val="24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 xml:space="preserve">Адреса редакції: </w:t>
      </w:r>
      <w:r>
        <w:rPr>
          <w:rFonts w:eastAsia="Times New Roman"/>
          <w:sz w:val="16"/>
          <w:szCs w:val="16"/>
        </w:rPr>
        <w:t>вул. Механізаторів, 2, м. Київ, 03035; тел.: +38 (044) 364-40-­11</w:t>
      </w:r>
    </w:p>
    <w:p w:rsidR="00514387" w:rsidRDefault="00514387">
      <w:pPr>
        <w:spacing w:line="125" w:lineRule="exact"/>
        <w:rPr>
          <w:sz w:val="24"/>
          <w:szCs w:val="24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 xml:space="preserve">Електронна версія журналу </w:t>
      </w:r>
      <w:r>
        <w:rPr>
          <w:rFonts w:eastAsia="Times New Roman"/>
          <w:sz w:val="16"/>
          <w:szCs w:val="16"/>
        </w:rPr>
        <w:t xml:space="preserve">розміщується на </w:t>
      </w:r>
      <w:r>
        <w:rPr>
          <w:rFonts w:eastAsia="Times New Roman"/>
          <w:sz w:val="16"/>
          <w:szCs w:val="16"/>
        </w:rPr>
        <w:t>http://www.nbuv.gov.ua/portal/chem_biol/ata/index.html,</w:t>
      </w:r>
    </w:p>
    <w:p w:rsidR="00514387" w:rsidRDefault="00514387">
      <w:pPr>
        <w:spacing w:line="12" w:lineRule="exact"/>
        <w:rPr>
          <w:sz w:val="24"/>
          <w:szCs w:val="24"/>
        </w:rPr>
      </w:pPr>
    </w:p>
    <w:p w:rsidR="00514387" w:rsidRDefault="00695BB3">
      <w:pPr>
        <w:numPr>
          <w:ilvl w:val="0"/>
          <w:numId w:val="1"/>
        </w:numPr>
        <w:tabs>
          <w:tab w:val="left" w:pos="120"/>
        </w:tabs>
        <w:ind w:left="120" w:hanging="120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>також на офіційному webсайті­ НІФП НАМН: http://www.ifp.kiev.ua/doc/journals/aa_ukr.htm</w:t>
      </w:r>
    </w:p>
    <w:p w:rsidR="00514387" w:rsidRDefault="00514387">
      <w:pPr>
        <w:spacing w:line="19" w:lineRule="exact"/>
        <w:rPr>
          <w:rFonts w:eastAsia="Times New Roman"/>
          <w:sz w:val="16"/>
          <w:szCs w:val="16"/>
        </w:rPr>
      </w:pPr>
    </w:p>
    <w:p w:rsidR="00514387" w:rsidRDefault="00695BB3">
      <w:pPr>
        <w:spacing w:line="278" w:lineRule="auto"/>
        <w:ind w:right="4200"/>
        <w:rPr>
          <w:rFonts w:eastAsia="Times New Roman"/>
          <w:sz w:val="16"/>
          <w:szCs w:val="16"/>
        </w:rPr>
      </w:pPr>
      <w:r>
        <w:rPr>
          <w:rFonts w:eastAsia="Times New Roman"/>
          <w:b/>
          <w:bCs/>
          <w:sz w:val="15"/>
          <w:szCs w:val="15"/>
        </w:rPr>
        <w:t>Журнал зареєстровано у Міжнародній наукометричній системі Index Copernicus, індексується науковою інформаційно</w:t>
      </w:r>
      <w:r>
        <w:rPr>
          <w:rFonts w:eastAsia="Times New Roman"/>
          <w:b/>
          <w:bCs/>
          <w:sz w:val="15"/>
          <w:szCs w:val="15"/>
        </w:rPr>
        <w:t>ю системою Google Scholar.</w:t>
      </w:r>
    </w:p>
    <w:p w:rsidR="00514387" w:rsidRDefault="00695BB3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19840" behindDoc="1" locked="0" layoutInCell="0" allowOverlap="1">
            <wp:simplePos x="0" y="0"/>
            <wp:positionH relativeFrom="column">
              <wp:posOffset>5490845</wp:posOffset>
            </wp:positionH>
            <wp:positionV relativeFrom="paragraph">
              <wp:posOffset>-50165</wp:posOffset>
            </wp:positionV>
            <wp:extent cx="1311275" cy="13112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1311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4387" w:rsidRDefault="00514387">
      <w:pPr>
        <w:spacing w:line="13" w:lineRule="exact"/>
        <w:rPr>
          <w:sz w:val="24"/>
          <w:szCs w:val="24"/>
        </w:rPr>
      </w:pPr>
    </w:p>
    <w:p w:rsidR="00514387" w:rsidRDefault="00695BB3">
      <w:pPr>
        <w:spacing w:line="237" w:lineRule="auto"/>
        <w:ind w:right="920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Цілковите або часткове розмножування у будь-який спосіб матеріалів, опублікованих у цьому виданні, допускається лише з письмового дозволу редакції. Матеріали з позначкою</w:t>
      </w:r>
      <w:r>
        <w:rPr>
          <w:noProof/>
          <w:sz w:val="1"/>
          <w:szCs w:val="1"/>
        </w:rPr>
        <w:drawing>
          <wp:inline distT="0" distB="0" distL="0" distR="0">
            <wp:extent cx="84455" cy="666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14"/>
          <w:szCs w:val="14"/>
        </w:rPr>
        <w:t>публікуються на правах реклами. Позначка</w:t>
      </w:r>
      <w:r>
        <w:rPr>
          <w:noProof/>
          <w:sz w:val="1"/>
          <w:szCs w:val="1"/>
        </w:rPr>
        <w:drawing>
          <wp:inline distT="0" distB="0" distL="0" distR="0">
            <wp:extent cx="84455" cy="666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14"/>
          <w:szCs w:val="14"/>
        </w:rPr>
        <w:t>використовується для публікацій рекламного характеру, які містять інформацію про медичні лабораторії, послуги медичних клінік, медичну апаратуру, інше, у тому числі лікарські засоби, які не занесені до переліку заборонених для рекламування. Публікації з по</w:t>
      </w:r>
      <w:r>
        <w:rPr>
          <w:rFonts w:eastAsia="Times New Roman"/>
          <w:sz w:val="14"/>
          <w:szCs w:val="14"/>
        </w:rPr>
        <w:t xml:space="preserve">значкою </w:t>
      </w:r>
      <w:r>
        <w:rPr>
          <w:noProof/>
          <w:sz w:val="1"/>
          <w:szCs w:val="1"/>
        </w:rPr>
        <w:drawing>
          <wp:inline distT="0" distB="0" distL="0" distR="0">
            <wp:extent cx="60325" cy="6032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" cy="6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14"/>
          <w:szCs w:val="14"/>
        </w:rPr>
        <w:t xml:space="preserve"> містять інформацію про лікарські засоби і призначені для медичних та фармацевтичних працівників. Правовий режим інформації, викладеної у цьому виданні або наданої для розповсюдження на спеціалізованих заходах з медичної тематики, у першу чергу ви</w:t>
      </w:r>
      <w:r>
        <w:rPr>
          <w:rFonts w:eastAsia="Times New Roman"/>
          <w:sz w:val="14"/>
          <w:szCs w:val="14"/>
        </w:rPr>
        <w:t>значається Законом України від 04.04.1996 р. №123/96ВР­ «Про лікарські засоби». Відповідальність за зміст рекламних та інформаційних матеріалів несуть особи, які подали матеріали для розміщення у журналі. Передрук матеріалів дозволяється лише з дозволу ред</w:t>
      </w:r>
      <w:r>
        <w:rPr>
          <w:rFonts w:eastAsia="Times New Roman"/>
          <w:sz w:val="14"/>
          <w:szCs w:val="14"/>
        </w:rPr>
        <w:t>акції.</w:t>
      </w:r>
    </w:p>
    <w:p w:rsidR="00514387" w:rsidRDefault="00514387">
      <w:pPr>
        <w:spacing w:line="113" w:lineRule="exact"/>
        <w:rPr>
          <w:sz w:val="24"/>
          <w:szCs w:val="24"/>
        </w:rPr>
      </w:pPr>
    </w:p>
    <w:p w:rsidR="00514387" w:rsidRDefault="00695BB3">
      <w:pPr>
        <w:numPr>
          <w:ilvl w:val="0"/>
          <w:numId w:val="2"/>
        </w:numPr>
        <w:tabs>
          <w:tab w:val="left" w:pos="160"/>
        </w:tabs>
        <w:spacing w:line="224" w:lineRule="auto"/>
        <w:ind w:left="160" w:right="3500" w:hanging="160"/>
        <w:rPr>
          <w:rFonts w:eastAsia="Times New Roman"/>
          <w:sz w:val="15"/>
          <w:szCs w:val="15"/>
        </w:rPr>
      </w:pPr>
      <w:r>
        <w:rPr>
          <w:rFonts w:eastAsia="Times New Roman"/>
          <w:sz w:val="15"/>
          <w:szCs w:val="15"/>
        </w:rPr>
        <w:t>Державна установа «Національний інститут фтизіатрії і пульмонології ім. Ф.Г. Яновського Національної академії медичних наук України», 2018</w:t>
      </w:r>
    </w:p>
    <w:p w:rsidR="00514387" w:rsidRDefault="00514387">
      <w:pPr>
        <w:spacing w:line="46" w:lineRule="exact"/>
        <w:rPr>
          <w:sz w:val="24"/>
          <w:szCs w:val="24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sz w:val="15"/>
          <w:szCs w:val="15"/>
        </w:rPr>
        <w:t>© Асоціація спеціалістів з проблем бронхіальної астми та алергії України, 2018</w:t>
      </w:r>
    </w:p>
    <w:p w:rsidR="00514387" w:rsidRDefault="00514387">
      <w:pPr>
        <w:sectPr w:rsidR="00514387">
          <w:pgSz w:w="11900" w:h="16838"/>
          <w:pgMar w:top="555" w:right="1146" w:bottom="110" w:left="1140" w:header="0" w:footer="0" w:gutter="0"/>
          <w:cols w:space="720" w:equalWidth="0">
            <w:col w:w="9620"/>
          </w:cols>
        </w:sectPr>
      </w:pPr>
    </w:p>
    <w:p w:rsidR="00514387" w:rsidRDefault="00514387">
      <w:pPr>
        <w:spacing w:line="285" w:lineRule="exact"/>
        <w:rPr>
          <w:sz w:val="24"/>
          <w:szCs w:val="24"/>
        </w:rPr>
      </w:pPr>
    </w:p>
    <w:p w:rsidR="00514387" w:rsidRDefault="00695BB3">
      <w:pPr>
        <w:ind w:left="9520"/>
        <w:rPr>
          <w:sz w:val="20"/>
          <w:szCs w:val="20"/>
        </w:rPr>
      </w:pPr>
      <w:r>
        <w:rPr>
          <w:rFonts w:eastAsia="Times New Roman"/>
          <w:sz w:val="19"/>
          <w:szCs w:val="19"/>
        </w:rPr>
        <w:t>3</w:t>
      </w:r>
    </w:p>
    <w:p w:rsidR="00514387" w:rsidRDefault="00514387">
      <w:pPr>
        <w:sectPr w:rsidR="00514387">
          <w:type w:val="continuous"/>
          <w:pgSz w:w="11900" w:h="16838"/>
          <w:pgMar w:top="555" w:right="1146" w:bottom="110" w:left="1140" w:header="0" w:footer="0" w:gutter="0"/>
          <w:cols w:space="720" w:equalWidth="0">
            <w:col w:w="9620"/>
          </w:cols>
        </w:sectPr>
      </w:pPr>
    </w:p>
    <w:p w:rsidR="00514387" w:rsidRDefault="00695BB3">
      <w:pPr>
        <w:tabs>
          <w:tab w:val="left" w:pos="4940"/>
        </w:tabs>
        <w:rPr>
          <w:sz w:val="20"/>
          <w:szCs w:val="20"/>
        </w:rPr>
      </w:pPr>
      <w:bookmarkStart w:id="1" w:name="page2"/>
      <w:bookmarkEnd w:id="1"/>
      <w:r>
        <w:rPr>
          <w:rFonts w:eastAsia="Times New Roman"/>
          <w:sz w:val="36"/>
          <w:szCs w:val="36"/>
        </w:rPr>
        <w:lastRenderedPageBreak/>
        <w:t>ЗМІСТ</w:t>
      </w:r>
      <w:r>
        <w:rPr>
          <w:sz w:val="20"/>
          <w:szCs w:val="20"/>
        </w:rPr>
        <w:tab/>
      </w:r>
      <w:r>
        <w:rPr>
          <w:rFonts w:eastAsia="Times New Roman"/>
          <w:sz w:val="36"/>
          <w:szCs w:val="36"/>
        </w:rPr>
        <w:t>CONTENTS</w:t>
      </w:r>
    </w:p>
    <w:p w:rsidR="00514387" w:rsidRDefault="00514387">
      <w:pPr>
        <w:sectPr w:rsidR="00514387">
          <w:pgSz w:w="11900" w:h="16838"/>
          <w:pgMar w:top="1350" w:right="1126" w:bottom="110" w:left="1140" w:header="0" w:footer="0" w:gutter="0"/>
          <w:cols w:space="720" w:equalWidth="0">
            <w:col w:w="9640"/>
          </w:cols>
        </w:sect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382" w:lineRule="exact"/>
        <w:rPr>
          <w:sz w:val="20"/>
          <w:szCs w:val="20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b/>
          <w:bCs/>
          <w:sz w:val="19"/>
          <w:szCs w:val="19"/>
        </w:rPr>
        <w:t>ОРИГІНАЛЬНІ СТАТТІ</w:t>
      </w:r>
    </w:p>
    <w:p w:rsidR="00514387" w:rsidRDefault="00514387">
      <w:pPr>
        <w:spacing w:line="177" w:lineRule="exact"/>
        <w:rPr>
          <w:sz w:val="20"/>
          <w:szCs w:val="20"/>
        </w:rPr>
      </w:pPr>
    </w:p>
    <w:p w:rsidR="00514387" w:rsidRDefault="00695BB3">
      <w:pPr>
        <w:spacing w:line="287" w:lineRule="auto"/>
        <w:ind w:right="1080"/>
        <w:rPr>
          <w:sz w:val="20"/>
          <w:szCs w:val="20"/>
        </w:rPr>
      </w:pPr>
      <w:r>
        <w:rPr>
          <w:rFonts w:eastAsia="Times New Roman"/>
          <w:i/>
          <w:iCs/>
          <w:sz w:val="19"/>
          <w:szCs w:val="19"/>
        </w:rPr>
        <w:t>Ю. І. Фещенко, Л. О. Яшина, К. В. Назаренко, М. О. Полянська</w:t>
      </w:r>
    </w:p>
    <w:p w:rsidR="00514387" w:rsidRDefault="00514387">
      <w:pPr>
        <w:spacing w:line="68" w:lineRule="exact"/>
        <w:rPr>
          <w:sz w:val="20"/>
          <w:szCs w:val="20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sz w:val="19"/>
          <w:szCs w:val="19"/>
        </w:rPr>
        <w:t>Функціональна ефективність комплексної терапії</w:t>
      </w:r>
    </w:p>
    <w:p w:rsidR="00514387" w:rsidRDefault="00514387">
      <w:pPr>
        <w:spacing w:line="64" w:lineRule="exact"/>
        <w:rPr>
          <w:sz w:val="20"/>
          <w:szCs w:val="20"/>
        </w:rPr>
      </w:pPr>
    </w:p>
    <w:p w:rsidR="00514387" w:rsidRDefault="00695BB3">
      <w:pPr>
        <w:spacing w:line="251" w:lineRule="exact"/>
        <w:rPr>
          <w:sz w:val="20"/>
          <w:szCs w:val="20"/>
        </w:rPr>
      </w:pPr>
      <w:r>
        <w:rPr>
          <w:rFonts w:eastAsia="Times New Roman"/>
          <w:sz w:val="15"/>
          <w:szCs w:val="15"/>
        </w:rPr>
        <w:t xml:space="preserve">із включенням тіотропію броміду у хворих на поєднану патологію бронхіальної астми та хронічного обструктивного захворювання легень </w:t>
      </w:r>
      <w:r>
        <w:rPr>
          <w:rFonts w:ascii="Arial Unicode MS" w:eastAsia="Arial Unicode MS" w:hAnsi="Arial Unicode MS" w:cs="Arial Unicode MS"/>
          <w:sz w:val="15"/>
          <w:szCs w:val="15"/>
        </w:rPr>
        <w:t>���������������������������</w:t>
      </w:r>
      <w:r>
        <w:rPr>
          <w:rFonts w:eastAsia="Times New Roman"/>
          <w:sz w:val="15"/>
          <w:szCs w:val="15"/>
        </w:rPr>
        <w:t xml:space="preserve"> 7</w:t>
      </w: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388" w:lineRule="exact"/>
        <w:rPr>
          <w:sz w:val="20"/>
          <w:szCs w:val="20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i/>
          <w:iCs/>
          <w:sz w:val="19"/>
          <w:szCs w:val="19"/>
        </w:rPr>
        <w:t>Г. В. Єрьоменко</w:t>
      </w:r>
    </w:p>
    <w:p w:rsidR="00514387" w:rsidRDefault="00514387">
      <w:pPr>
        <w:spacing w:line="120" w:lineRule="exact"/>
        <w:rPr>
          <w:sz w:val="20"/>
          <w:szCs w:val="20"/>
        </w:rPr>
      </w:pPr>
    </w:p>
    <w:p w:rsidR="00514387" w:rsidRDefault="00695BB3">
      <w:pPr>
        <w:spacing w:line="288" w:lineRule="auto"/>
        <w:ind w:right="1620"/>
        <w:rPr>
          <w:sz w:val="20"/>
          <w:szCs w:val="20"/>
        </w:rPr>
      </w:pPr>
      <w:r>
        <w:rPr>
          <w:rFonts w:eastAsia="Times New Roman"/>
          <w:sz w:val="19"/>
          <w:szCs w:val="19"/>
        </w:rPr>
        <w:t>Клініко-патогенетичні особливості цукрового діабету 2-го типу у хворих</w:t>
      </w:r>
    </w:p>
    <w:p w:rsidR="00514387" w:rsidRDefault="00514387">
      <w:pPr>
        <w:spacing w:line="20" w:lineRule="exact"/>
        <w:rPr>
          <w:sz w:val="20"/>
          <w:szCs w:val="20"/>
        </w:rPr>
      </w:pPr>
    </w:p>
    <w:p w:rsidR="00514387" w:rsidRDefault="00695BB3">
      <w:pPr>
        <w:spacing w:line="94" w:lineRule="exact"/>
        <w:rPr>
          <w:sz w:val="20"/>
          <w:szCs w:val="20"/>
        </w:rPr>
      </w:pPr>
      <w:r>
        <w:rPr>
          <w:rFonts w:eastAsia="Times New Roman"/>
          <w:sz w:val="7"/>
          <w:szCs w:val="7"/>
        </w:rPr>
        <w:t xml:space="preserve">на бронхіальну астму </w:t>
      </w:r>
      <w:r>
        <w:rPr>
          <w:rFonts w:ascii="Arial Unicode MS" w:eastAsia="Arial Unicode MS" w:hAnsi="Arial Unicode MS" w:cs="Arial Unicode MS"/>
          <w:sz w:val="7"/>
          <w:szCs w:val="7"/>
        </w:rPr>
        <w:t>����������������������������������������������������</w:t>
      </w:r>
      <w:r>
        <w:rPr>
          <w:rFonts w:eastAsia="Times New Roman"/>
          <w:sz w:val="7"/>
          <w:szCs w:val="7"/>
        </w:rPr>
        <w:t>15</w:t>
      </w: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313" w:lineRule="exact"/>
        <w:rPr>
          <w:sz w:val="20"/>
          <w:szCs w:val="20"/>
        </w:rPr>
      </w:pPr>
    </w:p>
    <w:p w:rsidR="00514387" w:rsidRDefault="00695BB3">
      <w:pPr>
        <w:spacing w:line="317" w:lineRule="auto"/>
        <w:ind w:right="760"/>
        <w:rPr>
          <w:sz w:val="20"/>
          <w:szCs w:val="20"/>
        </w:rPr>
      </w:pPr>
      <w:r>
        <w:rPr>
          <w:rFonts w:eastAsia="Times New Roman"/>
          <w:i/>
          <w:iCs/>
          <w:sz w:val="18"/>
          <w:szCs w:val="18"/>
        </w:rPr>
        <w:t>І.В. Баранова, І. А. Ільюк, С. І. Лещенко, О. В. Солєйко, К. П. Постовітенко, О.В. Долинна</w:t>
      </w:r>
    </w:p>
    <w:p w:rsidR="00514387" w:rsidRDefault="00514387">
      <w:pPr>
        <w:spacing w:line="44" w:lineRule="exact"/>
        <w:rPr>
          <w:sz w:val="20"/>
          <w:szCs w:val="20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sz w:val="19"/>
          <w:szCs w:val="19"/>
        </w:rPr>
        <w:t>Сухий кашель: сучасний підхід</w:t>
      </w:r>
    </w:p>
    <w:p w:rsidR="00514387" w:rsidRDefault="00514387">
      <w:pPr>
        <w:spacing w:line="64" w:lineRule="exact"/>
        <w:rPr>
          <w:sz w:val="20"/>
          <w:szCs w:val="20"/>
        </w:rPr>
      </w:pPr>
    </w:p>
    <w:p w:rsidR="00514387" w:rsidRDefault="00695BB3">
      <w:pPr>
        <w:spacing w:line="81" w:lineRule="exact"/>
        <w:rPr>
          <w:sz w:val="20"/>
          <w:szCs w:val="20"/>
        </w:rPr>
      </w:pPr>
      <w:r>
        <w:rPr>
          <w:rFonts w:eastAsia="Times New Roman"/>
          <w:sz w:val="6"/>
          <w:szCs w:val="6"/>
        </w:rPr>
        <w:t xml:space="preserve">до лікування </w:t>
      </w:r>
      <w:r>
        <w:rPr>
          <w:rFonts w:ascii="Arial Unicode MS" w:eastAsia="Arial Unicode MS" w:hAnsi="Arial Unicode MS" w:cs="Arial Unicode MS"/>
          <w:sz w:val="6"/>
          <w:szCs w:val="6"/>
        </w:rPr>
        <w:t>��������������������������������������</w:t>
      </w:r>
      <w:r>
        <w:rPr>
          <w:rFonts w:ascii="Arial Unicode MS" w:eastAsia="Arial Unicode MS" w:hAnsi="Arial Unicode MS" w:cs="Arial Unicode MS"/>
          <w:sz w:val="6"/>
          <w:szCs w:val="6"/>
        </w:rPr>
        <w:t>����������������������������</w:t>
      </w:r>
      <w:r>
        <w:rPr>
          <w:rFonts w:eastAsia="Times New Roman"/>
          <w:sz w:val="6"/>
          <w:szCs w:val="6"/>
        </w:rPr>
        <w:t>20</w:t>
      </w: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316" w:lineRule="exact"/>
        <w:rPr>
          <w:sz w:val="20"/>
          <w:szCs w:val="20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i/>
          <w:iCs/>
          <w:sz w:val="19"/>
          <w:szCs w:val="19"/>
        </w:rPr>
        <w:t>O. P. Pakholchuk</w:t>
      </w:r>
    </w:p>
    <w:p w:rsidR="00514387" w:rsidRDefault="00514387">
      <w:pPr>
        <w:spacing w:line="110" w:lineRule="exact"/>
        <w:rPr>
          <w:sz w:val="20"/>
          <w:szCs w:val="20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sz w:val="19"/>
          <w:szCs w:val="19"/>
        </w:rPr>
        <w:t>Assessment of the role of the mucosal</w:t>
      </w:r>
    </w:p>
    <w:p w:rsidR="00514387" w:rsidRDefault="00514387">
      <w:pPr>
        <w:spacing w:line="64" w:lineRule="exact"/>
        <w:rPr>
          <w:sz w:val="20"/>
          <w:szCs w:val="20"/>
        </w:rPr>
      </w:pPr>
    </w:p>
    <w:p w:rsidR="00514387" w:rsidRDefault="00695BB3">
      <w:pPr>
        <w:spacing w:line="241" w:lineRule="exact"/>
        <w:rPr>
          <w:sz w:val="20"/>
          <w:szCs w:val="20"/>
        </w:rPr>
      </w:pPr>
      <w:r>
        <w:rPr>
          <w:rFonts w:eastAsia="Times New Roman"/>
          <w:sz w:val="8"/>
          <w:szCs w:val="8"/>
        </w:rPr>
        <w:t xml:space="preserve">barrier dysfunction in pathogenesis of the food hypersensitivity in children </w:t>
      </w:r>
      <w:r>
        <w:rPr>
          <w:rFonts w:ascii="Arial Unicode MS" w:eastAsia="Arial Unicode MS" w:hAnsi="Arial Unicode MS" w:cs="Arial Unicode MS"/>
          <w:sz w:val="8"/>
          <w:szCs w:val="8"/>
        </w:rPr>
        <w:t>����������������������������������������������</w:t>
      </w:r>
      <w:r>
        <w:rPr>
          <w:rFonts w:eastAsia="Times New Roman"/>
          <w:sz w:val="8"/>
          <w:szCs w:val="8"/>
        </w:rPr>
        <w:t>27</w:t>
      </w: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398" w:lineRule="exact"/>
        <w:rPr>
          <w:sz w:val="20"/>
          <w:szCs w:val="20"/>
        </w:rPr>
      </w:pPr>
    </w:p>
    <w:p w:rsidR="00514387" w:rsidRDefault="00695BB3">
      <w:pPr>
        <w:spacing w:line="287" w:lineRule="auto"/>
        <w:ind w:right="2000"/>
        <w:rPr>
          <w:sz w:val="20"/>
          <w:szCs w:val="20"/>
        </w:rPr>
      </w:pPr>
      <w:r>
        <w:rPr>
          <w:rFonts w:eastAsia="Times New Roman"/>
          <w:i/>
          <w:iCs/>
          <w:sz w:val="19"/>
          <w:szCs w:val="19"/>
        </w:rPr>
        <w:t xml:space="preserve">В. І. Ігнатьєва, </w:t>
      </w:r>
      <w:r>
        <w:rPr>
          <w:rFonts w:eastAsia="Times New Roman"/>
          <w:i/>
          <w:iCs/>
          <w:sz w:val="19"/>
          <w:szCs w:val="19"/>
        </w:rPr>
        <w:t>Ю. О. Матвієнко, С. Г. Опімах, С. М. Москаленко</w:t>
      </w:r>
    </w:p>
    <w:p w:rsidR="00514387" w:rsidRDefault="00514387">
      <w:pPr>
        <w:spacing w:line="78" w:lineRule="exact"/>
        <w:rPr>
          <w:sz w:val="20"/>
          <w:szCs w:val="20"/>
        </w:rPr>
      </w:pPr>
    </w:p>
    <w:p w:rsidR="00514387" w:rsidRDefault="00695BB3">
      <w:pPr>
        <w:spacing w:line="295" w:lineRule="auto"/>
        <w:ind w:right="1040"/>
        <w:rPr>
          <w:sz w:val="20"/>
          <w:szCs w:val="20"/>
        </w:rPr>
      </w:pPr>
      <w:r>
        <w:rPr>
          <w:rFonts w:eastAsia="Times New Roman"/>
          <w:sz w:val="19"/>
          <w:szCs w:val="19"/>
        </w:rPr>
        <w:t>Діагностика алергічних захворювань верхніх дихальних шляхів та уточнення фенотипів алергічної та неалергічної бронхіальної астми на етапі спеціалізованої</w:t>
      </w:r>
    </w:p>
    <w:p w:rsidR="00514387" w:rsidRDefault="00514387">
      <w:pPr>
        <w:spacing w:line="15" w:lineRule="exact"/>
        <w:rPr>
          <w:sz w:val="20"/>
          <w:szCs w:val="20"/>
        </w:rPr>
      </w:pPr>
    </w:p>
    <w:p w:rsidR="00514387" w:rsidRDefault="00695BB3">
      <w:pPr>
        <w:spacing w:line="94" w:lineRule="exact"/>
        <w:rPr>
          <w:sz w:val="20"/>
          <w:szCs w:val="20"/>
        </w:rPr>
      </w:pPr>
      <w:r>
        <w:rPr>
          <w:rFonts w:eastAsia="Times New Roman"/>
          <w:sz w:val="7"/>
          <w:szCs w:val="7"/>
        </w:rPr>
        <w:t xml:space="preserve">медичної допомоги </w:t>
      </w:r>
      <w:r>
        <w:rPr>
          <w:rFonts w:ascii="Arial Unicode MS" w:eastAsia="Arial Unicode MS" w:hAnsi="Arial Unicode MS" w:cs="Arial Unicode MS"/>
          <w:sz w:val="7"/>
          <w:szCs w:val="7"/>
        </w:rPr>
        <w:t>����������������������������������</w:t>
      </w:r>
      <w:r>
        <w:rPr>
          <w:rFonts w:ascii="Arial Unicode MS" w:eastAsia="Arial Unicode MS" w:hAnsi="Arial Unicode MS" w:cs="Arial Unicode MS"/>
          <w:sz w:val="7"/>
          <w:szCs w:val="7"/>
        </w:rPr>
        <w:t>���������������������</w:t>
      </w:r>
      <w:r>
        <w:rPr>
          <w:rFonts w:eastAsia="Times New Roman"/>
          <w:sz w:val="7"/>
          <w:szCs w:val="7"/>
        </w:rPr>
        <w:t>32</w:t>
      </w:r>
    </w:p>
    <w:p w:rsidR="00514387" w:rsidRDefault="00695BB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332" w:lineRule="exact"/>
        <w:rPr>
          <w:sz w:val="20"/>
          <w:szCs w:val="20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b/>
          <w:bCs/>
          <w:sz w:val="19"/>
          <w:szCs w:val="19"/>
        </w:rPr>
        <w:t>ORIGINAL PUBLICATIONS</w:t>
      </w:r>
    </w:p>
    <w:p w:rsidR="00514387" w:rsidRDefault="00514387">
      <w:pPr>
        <w:spacing w:line="179" w:lineRule="exact"/>
        <w:rPr>
          <w:sz w:val="20"/>
          <w:szCs w:val="20"/>
        </w:rPr>
      </w:pPr>
    </w:p>
    <w:p w:rsidR="00514387" w:rsidRDefault="00695BB3">
      <w:pPr>
        <w:spacing w:line="289" w:lineRule="auto"/>
        <w:ind w:right="880"/>
        <w:rPr>
          <w:sz w:val="20"/>
          <w:szCs w:val="20"/>
        </w:rPr>
      </w:pPr>
      <w:r>
        <w:rPr>
          <w:rFonts w:eastAsia="Times New Roman"/>
          <w:i/>
          <w:iCs/>
          <w:sz w:val="19"/>
          <w:szCs w:val="19"/>
        </w:rPr>
        <w:t>Yu. I. Feshchenko, L. O. Iashyna, K. V. Nazarenko, M. O. Polianska</w:t>
      </w:r>
    </w:p>
    <w:p w:rsidR="00514387" w:rsidRDefault="00514387">
      <w:pPr>
        <w:spacing w:line="77" w:lineRule="exact"/>
        <w:rPr>
          <w:sz w:val="20"/>
          <w:szCs w:val="20"/>
        </w:rPr>
      </w:pPr>
    </w:p>
    <w:p w:rsidR="00514387" w:rsidRDefault="00695BB3">
      <w:pPr>
        <w:spacing w:line="320" w:lineRule="exact"/>
        <w:rPr>
          <w:sz w:val="20"/>
          <w:szCs w:val="20"/>
        </w:rPr>
      </w:pPr>
      <w:r>
        <w:rPr>
          <w:rFonts w:eastAsia="Times New Roman"/>
          <w:sz w:val="10"/>
          <w:szCs w:val="10"/>
        </w:rPr>
        <w:t xml:space="preserve">Functional efficiency of complex therapy with the inclusion of thiotropium bromide in patients with combined pathology of asthma and chronic obstructive pulmonary disease </w:t>
      </w:r>
      <w:r>
        <w:rPr>
          <w:rFonts w:ascii="Arial Unicode MS" w:eastAsia="Arial Unicode MS" w:hAnsi="Arial Unicode MS" w:cs="Arial Unicode MS"/>
          <w:sz w:val="10"/>
          <w:szCs w:val="10"/>
        </w:rPr>
        <w:t>�������������������������������������������</w:t>
      </w:r>
      <w:r>
        <w:rPr>
          <w:rFonts w:eastAsia="Times New Roman"/>
          <w:sz w:val="10"/>
          <w:szCs w:val="10"/>
        </w:rPr>
        <w:t xml:space="preserve"> 7</w:t>
      </w: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58" w:lineRule="exact"/>
        <w:rPr>
          <w:sz w:val="20"/>
          <w:szCs w:val="20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i/>
          <w:iCs/>
          <w:sz w:val="19"/>
          <w:szCs w:val="19"/>
        </w:rPr>
        <w:t>G. V. Yeryomenko</w:t>
      </w:r>
    </w:p>
    <w:p w:rsidR="00514387" w:rsidRDefault="00514387">
      <w:pPr>
        <w:spacing w:line="121" w:lineRule="exact"/>
        <w:rPr>
          <w:sz w:val="20"/>
          <w:szCs w:val="20"/>
        </w:rPr>
      </w:pPr>
    </w:p>
    <w:p w:rsidR="00514387" w:rsidRDefault="00695BB3">
      <w:pPr>
        <w:spacing w:line="289" w:lineRule="auto"/>
        <w:ind w:right="1840"/>
        <w:rPr>
          <w:sz w:val="20"/>
          <w:szCs w:val="20"/>
        </w:rPr>
      </w:pPr>
      <w:r>
        <w:rPr>
          <w:rFonts w:eastAsia="Times New Roman"/>
          <w:sz w:val="19"/>
          <w:szCs w:val="19"/>
        </w:rPr>
        <w:t>Clinical and pa</w:t>
      </w:r>
      <w:r>
        <w:rPr>
          <w:rFonts w:eastAsia="Times New Roman"/>
          <w:sz w:val="19"/>
          <w:szCs w:val="19"/>
        </w:rPr>
        <w:t>thogenetic peculiarities of diabetes mellitus type</w:t>
      </w:r>
    </w:p>
    <w:p w:rsidR="00514387" w:rsidRDefault="00514387">
      <w:pPr>
        <w:spacing w:line="21" w:lineRule="exact"/>
        <w:rPr>
          <w:sz w:val="20"/>
          <w:szCs w:val="20"/>
        </w:rPr>
      </w:pPr>
    </w:p>
    <w:p w:rsidR="00514387" w:rsidRDefault="00695BB3">
      <w:pPr>
        <w:spacing w:line="94" w:lineRule="exact"/>
        <w:rPr>
          <w:sz w:val="20"/>
          <w:szCs w:val="20"/>
        </w:rPr>
      </w:pPr>
      <w:r>
        <w:rPr>
          <w:rFonts w:eastAsia="Times New Roman"/>
          <w:sz w:val="7"/>
          <w:szCs w:val="7"/>
        </w:rPr>
        <w:t xml:space="preserve">2 in patients with asthma  </w:t>
      </w:r>
      <w:r>
        <w:rPr>
          <w:rFonts w:ascii="Arial Unicode MS" w:eastAsia="Arial Unicode MS" w:hAnsi="Arial Unicode MS" w:cs="Arial Unicode MS"/>
          <w:sz w:val="7"/>
          <w:szCs w:val="7"/>
        </w:rPr>
        <w:t>������������������������������������������������</w:t>
      </w:r>
      <w:r>
        <w:rPr>
          <w:rFonts w:eastAsia="Times New Roman"/>
          <w:sz w:val="7"/>
          <w:szCs w:val="7"/>
        </w:rPr>
        <w:t>15</w:t>
      </w: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314" w:lineRule="exact"/>
        <w:rPr>
          <w:sz w:val="20"/>
          <w:szCs w:val="20"/>
        </w:rPr>
      </w:pPr>
    </w:p>
    <w:p w:rsidR="00514387" w:rsidRDefault="00695BB3">
      <w:pPr>
        <w:spacing w:line="318" w:lineRule="auto"/>
        <w:ind w:right="900"/>
        <w:rPr>
          <w:sz w:val="20"/>
          <w:szCs w:val="20"/>
        </w:rPr>
      </w:pPr>
      <w:r>
        <w:rPr>
          <w:rFonts w:eastAsia="Times New Roman"/>
          <w:i/>
          <w:iCs/>
          <w:sz w:val="18"/>
          <w:szCs w:val="18"/>
        </w:rPr>
        <w:t>I. V. Baranova, I. A. Iliuk, S. I. Leshchenko, O. V. Solyeyko, K. P. Postovitenko, E.V. Dolynnaya</w:t>
      </w:r>
    </w:p>
    <w:p w:rsidR="00514387" w:rsidRDefault="00514387">
      <w:pPr>
        <w:spacing w:line="45" w:lineRule="exact"/>
        <w:rPr>
          <w:sz w:val="20"/>
          <w:szCs w:val="20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sz w:val="19"/>
          <w:szCs w:val="19"/>
        </w:rPr>
        <w:t xml:space="preserve">Dry cough: a modern </w:t>
      </w:r>
      <w:r>
        <w:rPr>
          <w:rFonts w:eastAsia="Times New Roman"/>
          <w:sz w:val="19"/>
          <w:szCs w:val="19"/>
        </w:rPr>
        <w:t>approach</w:t>
      </w:r>
    </w:p>
    <w:p w:rsidR="00514387" w:rsidRDefault="00514387">
      <w:pPr>
        <w:spacing w:line="65" w:lineRule="exact"/>
        <w:rPr>
          <w:sz w:val="20"/>
          <w:szCs w:val="20"/>
        </w:rPr>
      </w:pPr>
    </w:p>
    <w:p w:rsidR="00514387" w:rsidRDefault="00695BB3">
      <w:pPr>
        <w:spacing w:line="81" w:lineRule="exact"/>
        <w:rPr>
          <w:sz w:val="20"/>
          <w:szCs w:val="20"/>
        </w:rPr>
      </w:pPr>
      <w:r>
        <w:rPr>
          <w:rFonts w:eastAsia="Times New Roman"/>
          <w:sz w:val="6"/>
          <w:szCs w:val="6"/>
        </w:rPr>
        <w:t xml:space="preserve">to the treatment </w:t>
      </w:r>
      <w:r>
        <w:rPr>
          <w:rFonts w:ascii="Arial Unicode MS" w:eastAsia="Arial Unicode MS" w:hAnsi="Arial Unicode MS" w:cs="Arial Unicode MS"/>
          <w:sz w:val="6"/>
          <w:szCs w:val="6"/>
        </w:rPr>
        <w:t>���������������������������������������������������������������</w:t>
      </w:r>
      <w:r>
        <w:rPr>
          <w:rFonts w:eastAsia="Times New Roman"/>
          <w:sz w:val="6"/>
          <w:szCs w:val="6"/>
        </w:rPr>
        <w:t>20</w:t>
      </w: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317" w:lineRule="exact"/>
        <w:rPr>
          <w:sz w:val="20"/>
          <w:szCs w:val="20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i/>
          <w:iCs/>
          <w:sz w:val="19"/>
          <w:szCs w:val="19"/>
        </w:rPr>
        <w:t>О. П. Пахольчук</w:t>
      </w:r>
    </w:p>
    <w:p w:rsidR="00514387" w:rsidRDefault="00514387">
      <w:pPr>
        <w:spacing w:line="112" w:lineRule="exact"/>
        <w:rPr>
          <w:sz w:val="20"/>
          <w:szCs w:val="20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sz w:val="19"/>
          <w:szCs w:val="19"/>
        </w:rPr>
        <w:t>Оцінка ролі дисфункції</w:t>
      </w:r>
    </w:p>
    <w:p w:rsidR="00514387" w:rsidRDefault="00514387">
      <w:pPr>
        <w:spacing w:line="65" w:lineRule="exact"/>
        <w:rPr>
          <w:sz w:val="20"/>
          <w:szCs w:val="20"/>
        </w:rPr>
      </w:pPr>
    </w:p>
    <w:p w:rsidR="00514387" w:rsidRDefault="00695BB3">
      <w:pPr>
        <w:spacing w:line="241" w:lineRule="exact"/>
        <w:ind w:right="20"/>
        <w:rPr>
          <w:sz w:val="20"/>
          <w:szCs w:val="20"/>
        </w:rPr>
      </w:pPr>
      <w:r>
        <w:rPr>
          <w:rFonts w:eastAsia="Times New Roman"/>
          <w:sz w:val="8"/>
          <w:szCs w:val="8"/>
        </w:rPr>
        <w:t xml:space="preserve">мукозального бар’єра у формуванні харчової гіперчутливості у дітей </w:t>
      </w:r>
      <w:r>
        <w:rPr>
          <w:rFonts w:ascii="Arial Unicode MS" w:eastAsia="Arial Unicode MS" w:hAnsi="Arial Unicode MS" w:cs="Arial Unicode MS"/>
          <w:sz w:val="8"/>
          <w:szCs w:val="8"/>
        </w:rPr>
        <w:t>��������������������������������������������������</w:t>
      </w:r>
      <w:r>
        <w:rPr>
          <w:rFonts w:eastAsia="Times New Roman"/>
          <w:sz w:val="8"/>
          <w:szCs w:val="8"/>
        </w:rPr>
        <w:t>27</w:t>
      </w: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400" w:lineRule="exact"/>
        <w:rPr>
          <w:sz w:val="20"/>
          <w:szCs w:val="20"/>
        </w:rPr>
      </w:pPr>
    </w:p>
    <w:p w:rsidR="00514387" w:rsidRDefault="00695BB3">
      <w:pPr>
        <w:spacing w:line="289" w:lineRule="auto"/>
        <w:ind w:right="2180"/>
        <w:rPr>
          <w:sz w:val="20"/>
          <w:szCs w:val="20"/>
        </w:rPr>
      </w:pPr>
      <w:r>
        <w:rPr>
          <w:rFonts w:eastAsia="Times New Roman"/>
          <w:i/>
          <w:iCs/>
          <w:sz w:val="19"/>
          <w:szCs w:val="19"/>
        </w:rPr>
        <w:t>V. І. Іgnatieva, Y. О. Matvienko, S. G. Opimakh, S. M. Moskalenko</w:t>
      </w:r>
    </w:p>
    <w:p w:rsidR="00514387" w:rsidRDefault="00514387">
      <w:pPr>
        <w:spacing w:line="67" w:lineRule="exact"/>
        <w:rPr>
          <w:sz w:val="20"/>
          <w:szCs w:val="20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sz w:val="19"/>
          <w:szCs w:val="19"/>
        </w:rPr>
        <w:t>Upper airway allergic diseases</w:t>
      </w:r>
    </w:p>
    <w:p w:rsidR="00514387" w:rsidRDefault="00514387">
      <w:pPr>
        <w:spacing w:line="65" w:lineRule="exact"/>
        <w:rPr>
          <w:sz w:val="20"/>
          <w:szCs w:val="20"/>
        </w:rPr>
      </w:pPr>
    </w:p>
    <w:p w:rsidR="00514387" w:rsidRDefault="00695BB3">
      <w:pPr>
        <w:spacing w:line="294" w:lineRule="auto"/>
        <w:ind w:right="2100"/>
        <w:rPr>
          <w:sz w:val="20"/>
          <w:szCs w:val="20"/>
        </w:rPr>
      </w:pPr>
      <w:r>
        <w:rPr>
          <w:rFonts w:eastAsia="Times New Roman"/>
          <w:sz w:val="19"/>
          <w:szCs w:val="19"/>
        </w:rPr>
        <w:t>diagnostics and allergic and non-allergic bronchial asthma phenotype clarification at</w:t>
      </w:r>
    </w:p>
    <w:p w:rsidR="00514387" w:rsidRDefault="00514387">
      <w:pPr>
        <w:spacing w:line="17" w:lineRule="exact"/>
        <w:rPr>
          <w:sz w:val="20"/>
          <w:szCs w:val="20"/>
        </w:rPr>
      </w:pPr>
    </w:p>
    <w:p w:rsidR="00514387" w:rsidRDefault="00695BB3">
      <w:pPr>
        <w:spacing w:line="108" w:lineRule="exact"/>
        <w:rPr>
          <w:sz w:val="20"/>
          <w:szCs w:val="20"/>
        </w:rPr>
      </w:pPr>
      <w:r>
        <w:rPr>
          <w:rFonts w:eastAsia="Times New Roman"/>
          <w:sz w:val="8"/>
          <w:szCs w:val="8"/>
        </w:rPr>
        <w:t>the speciali</w:t>
      </w:r>
      <w:r>
        <w:rPr>
          <w:rFonts w:eastAsia="Times New Roman"/>
          <w:sz w:val="8"/>
          <w:szCs w:val="8"/>
        </w:rPr>
        <w:t xml:space="preserve">zed medical care level </w:t>
      </w:r>
      <w:r>
        <w:rPr>
          <w:rFonts w:ascii="Arial Unicode MS" w:eastAsia="Arial Unicode MS" w:hAnsi="Arial Unicode MS" w:cs="Arial Unicode MS"/>
          <w:sz w:val="8"/>
          <w:szCs w:val="8"/>
        </w:rPr>
        <w:t>�������������������������������������</w:t>
      </w:r>
      <w:r>
        <w:rPr>
          <w:rFonts w:eastAsia="Times New Roman"/>
          <w:sz w:val="8"/>
          <w:szCs w:val="8"/>
        </w:rPr>
        <w:t>32</w:t>
      </w: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ectPr w:rsidR="00514387">
          <w:type w:val="continuous"/>
          <w:pgSz w:w="11900" w:h="16838"/>
          <w:pgMar w:top="1350" w:right="1126" w:bottom="110" w:left="1140" w:header="0" w:footer="0" w:gutter="0"/>
          <w:cols w:num="2" w:space="720" w:equalWidth="0">
            <w:col w:w="4680" w:space="280"/>
            <w:col w:w="4680"/>
          </w:cols>
        </w:sect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345" w:lineRule="exact"/>
        <w:rPr>
          <w:sz w:val="20"/>
          <w:szCs w:val="20"/>
        </w:rPr>
      </w:pPr>
    </w:p>
    <w:p w:rsidR="00514387" w:rsidRDefault="00695BB3">
      <w:pPr>
        <w:ind w:left="9520"/>
        <w:rPr>
          <w:sz w:val="20"/>
          <w:szCs w:val="20"/>
        </w:rPr>
      </w:pPr>
      <w:r>
        <w:rPr>
          <w:rFonts w:eastAsia="Times New Roman"/>
          <w:sz w:val="19"/>
          <w:szCs w:val="19"/>
        </w:rPr>
        <w:t>5</w:t>
      </w:r>
    </w:p>
    <w:p w:rsidR="00514387" w:rsidRDefault="00514387">
      <w:pPr>
        <w:sectPr w:rsidR="00514387">
          <w:type w:val="continuous"/>
          <w:pgSz w:w="11900" w:h="16838"/>
          <w:pgMar w:top="1350" w:right="1126" w:bottom="110" w:left="1140" w:header="0" w:footer="0" w:gutter="0"/>
          <w:cols w:space="720" w:equalWidth="0">
            <w:col w:w="9640"/>
          </w:cols>
        </w:sectPr>
      </w:pPr>
    </w:p>
    <w:p w:rsidR="00514387" w:rsidRDefault="00514387">
      <w:pPr>
        <w:ind w:left="960"/>
        <w:rPr>
          <w:sz w:val="20"/>
          <w:szCs w:val="20"/>
        </w:rPr>
      </w:pPr>
      <w:bookmarkStart w:id="2" w:name="page3"/>
      <w:bookmarkEnd w:id="2"/>
      <w:r w:rsidRPr="00514387">
        <w:rPr>
          <w:rFonts w:ascii="Arial" w:eastAsia="Arial" w:hAnsi="Arial" w:cs="Arial"/>
          <w:sz w:val="24"/>
          <w:szCs w:val="24"/>
        </w:rPr>
        <w:lastRenderedPageBreak/>
        <w:pict>
          <v:rect id="Shape 10" o:spid="_x0000_s1035" style="position:absolute;left:0;text-align:left;margin-left:518.75pt;margin-top:17pt;width:28.35pt;height:28.35pt;z-index:-251634176;visibility:visible;mso-wrap-distance-left:0;mso-wrap-distance-right:0;mso-position-horizontal-relative:page;mso-position-vertical-relative:page" o:allowincell="f" fillcolor="#c5c6c6" stroked="f">
            <w10:wrap anchorx="page" anchory="page"/>
          </v:rect>
        </w:pict>
      </w:r>
      <w:r w:rsidR="00695BB3">
        <w:rPr>
          <w:rFonts w:ascii="Arial" w:eastAsia="Arial" w:hAnsi="Arial" w:cs="Arial"/>
          <w:sz w:val="24"/>
          <w:szCs w:val="24"/>
        </w:rPr>
        <w:t xml:space="preserve">ОРИГІНАЛЬНІ СТАТТІ </w:t>
      </w:r>
      <w:r w:rsidR="00695BB3">
        <w:rPr>
          <w:noProof/>
          <w:sz w:val="1"/>
          <w:szCs w:val="1"/>
        </w:rPr>
        <w:drawing>
          <wp:inline distT="0" distB="0" distL="0" distR="0">
            <wp:extent cx="3130550" cy="762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5BB3">
        <w:rPr>
          <w:rFonts w:ascii="Arial" w:eastAsia="Arial" w:hAnsi="Arial" w:cs="Arial"/>
          <w:b/>
          <w:bCs/>
          <w:color w:val="FFFFFF"/>
          <w:sz w:val="48"/>
          <w:szCs w:val="48"/>
          <w:vertAlign w:val="superscript"/>
        </w:rPr>
        <w:t xml:space="preserve">   15</w:t>
      </w:r>
    </w:p>
    <w:p w:rsidR="00514387" w:rsidRDefault="0051438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2" o:spid="_x0000_s1037" style="position:absolute;z-index:251627008;visibility:visible;mso-wrap-distance-left:0;mso-wrap-distance-right:0" from=".15pt,-19.65pt" to="39.85pt,-19.65pt" o:allowincell="f" strokeweight=".30269mm"/>
        </w:pict>
      </w:r>
      <w:r>
        <w:rPr>
          <w:sz w:val="20"/>
          <w:szCs w:val="20"/>
        </w:rPr>
        <w:pict>
          <v:line id="Shape 13" o:spid="_x0000_s1038" style="position:absolute;z-index:251628032;visibility:visible;mso-wrap-distance-left:0;mso-wrap-distance-right:0" from=".15pt,-17.05pt" to="39.85pt,-17.05pt" o:allowincell="f" strokeweight=".60536mm"/>
        </w:pict>
      </w:r>
      <w:r>
        <w:rPr>
          <w:sz w:val="20"/>
          <w:szCs w:val="20"/>
        </w:rPr>
        <w:pict>
          <v:line id="Shape 14" o:spid="_x0000_s1039" style="position:absolute;z-index:251629056;visibility:visible;mso-wrap-distance-left:0;mso-wrap-distance-right:0" from=".15pt,-14.5pt" to="39.85pt,-14.5pt" o:allowincell="f" strokeweight=".30269mm"/>
        </w:pict>
      </w:r>
      <w:r>
        <w:rPr>
          <w:sz w:val="20"/>
          <w:szCs w:val="20"/>
        </w:rPr>
        <w:pict>
          <v:rect id="Shape 15" o:spid="_x0000_s1040" style="position:absolute;margin-left:39.85pt;margin-top:-22.15pt;width:156.85pt;height:9.35pt;z-index:-251633152;visibility:visible;mso-wrap-distance-left:0;mso-wrap-distance-right:0" o:allowincell="f" stroked="f"/>
        </w:pict>
      </w:r>
    </w:p>
    <w:p w:rsidR="00514387" w:rsidRDefault="00514387">
      <w:pPr>
        <w:spacing w:line="277" w:lineRule="exact"/>
        <w:rPr>
          <w:sz w:val="20"/>
          <w:szCs w:val="20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sz w:val="19"/>
          <w:szCs w:val="19"/>
        </w:rPr>
        <w:t>УДК 616.379–008.64–036–092–07:616.248</w:t>
      </w:r>
    </w:p>
    <w:p w:rsidR="00514387" w:rsidRDefault="00514387">
      <w:pPr>
        <w:spacing w:line="378" w:lineRule="exact"/>
        <w:rPr>
          <w:sz w:val="20"/>
          <w:szCs w:val="20"/>
        </w:rPr>
      </w:pPr>
    </w:p>
    <w:p w:rsidR="00514387" w:rsidRDefault="00695BB3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19"/>
          <w:szCs w:val="19"/>
        </w:rPr>
        <w:t>Г. В. Єрьоменко</w:t>
      </w:r>
    </w:p>
    <w:p w:rsidR="00514387" w:rsidRDefault="00695BB3">
      <w:pPr>
        <w:rPr>
          <w:sz w:val="20"/>
          <w:szCs w:val="20"/>
        </w:rPr>
      </w:pPr>
      <w:r>
        <w:rPr>
          <w:rFonts w:ascii="Arial" w:eastAsia="Arial" w:hAnsi="Arial" w:cs="Arial"/>
          <w:i/>
          <w:iCs/>
          <w:sz w:val="19"/>
          <w:szCs w:val="19"/>
        </w:rPr>
        <w:t>Харківський національний медичний університет</w:t>
      </w: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80" w:lineRule="exact"/>
        <w:rPr>
          <w:sz w:val="20"/>
          <w:szCs w:val="20"/>
        </w:rPr>
      </w:pPr>
    </w:p>
    <w:p w:rsidR="00514387" w:rsidRDefault="00695BB3">
      <w:pPr>
        <w:spacing w:line="247" w:lineRule="auto"/>
        <w:ind w:left="1220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60"/>
          <w:szCs w:val="60"/>
        </w:rPr>
        <w:t>Клініко-патогенетичні особливості цукрового діабету 2-го типу у хворих на бронхіальну астму</w:t>
      </w:r>
    </w:p>
    <w:p w:rsidR="00514387" w:rsidRDefault="00514387">
      <w:pPr>
        <w:spacing w:line="363" w:lineRule="exact"/>
        <w:rPr>
          <w:sz w:val="20"/>
          <w:szCs w:val="20"/>
        </w:rPr>
      </w:pPr>
    </w:p>
    <w:p w:rsidR="00514387" w:rsidRDefault="00695BB3">
      <w:pPr>
        <w:spacing w:line="228" w:lineRule="exact"/>
        <w:ind w:right="7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9"/>
          <w:szCs w:val="19"/>
        </w:rPr>
        <w:t xml:space="preserve">Ключові слова: </w:t>
      </w:r>
      <w:r>
        <w:rPr>
          <w:rFonts w:ascii="Arial" w:eastAsia="Arial" w:hAnsi="Arial" w:cs="Arial"/>
          <w:i/>
          <w:iCs/>
          <w:sz w:val="19"/>
          <w:szCs w:val="19"/>
        </w:rPr>
        <w:t>бронхіальна астма, цукровий діабет 2-го типу, цитокіни, матриксна металопротеїназа</w:t>
      </w:r>
      <w:r>
        <w:rPr>
          <w:rFonts w:ascii="Arial Unicode MS" w:eastAsia="Arial Unicode MS" w:hAnsi="Arial Unicode MS" w:cs="Arial Unicode MS"/>
          <w:i/>
          <w:iCs/>
          <w:sz w:val="19"/>
          <w:szCs w:val="19"/>
        </w:rPr>
        <w:t>‑</w:t>
      </w:r>
      <w:r>
        <w:rPr>
          <w:rFonts w:ascii="Arial" w:eastAsia="Arial" w:hAnsi="Arial" w:cs="Arial"/>
          <w:i/>
          <w:iCs/>
          <w:sz w:val="19"/>
          <w:szCs w:val="19"/>
        </w:rPr>
        <w:t>9,</w:t>
      </w:r>
      <w:r>
        <w:rPr>
          <w:rFonts w:ascii="Arial" w:eastAsia="Arial" w:hAnsi="Arial" w:cs="Arial"/>
          <w:b/>
          <w:bCs/>
          <w:sz w:val="19"/>
          <w:szCs w:val="19"/>
        </w:rPr>
        <w:t xml:space="preserve"> </w:t>
      </w:r>
      <w:r>
        <w:rPr>
          <w:rFonts w:ascii="Arial" w:eastAsia="Arial" w:hAnsi="Arial" w:cs="Arial"/>
          <w:i/>
          <w:iCs/>
          <w:sz w:val="19"/>
          <w:szCs w:val="19"/>
        </w:rPr>
        <w:t>моноцитарний хемоатрактантний протеїн</w:t>
      </w:r>
      <w:r>
        <w:rPr>
          <w:rFonts w:ascii="Arial Unicode MS" w:eastAsia="Arial Unicode MS" w:hAnsi="Arial Unicode MS" w:cs="Arial Unicode MS"/>
          <w:i/>
          <w:iCs/>
          <w:sz w:val="19"/>
          <w:szCs w:val="19"/>
        </w:rPr>
        <w:t>‑</w:t>
      </w:r>
      <w:r>
        <w:rPr>
          <w:rFonts w:ascii="Arial" w:eastAsia="Arial" w:hAnsi="Arial" w:cs="Arial"/>
          <w:i/>
          <w:iCs/>
          <w:sz w:val="19"/>
          <w:szCs w:val="19"/>
        </w:rPr>
        <w:t>1.</w:t>
      </w:r>
    </w:p>
    <w:p w:rsidR="00514387" w:rsidRDefault="0051438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6" o:spid="_x0000_s1041" style="position:absolute;z-index:251630080;visibility:visible;mso-wrap-distance-left:0;mso-wrap-distance-right:0" from=".15pt,18.5pt" to="482.05pt,18.5pt" o:allowincell="f" strokecolor="#c5c6c6" strokeweight="2pt"/>
        </w:pict>
      </w:r>
    </w:p>
    <w:p w:rsidR="00514387" w:rsidRDefault="00514387">
      <w:pPr>
        <w:sectPr w:rsidR="00514387">
          <w:pgSz w:w="11900" w:h="16838"/>
          <w:pgMar w:top="491" w:right="966" w:bottom="0" w:left="1300" w:header="0" w:footer="0" w:gutter="0"/>
          <w:cols w:space="720" w:equalWidth="0">
            <w:col w:w="9640"/>
          </w:cols>
        </w:sect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400" w:lineRule="exact"/>
        <w:rPr>
          <w:sz w:val="20"/>
          <w:szCs w:val="20"/>
        </w:rPr>
      </w:pPr>
    </w:p>
    <w:p w:rsidR="00514387" w:rsidRDefault="00695BB3">
      <w:pPr>
        <w:ind w:left="180"/>
        <w:rPr>
          <w:sz w:val="20"/>
          <w:szCs w:val="20"/>
        </w:rPr>
      </w:pPr>
      <w:r>
        <w:rPr>
          <w:rFonts w:eastAsia="Times New Roman"/>
          <w:sz w:val="19"/>
          <w:szCs w:val="19"/>
        </w:rPr>
        <w:t>Проблема коморбідності є однією з найважливіших</w:t>
      </w:r>
    </w:p>
    <w:p w:rsidR="00514387" w:rsidRDefault="00514387">
      <w:pPr>
        <w:spacing w:line="27" w:lineRule="exact"/>
        <w:rPr>
          <w:sz w:val="20"/>
          <w:szCs w:val="20"/>
        </w:rPr>
      </w:pPr>
    </w:p>
    <w:p w:rsidR="00514387" w:rsidRDefault="00695BB3">
      <w:pPr>
        <w:numPr>
          <w:ilvl w:val="0"/>
          <w:numId w:val="3"/>
        </w:numPr>
        <w:tabs>
          <w:tab w:val="left" w:pos="143"/>
        </w:tabs>
        <w:spacing w:line="273" w:lineRule="auto"/>
        <w:ind w:firstLine="4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внутрішній медицині [11]. Співіснування декількох за-хворювань змінює перебіг кожного з них, сприяє більш ранньому формуванню ускладнень і створює труднощі для терапії [2]. Значну</w:t>
      </w:r>
      <w:r>
        <w:rPr>
          <w:rFonts w:eastAsia="Times New Roman"/>
          <w:sz w:val="18"/>
          <w:szCs w:val="18"/>
        </w:rPr>
        <w:t xml:space="preserve"> поширеність у світі і в Україні має бронхіальна астма (БА) [3]. Чисельність хворих на БА не-впинно зростає, також збільшується кількість пацієнтів, які мають поєднання БА і цукрового діабету 2-го типу (ЦД2Т) [10, 14, 19]. Необхідно відмітити, що деякі енд</w:t>
      </w:r>
      <w:r>
        <w:rPr>
          <w:rFonts w:eastAsia="Times New Roman"/>
          <w:sz w:val="18"/>
          <w:szCs w:val="18"/>
        </w:rPr>
        <w:t>о-кринні порушення, такі як ЦД2Т і ожиріння, ймовірно, можуть впливати на перебіг і ускладнення БА [5, 9]. Ризик розвитку ЦД2Т у хворих на БА варіює від 1,3 до 2,1 [16, 18, 22]. Проведені дослідження на предмет вивчення асо-ціації БА, ЦД2Т та ожиріння прод</w:t>
      </w:r>
      <w:r>
        <w:rPr>
          <w:rFonts w:eastAsia="Times New Roman"/>
          <w:sz w:val="18"/>
          <w:szCs w:val="18"/>
        </w:rPr>
        <w:t>емонстрували тісний зв’язок між цими захворюваннями [8, 19].</w:t>
      </w:r>
    </w:p>
    <w:p w:rsidR="00514387" w:rsidRDefault="00514387">
      <w:pPr>
        <w:spacing w:line="7" w:lineRule="exact"/>
        <w:rPr>
          <w:rFonts w:eastAsia="Times New Roman"/>
          <w:sz w:val="18"/>
          <w:szCs w:val="18"/>
        </w:rPr>
      </w:pPr>
    </w:p>
    <w:p w:rsidR="00514387" w:rsidRDefault="00695BB3">
      <w:pPr>
        <w:spacing w:line="253" w:lineRule="auto"/>
        <w:ind w:firstLine="170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9"/>
          <w:szCs w:val="19"/>
        </w:rPr>
        <w:t>ЦД часто асоціюється не лише з абдомінальним ожирінням, артеріальною гіпертензією, різними кар-діоваскулярними захворюваннями, але й з редук-</w:t>
      </w:r>
    </w:p>
    <w:p w:rsidR="00514387" w:rsidRDefault="00514387">
      <w:pPr>
        <w:spacing w:line="17" w:lineRule="exact"/>
        <w:rPr>
          <w:rFonts w:eastAsia="Times New Roman"/>
          <w:sz w:val="18"/>
          <w:szCs w:val="18"/>
        </w:rPr>
      </w:pPr>
    </w:p>
    <w:p w:rsidR="00514387" w:rsidRDefault="00695BB3">
      <w:pPr>
        <w:spacing w:line="254" w:lineRule="auto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9"/>
          <w:szCs w:val="19"/>
        </w:rPr>
        <w:t>цією легеневої функції і зниженням об’єму форсо-ван</w:t>
      </w:r>
      <w:r>
        <w:rPr>
          <w:rFonts w:eastAsia="Times New Roman"/>
          <w:sz w:val="19"/>
          <w:szCs w:val="19"/>
        </w:rPr>
        <w:t>ого видиху за 1-шу секунду (FEV</w:t>
      </w:r>
      <w:r>
        <w:rPr>
          <w:rFonts w:eastAsia="Times New Roman"/>
          <w:vertAlign w:val="subscript"/>
        </w:rPr>
        <w:t>1</w:t>
      </w:r>
      <w:r>
        <w:rPr>
          <w:rFonts w:eastAsia="Times New Roman"/>
          <w:sz w:val="19"/>
          <w:szCs w:val="19"/>
        </w:rPr>
        <w:t>) [12, 13, 18]. Метаболічний синдром і ЦД2Т, з одного боку, пору-шення бронхіальної прохідності і зниження легене-вої функції, з іншого, можуть взаємно потенціювати один одного [11, 20]. Поєднання порушень вуглевод-ного обмі</w:t>
      </w:r>
      <w:r>
        <w:rPr>
          <w:rFonts w:eastAsia="Times New Roman"/>
          <w:sz w:val="19"/>
          <w:szCs w:val="19"/>
        </w:rPr>
        <w:t>ну і БА може бути обумовлено як генетич-ними механізмами, розвитком запалення, формуван-ням енергетичного дефіциту тканин, так і базисною терапією бронхообструктивного синдрому глюкокор-тикостероїдами (ГКС) [4, 17].</w:t>
      </w:r>
    </w:p>
    <w:p w:rsidR="00514387" w:rsidRDefault="00514387">
      <w:pPr>
        <w:spacing w:line="16" w:lineRule="exact"/>
        <w:rPr>
          <w:rFonts w:eastAsia="Times New Roman"/>
          <w:sz w:val="18"/>
          <w:szCs w:val="18"/>
        </w:rPr>
      </w:pPr>
    </w:p>
    <w:p w:rsidR="00514387" w:rsidRDefault="00695BB3">
      <w:pPr>
        <w:spacing w:line="253" w:lineRule="auto"/>
        <w:ind w:firstLine="170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9"/>
          <w:szCs w:val="19"/>
        </w:rPr>
        <w:t>Значна роль у розвитку персистуючого за</w:t>
      </w:r>
      <w:r>
        <w:rPr>
          <w:rFonts w:eastAsia="Times New Roman"/>
          <w:sz w:val="19"/>
          <w:szCs w:val="19"/>
        </w:rPr>
        <w:t>палення дихальних шляхів у хворих на БА і розвиток гіпер-плазії гладенької мускулатури визначається станом</w:t>
      </w:r>
    </w:p>
    <w:p w:rsidR="00514387" w:rsidRDefault="00514387">
      <w:pPr>
        <w:spacing w:line="202" w:lineRule="exact"/>
        <w:rPr>
          <w:sz w:val="20"/>
          <w:szCs w:val="20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sz w:val="12"/>
          <w:szCs w:val="12"/>
        </w:rPr>
        <w:t>© Г.В. Єрьоменко, 2018</w:t>
      </w:r>
    </w:p>
    <w:p w:rsidR="00514387" w:rsidRDefault="00695BB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390" w:lineRule="exact"/>
        <w:rPr>
          <w:sz w:val="20"/>
          <w:szCs w:val="20"/>
        </w:rPr>
      </w:pPr>
    </w:p>
    <w:p w:rsidR="00514387" w:rsidRDefault="00695BB3">
      <w:pPr>
        <w:spacing w:line="233" w:lineRule="exact"/>
        <w:jc w:val="both"/>
        <w:rPr>
          <w:sz w:val="20"/>
          <w:szCs w:val="20"/>
        </w:rPr>
      </w:pPr>
      <w:r>
        <w:rPr>
          <w:rFonts w:eastAsia="Times New Roman"/>
          <w:sz w:val="19"/>
          <w:szCs w:val="19"/>
        </w:rPr>
        <w:t>імунної системи. Поряд з тим у розвитку і підтримці запалення в бронхіальній стінці певну роль відігра-ють епітеліальн</w:t>
      </w:r>
      <w:r>
        <w:rPr>
          <w:rFonts w:eastAsia="Times New Roman"/>
          <w:sz w:val="19"/>
          <w:szCs w:val="19"/>
        </w:rPr>
        <w:t>і клітини, фібробласти, клітини су-динного ендотелію. Всі ці клітини в процесі актива-ції виділяють цілу низку біологічно активних речовин (лейкотрієни, цитокіни, хемотаксичні фактори, фак-тор активації тромбоцитів та ін.). Дуже жваво обгово-рюється поруше</w:t>
      </w:r>
      <w:r>
        <w:rPr>
          <w:rFonts w:eastAsia="Times New Roman"/>
          <w:sz w:val="19"/>
          <w:szCs w:val="19"/>
        </w:rPr>
        <w:t>ння системи інтерлейкінів (IL), роль матриксної металопротеїнази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9 (ММР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9) та моноци-тарного хемоатрактантного протеїну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1 (МСР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1) у про-цесі ремоделювання дихальних шляхів при поєднанні БА та ендокринної патології [1, 22].</w:t>
      </w:r>
    </w:p>
    <w:p w:rsidR="00514387" w:rsidRDefault="00514387">
      <w:pPr>
        <w:spacing w:line="34" w:lineRule="exact"/>
        <w:rPr>
          <w:sz w:val="20"/>
          <w:szCs w:val="20"/>
        </w:rPr>
      </w:pPr>
    </w:p>
    <w:p w:rsidR="00514387" w:rsidRDefault="00695BB3">
      <w:pPr>
        <w:spacing w:line="255" w:lineRule="auto"/>
        <w:ind w:firstLine="17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19"/>
          <w:szCs w:val="19"/>
        </w:rPr>
        <w:t xml:space="preserve">Мета дослідження: </w:t>
      </w:r>
      <w:r>
        <w:rPr>
          <w:rFonts w:eastAsia="Times New Roman"/>
          <w:sz w:val="19"/>
          <w:szCs w:val="19"/>
        </w:rPr>
        <w:t xml:space="preserve">виявити </w:t>
      </w:r>
      <w:r>
        <w:rPr>
          <w:rFonts w:eastAsia="Times New Roman"/>
          <w:sz w:val="19"/>
          <w:szCs w:val="19"/>
        </w:rPr>
        <w:t>особливості клініко-па-тогенетичних проявів БА з неконтрольованим перебі-гом в поєднанні з ЦД2Т.</w:t>
      </w:r>
    </w:p>
    <w:p w:rsidR="00514387" w:rsidRDefault="00514387">
      <w:pPr>
        <w:spacing w:line="232" w:lineRule="exact"/>
        <w:rPr>
          <w:sz w:val="20"/>
          <w:szCs w:val="20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Матеріали та методи дослідження</w:t>
      </w:r>
    </w:p>
    <w:p w:rsidR="00514387" w:rsidRDefault="00514387">
      <w:pPr>
        <w:spacing w:line="25" w:lineRule="exact"/>
        <w:rPr>
          <w:sz w:val="20"/>
          <w:szCs w:val="20"/>
        </w:rPr>
      </w:pPr>
    </w:p>
    <w:p w:rsidR="00514387" w:rsidRDefault="00695BB3">
      <w:pPr>
        <w:spacing w:line="235" w:lineRule="exact"/>
        <w:ind w:firstLine="170"/>
        <w:jc w:val="both"/>
        <w:rPr>
          <w:sz w:val="20"/>
          <w:szCs w:val="20"/>
        </w:rPr>
      </w:pPr>
      <w:r>
        <w:rPr>
          <w:rFonts w:eastAsia="Times New Roman"/>
          <w:sz w:val="19"/>
          <w:szCs w:val="19"/>
        </w:rPr>
        <w:t>Досліджено 55 пацієнтів, які були розподілені на 2 групи. До І групи увійшли хворі на ізольовану БА (n = 20), до ІІ групи – ​</w:t>
      </w:r>
      <w:r>
        <w:rPr>
          <w:rFonts w:eastAsia="Times New Roman"/>
          <w:sz w:val="19"/>
          <w:szCs w:val="19"/>
        </w:rPr>
        <w:t xml:space="preserve">на БА з ЦД2Т (n = 35). Пацієнтам було проведено загальноклінічне дослі-дження, загальний огляд, визначення антропоме-тричних даних: ​вимір ваги, обчислювання індексу маси тіла (ІМТ), вимір окружності талії (ОТ) та ок-ружності стегон (ОС). Проведено оцінку </w:t>
      </w:r>
      <w:r>
        <w:rPr>
          <w:rFonts w:eastAsia="Times New Roman"/>
          <w:sz w:val="19"/>
          <w:szCs w:val="19"/>
        </w:rPr>
        <w:t>функ-ції зовнішнього дихання (ФЗД). Всім хворим було визначено рівень глюкози крові натщесерце, рі-вень інсуліну та індексу НОМА-IR. Визначення вмісту ММР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9 та МСР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1 у сироватці крові прово-дилось методом імуноферментного аналізу за до-помогою наборів HUMA</w:t>
      </w:r>
      <w:r>
        <w:rPr>
          <w:rFonts w:eastAsia="Times New Roman"/>
          <w:sz w:val="19"/>
          <w:szCs w:val="19"/>
        </w:rPr>
        <w:t>N ММР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9 і HUMAN МСР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1 (eBioscience, Австрія). Для кількісного</w:t>
      </w:r>
    </w:p>
    <w:p w:rsidR="00514387" w:rsidRDefault="00514387">
      <w:pPr>
        <w:spacing w:line="775" w:lineRule="exact"/>
        <w:rPr>
          <w:sz w:val="20"/>
          <w:szCs w:val="20"/>
        </w:rPr>
      </w:pPr>
    </w:p>
    <w:p w:rsidR="00514387" w:rsidRDefault="00514387">
      <w:pPr>
        <w:sectPr w:rsidR="00514387">
          <w:type w:val="continuous"/>
          <w:pgSz w:w="11900" w:h="16838"/>
          <w:pgMar w:top="491" w:right="966" w:bottom="0" w:left="1300" w:header="0" w:footer="0" w:gutter="0"/>
          <w:cols w:num="2" w:space="720" w:equalWidth="0">
            <w:col w:w="4700" w:space="260"/>
            <w:col w:w="4680"/>
          </w:cols>
        </w:sectPr>
      </w:pPr>
    </w:p>
    <w:p w:rsidR="00514387" w:rsidRDefault="00514387">
      <w:pPr>
        <w:spacing w:line="15" w:lineRule="exact"/>
        <w:rPr>
          <w:sz w:val="20"/>
          <w:szCs w:val="20"/>
        </w:rPr>
      </w:pPr>
    </w:p>
    <w:p w:rsidR="00514387" w:rsidRDefault="00695BB3">
      <w:pPr>
        <w:ind w:left="92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 xml:space="preserve">АСТМА ТА АЛЕРГІЯ, № 1 </w:t>
      </w:r>
      <w:r>
        <w:rPr>
          <w:rFonts w:ascii="Arial" w:eastAsia="Arial" w:hAnsi="Arial" w:cs="Arial"/>
          <w:sz w:val="16"/>
          <w:szCs w:val="16"/>
        </w:rPr>
        <w:t>•</w:t>
      </w:r>
      <w:r>
        <w:rPr>
          <w:rFonts w:ascii="Arial" w:eastAsia="Arial" w:hAnsi="Arial" w:cs="Arial"/>
          <w:sz w:val="24"/>
          <w:szCs w:val="24"/>
        </w:rPr>
        <w:t xml:space="preserve"> 2018</w:t>
      </w:r>
    </w:p>
    <w:p w:rsidR="00514387" w:rsidRDefault="0051438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7" o:spid="_x0000_s1042" style="position:absolute;z-index:251631104;visibility:visible;mso-wrap-distance-left:0;mso-wrap-distance-right:0" from="263.8pt,-9.1pt" to="482.05pt,-9.1pt" o:allowincell="f" strokeweight=".46981mm"/>
        </w:pict>
      </w:r>
      <w:r>
        <w:rPr>
          <w:sz w:val="20"/>
          <w:szCs w:val="20"/>
        </w:rPr>
        <w:pict>
          <v:line id="Shape 18" o:spid="_x0000_s1043" style="position:absolute;z-index:251632128;visibility:visible;mso-wrap-distance-left:0;mso-wrap-distance-right:0" from="263.8pt,-6.75pt" to="482.05pt,-6.75pt" o:allowincell="f" strokecolor="white" strokeweight="6pt"/>
        </w:pict>
      </w:r>
      <w:r>
        <w:rPr>
          <w:sz w:val="20"/>
          <w:szCs w:val="20"/>
        </w:rPr>
        <w:pict>
          <v:line id="Shape 19" o:spid="_x0000_s1044" style="position:absolute;z-index:251633152;visibility:visible;mso-wrap-distance-left:0;mso-wrap-distance-right:0" from="263.8pt,-6.75pt" to="482.05pt,-6.75pt" o:allowincell="f" strokeweight=".60536mm"/>
        </w:pict>
      </w:r>
      <w:r>
        <w:rPr>
          <w:sz w:val="20"/>
          <w:szCs w:val="20"/>
        </w:rPr>
        <w:pict>
          <v:line id="Shape 20" o:spid="_x0000_s1045" style="position:absolute;z-index:251634176;visibility:visible;mso-wrap-distance-left:0;mso-wrap-distance-right:0" from=".15pt,-9.1pt" to="31.35pt,-9.1pt" o:allowincell="f" strokeweight=".46981mm"/>
        </w:pict>
      </w:r>
      <w:r>
        <w:rPr>
          <w:sz w:val="20"/>
          <w:szCs w:val="20"/>
        </w:rPr>
        <w:pict>
          <v:line id="Shape 21" o:spid="_x0000_s1046" style="position:absolute;z-index:251635200;visibility:visible;mso-wrap-distance-left:0;mso-wrap-distance-right:0" from=".15pt,-6.75pt" to="31.35pt,-6.75pt" o:allowincell="f" strokecolor="white" strokeweight="6pt"/>
        </w:pict>
      </w:r>
      <w:r>
        <w:rPr>
          <w:sz w:val="20"/>
          <w:szCs w:val="20"/>
        </w:rPr>
        <w:pict>
          <v:line id="Shape 22" o:spid="_x0000_s1047" style="position:absolute;z-index:251636224;visibility:visible;mso-wrap-distance-left:0;mso-wrap-distance-right:0" from=".15pt,-6.75pt" to="31.35pt,-6.75pt" o:allowincell="f" strokeweight=".60536mm"/>
        </w:pict>
      </w:r>
      <w:r>
        <w:rPr>
          <w:sz w:val="20"/>
          <w:szCs w:val="20"/>
        </w:rPr>
        <w:pict>
          <v:line id="Shape 23" o:spid="_x0000_s1048" style="position:absolute;z-index:251637248;visibility:visible;mso-wrap-distance-left:0;mso-wrap-distance-right:0" from=".15pt,-4.2pt" to="31.35pt,-4.2pt" o:allowincell="f" strokeweight=".30269mm"/>
        </w:pict>
      </w:r>
      <w:r>
        <w:rPr>
          <w:sz w:val="20"/>
          <w:szCs w:val="20"/>
        </w:rPr>
        <w:pict>
          <v:line id="Shape 24" o:spid="_x0000_s1049" style="position:absolute;z-index:251638272;visibility:visible;mso-wrap-distance-left:0;mso-wrap-distance-right:0" from="263.8pt,-4.2pt" to="482.05pt,-4.2pt" o:allowincell="f" strokeweight=".30269mm"/>
        </w:pict>
      </w:r>
      <w:r>
        <w:rPr>
          <w:sz w:val="20"/>
          <w:szCs w:val="20"/>
        </w:rPr>
        <w:pict>
          <v:rect id="Shape 25" o:spid="_x0000_s1050" style="position:absolute;margin-left:31.4pt;margin-top:-11.7pt;width:232.4pt;height:22.9pt;z-index:-251632128;visibility:visible;mso-wrap-distance-left:0;mso-wrap-distance-right:0" o:allowincell="f" stroked="f"/>
        </w:pict>
      </w:r>
    </w:p>
    <w:p w:rsidR="00514387" w:rsidRDefault="00514387">
      <w:pPr>
        <w:sectPr w:rsidR="00514387">
          <w:type w:val="continuous"/>
          <w:pgSz w:w="11900" w:h="16838"/>
          <w:pgMar w:top="491" w:right="966" w:bottom="0" w:left="1300" w:header="0" w:footer="0" w:gutter="0"/>
          <w:cols w:space="720" w:equalWidth="0">
            <w:col w:w="9640"/>
          </w:cols>
        </w:sectPr>
      </w:pPr>
    </w:p>
    <w:p w:rsidR="00514387" w:rsidRDefault="00514387">
      <w:pPr>
        <w:spacing w:line="54" w:lineRule="exact"/>
        <w:rPr>
          <w:sz w:val="20"/>
          <w:szCs w:val="20"/>
        </w:rPr>
      </w:pPr>
    </w:p>
    <w:p w:rsidR="00514387" w:rsidRDefault="00695BB3">
      <w:pPr>
        <w:ind w:left="920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ISSN 2307-3373</w:t>
      </w:r>
    </w:p>
    <w:p w:rsidR="00514387" w:rsidRDefault="00514387">
      <w:pPr>
        <w:sectPr w:rsidR="00514387">
          <w:type w:val="continuous"/>
          <w:pgSz w:w="11900" w:h="16838"/>
          <w:pgMar w:top="491" w:right="966" w:bottom="0" w:left="1300" w:header="0" w:footer="0" w:gutter="0"/>
          <w:cols w:space="720" w:equalWidth="0">
            <w:col w:w="9640"/>
          </w:cols>
        </w:sectPr>
      </w:pPr>
    </w:p>
    <w:p w:rsidR="00514387" w:rsidRDefault="00514387">
      <w:pPr>
        <w:tabs>
          <w:tab w:val="left" w:pos="733"/>
        </w:tabs>
        <w:ind w:left="160"/>
        <w:rPr>
          <w:sz w:val="20"/>
          <w:szCs w:val="20"/>
        </w:rPr>
      </w:pPr>
      <w:bookmarkStart w:id="3" w:name="page4"/>
      <w:bookmarkEnd w:id="3"/>
      <w:r w:rsidRPr="00514387">
        <w:rPr>
          <w:rFonts w:ascii="Arial" w:eastAsia="Arial" w:hAnsi="Arial" w:cs="Arial"/>
          <w:b/>
          <w:bCs/>
          <w:color w:val="FFFFFF"/>
          <w:sz w:val="48"/>
          <w:szCs w:val="48"/>
          <w:vertAlign w:val="superscript"/>
        </w:rPr>
        <w:lastRenderedPageBreak/>
        <w:pict>
          <v:rect id="Shape 26" o:spid="_x0000_s1051" style="position:absolute;left:0;text-align:left;margin-left:48.2pt;margin-top:17pt;width:28.35pt;height:28.35pt;z-index:-251631104;visibility:visible;mso-wrap-distance-left:0;mso-wrap-distance-right:0;mso-position-horizontal-relative:page;mso-position-vertical-relative:page" o:allowincell="f" fillcolor="#c5c6c6" stroked="f">
            <w10:wrap anchorx="page" anchory="page"/>
          </v:rect>
        </w:pict>
      </w:r>
      <w:r w:rsidR="00695BB3">
        <w:rPr>
          <w:rFonts w:ascii="Arial" w:eastAsia="Arial" w:hAnsi="Arial" w:cs="Arial"/>
          <w:b/>
          <w:bCs/>
          <w:color w:val="FFFFFF"/>
          <w:sz w:val="48"/>
          <w:szCs w:val="48"/>
          <w:vertAlign w:val="superscript"/>
        </w:rPr>
        <w:t>16</w:t>
      </w:r>
      <w:r w:rsidR="00695BB3">
        <w:rPr>
          <w:sz w:val="20"/>
          <w:szCs w:val="20"/>
        </w:rPr>
        <w:tab/>
      </w:r>
      <w:r w:rsidR="00695BB3">
        <w:rPr>
          <w:noProof/>
          <w:sz w:val="1"/>
          <w:szCs w:val="1"/>
        </w:rPr>
        <w:drawing>
          <wp:inline distT="0" distB="0" distL="0" distR="0">
            <wp:extent cx="3147695" cy="7620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69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5BB3">
        <w:rPr>
          <w:rFonts w:ascii="Arial" w:eastAsia="Arial" w:hAnsi="Arial" w:cs="Arial"/>
          <w:sz w:val="24"/>
          <w:szCs w:val="24"/>
        </w:rPr>
        <w:t xml:space="preserve"> ОРИГІНАЛЬНІ СТАТТІ</w:t>
      </w:r>
    </w:p>
    <w:p w:rsidR="00514387" w:rsidRDefault="0051438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28" o:spid="_x0000_s1053" style="position:absolute;z-index:251639296;visibility:visible;mso-wrap-distance-left:0;mso-wrap-distance-right:0" from="442.35pt,-6pt" to="482.05pt,-6pt" o:allowincell="f" strokeweight=".30269mm"/>
        </w:pict>
      </w:r>
      <w:r>
        <w:rPr>
          <w:sz w:val="20"/>
          <w:szCs w:val="20"/>
        </w:rPr>
        <w:pict>
          <v:line id="Shape 29" o:spid="_x0000_s1054" style="position:absolute;z-index:251640320;visibility:visible;mso-wrap-distance-left:0;mso-wrap-distance-right:0" from="442.35pt,-3.45pt" to="482.05pt,-3.45pt" o:allowincell="f" strokeweight=".60536mm"/>
        </w:pict>
      </w:r>
      <w:r>
        <w:rPr>
          <w:sz w:val="20"/>
          <w:szCs w:val="20"/>
        </w:rPr>
        <w:pict>
          <v:line id="Shape 30" o:spid="_x0000_s1055" style="position:absolute;z-index:251641344;visibility:visible;mso-wrap-distance-left:0;mso-wrap-distance-right:0" from="442.35pt,-.9pt" to="482.05pt,-.9pt" o:allowincell="f" strokeweight=".30269mm"/>
        </w:pict>
      </w:r>
      <w:r>
        <w:rPr>
          <w:sz w:val="20"/>
          <w:szCs w:val="20"/>
        </w:rPr>
        <w:pict>
          <v:rect id="Shape 31" o:spid="_x0000_s1056" style="position:absolute;margin-left:285.5pt;margin-top:-8.55pt;width:156.85pt;height:9.3pt;z-index:-251630080;visibility:visible;mso-wrap-distance-left:0;mso-wrap-distance-right:0" o:allowincell="f" stroked="f"/>
        </w:pict>
      </w: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31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60"/>
        <w:gridCol w:w="900"/>
        <w:gridCol w:w="180"/>
        <w:gridCol w:w="840"/>
        <w:gridCol w:w="860"/>
        <w:gridCol w:w="880"/>
        <w:gridCol w:w="180"/>
        <w:gridCol w:w="860"/>
        <w:gridCol w:w="840"/>
        <w:gridCol w:w="1420"/>
        <w:gridCol w:w="1420"/>
        <w:gridCol w:w="30"/>
      </w:tblGrid>
      <w:tr w:rsidR="00514387">
        <w:trPr>
          <w:trHeight w:val="255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spacing w:line="255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визначення ІL</w:t>
            </w:r>
            <w:r>
              <w:rPr>
                <w:rFonts w:ascii="Arial Unicode MS" w:eastAsia="Arial Unicode MS" w:hAnsi="Arial Unicode MS" w:cs="Arial Unicode MS"/>
                <w:sz w:val="19"/>
                <w:szCs w:val="19"/>
              </w:rPr>
              <w:t>‑</w:t>
            </w:r>
            <w:r>
              <w:rPr>
                <w:rFonts w:eastAsia="Times New Roman"/>
                <w:sz w:val="19"/>
                <w:szCs w:val="19"/>
              </w:rPr>
              <w:t>8 та ІL</w:t>
            </w:r>
            <w:r>
              <w:rPr>
                <w:rFonts w:ascii="Arial Unicode MS" w:eastAsia="Arial Unicode MS" w:hAnsi="Arial Unicode MS" w:cs="Arial Unicode MS"/>
                <w:sz w:val="19"/>
                <w:szCs w:val="19"/>
              </w:rPr>
              <w:t>‑</w:t>
            </w:r>
            <w:r>
              <w:rPr>
                <w:rFonts w:eastAsia="Times New Roman"/>
                <w:sz w:val="19"/>
                <w:szCs w:val="19"/>
              </w:rPr>
              <w:t xml:space="preserve">12 </w:t>
            </w:r>
            <w:r>
              <w:rPr>
                <w:rFonts w:eastAsia="Times New Roman"/>
                <w:sz w:val="19"/>
                <w:szCs w:val="19"/>
              </w:rPr>
              <w:t>застосовували комерційні</w:t>
            </w:r>
          </w:p>
        </w:tc>
        <w:tc>
          <w:tcPr>
            <w:tcW w:w="180" w:type="dxa"/>
            <w:vAlign w:val="bottom"/>
          </w:tcPr>
          <w:p w:rsidR="00514387" w:rsidRDefault="00514387"/>
        </w:tc>
        <w:tc>
          <w:tcPr>
            <w:tcW w:w="4540" w:type="dxa"/>
            <w:gridSpan w:val="4"/>
            <w:vAlign w:val="bottom"/>
          </w:tcPr>
          <w:p w:rsidR="00514387" w:rsidRDefault="00695BB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Згідно з отриманими даними при дослідженні ІМТ,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36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імуноферментні  тест-системи  БЕСТ-ІФА  фірми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хворі I групи були з нормальною вагою – ​ІМТ в се-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36"/>
        </w:trPr>
        <w:tc>
          <w:tcPr>
            <w:tcW w:w="1260" w:type="dxa"/>
            <w:vAlign w:val="bottom"/>
          </w:tcPr>
          <w:p w:rsidR="00514387" w:rsidRDefault="00695BB3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Вектор-Бест.</w:t>
            </w:r>
          </w:p>
        </w:tc>
        <w:tc>
          <w:tcPr>
            <w:tcW w:w="900" w:type="dxa"/>
            <w:vAlign w:val="bottom"/>
          </w:tcPr>
          <w:p w:rsidR="00514387" w:rsidRDefault="00514387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 w:rsidR="00514387" w:rsidRDefault="0051438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bottom"/>
          </w:tcPr>
          <w:p w:rsidR="00514387" w:rsidRDefault="00514387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514387" w:rsidRDefault="00514387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Align w:val="bottom"/>
          </w:tcPr>
          <w:p w:rsidR="00514387" w:rsidRDefault="00514387">
            <w:pPr>
              <w:rPr>
                <w:sz w:val="20"/>
                <w:szCs w:val="20"/>
              </w:rPr>
            </w:pP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редньому становив 22,0 [21, 22, 7], в ІІ групі 15 (42,8%)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36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Статистична обробка даних проводилася за допо-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хворих мали надлишкову вагу і 20 (57,2%) – ​ожи-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36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могою програмного продукту SPSS19 (IBM, США).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ріння I ступеня, що в середньому становило по групі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36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Кількісні перемінні описували за допомогою наступ-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28,5 </w:t>
            </w:r>
            <w:r>
              <w:rPr>
                <w:rFonts w:eastAsia="Times New Roman"/>
                <w:sz w:val="19"/>
                <w:szCs w:val="19"/>
              </w:rPr>
              <w:t>(див. таблицю) [26, 7, 32, 15]. Проведений кореля-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36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spacing w:line="236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них параметрів: медіани (Ме), 25</w:t>
            </w:r>
            <w:r>
              <w:rPr>
                <w:rFonts w:ascii="Arial Unicode MS" w:eastAsia="Arial Unicode MS" w:hAnsi="Arial Unicode MS" w:cs="Arial Unicode MS"/>
                <w:sz w:val="19"/>
                <w:szCs w:val="19"/>
              </w:rPr>
              <w:t>‑</w:t>
            </w:r>
            <w:r>
              <w:rPr>
                <w:rFonts w:eastAsia="Times New Roman"/>
                <w:sz w:val="19"/>
                <w:szCs w:val="19"/>
              </w:rPr>
              <w:t>м і 75</w:t>
            </w:r>
            <w:r>
              <w:rPr>
                <w:rFonts w:ascii="Arial Unicode MS" w:eastAsia="Arial Unicode MS" w:hAnsi="Arial Unicode MS" w:cs="Arial Unicode MS"/>
                <w:sz w:val="19"/>
                <w:szCs w:val="19"/>
              </w:rPr>
              <w:t>‑</w:t>
            </w:r>
            <w:r>
              <w:rPr>
                <w:rFonts w:eastAsia="Times New Roman"/>
                <w:sz w:val="19"/>
                <w:szCs w:val="19"/>
              </w:rPr>
              <w:t>м процен-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ційний аналіз у хворих ІІ групи виявив помітну значущу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36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тилями (M [25%, 75%]). Для визначення відміннос-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кореляцію між віком та співвідношенням ОТ/ОС (r</w:t>
            </w:r>
            <w:r>
              <w:rPr>
                <w:rFonts w:eastAsia="Times New Roman"/>
                <w:sz w:val="19"/>
                <w:szCs w:val="19"/>
              </w:rPr>
              <w:t xml:space="preserve"> =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36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тей між незалежними вибірками використовували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0,52, p &lt; 0,001), що вказує на збільшення абдоміналь-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36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U-критерій Манна – Уітні. Для аналізу нормально-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них жирових депо впродовж життя у хворих цієї групи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63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сті розподілу даних застосовували критерій Шап</w:t>
            </w:r>
            <w:r>
              <w:rPr>
                <w:rFonts w:eastAsia="Times New Roman"/>
                <w:sz w:val="19"/>
                <w:szCs w:val="19"/>
              </w:rPr>
              <w:t>іро –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та між FEV</w:t>
            </w:r>
            <w:r>
              <w:rPr>
                <w:rFonts w:eastAsia="Times New Roman"/>
                <w:vertAlign w:val="subscript"/>
              </w:rPr>
              <w:t>1</w:t>
            </w:r>
            <w:r>
              <w:rPr>
                <w:rFonts w:eastAsia="Times New Roman"/>
                <w:sz w:val="19"/>
                <w:szCs w:val="19"/>
              </w:rPr>
              <w:t xml:space="preserve"> і ІМТ r = –0,63 (р &lt; 0,001), що вказує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09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spacing w:line="209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Уїлка. Для оцінки зв’язків між показниками прове-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spacing w:line="209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на негативний вплив ожиріння на функцію легень [6].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36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дено кореляційний аналіз з використанням критерію</w:t>
            </w:r>
          </w:p>
        </w:tc>
        <w:tc>
          <w:tcPr>
            <w:tcW w:w="180" w:type="dxa"/>
            <w:vAlign w:val="bottom"/>
          </w:tcPr>
          <w:p w:rsidR="00514387" w:rsidRDefault="00514387">
            <w:pPr>
              <w:rPr>
                <w:sz w:val="20"/>
                <w:szCs w:val="20"/>
              </w:rPr>
            </w:pPr>
          </w:p>
        </w:tc>
        <w:tc>
          <w:tcPr>
            <w:tcW w:w="4540" w:type="dxa"/>
            <w:gridSpan w:val="4"/>
            <w:vAlign w:val="bottom"/>
          </w:tcPr>
          <w:p w:rsidR="00514387" w:rsidRDefault="00695BB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Відомо, що розвиток різноманітних </w:t>
            </w:r>
            <w:r>
              <w:rPr>
                <w:rFonts w:eastAsia="Times New Roman"/>
                <w:sz w:val="19"/>
                <w:szCs w:val="19"/>
              </w:rPr>
              <w:t>ускладнень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36"/>
        </w:trPr>
        <w:tc>
          <w:tcPr>
            <w:tcW w:w="3180" w:type="dxa"/>
            <w:gridSpan w:val="4"/>
            <w:vAlign w:val="bottom"/>
          </w:tcPr>
          <w:p w:rsidR="00514387" w:rsidRDefault="00695BB3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Спірмена (г) і шкали Чеддока.</w:t>
            </w:r>
          </w:p>
        </w:tc>
        <w:tc>
          <w:tcPr>
            <w:tcW w:w="860" w:type="dxa"/>
            <w:vAlign w:val="bottom"/>
          </w:tcPr>
          <w:p w:rsidR="00514387" w:rsidRDefault="00514387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Align w:val="bottom"/>
          </w:tcPr>
          <w:p w:rsidR="00514387" w:rsidRDefault="00514387">
            <w:pPr>
              <w:rPr>
                <w:sz w:val="20"/>
                <w:szCs w:val="20"/>
              </w:rPr>
            </w:pP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ЦД2Т пов’язаний з його тривалістю [15]. Для вияв-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36"/>
        </w:trPr>
        <w:tc>
          <w:tcPr>
            <w:tcW w:w="1260" w:type="dxa"/>
            <w:vAlign w:val="bottom"/>
          </w:tcPr>
          <w:p w:rsidR="00514387" w:rsidRDefault="0051438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514387" w:rsidRDefault="00514387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vAlign w:val="bottom"/>
          </w:tcPr>
          <w:p w:rsidR="00514387" w:rsidRDefault="00514387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bottom"/>
          </w:tcPr>
          <w:p w:rsidR="00514387" w:rsidRDefault="00514387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514387" w:rsidRDefault="00514387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Align w:val="bottom"/>
          </w:tcPr>
          <w:p w:rsidR="00514387" w:rsidRDefault="00514387">
            <w:pPr>
              <w:rPr>
                <w:sz w:val="20"/>
                <w:szCs w:val="20"/>
              </w:rPr>
            </w:pP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лення можливих взаємозв’язків між тривалістю ЦД2Т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38"/>
        </w:trPr>
        <w:tc>
          <w:tcPr>
            <w:tcW w:w="3180" w:type="dxa"/>
            <w:gridSpan w:val="4"/>
            <w:vAlign w:val="bottom"/>
          </w:tcPr>
          <w:p w:rsidR="00514387" w:rsidRDefault="00695BB3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Результати та їх обговорення</w:t>
            </w:r>
          </w:p>
        </w:tc>
        <w:tc>
          <w:tcPr>
            <w:tcW w:w="860" w:type="dxa"/>
            <w:vAlign w:val="bottom"/>
          </w:tcPr>
          <w:p w:rsidR="00514387" w:rsidRDefault="00514387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vAlign w:val="bottom"/>
          </w:tcPr>
          <w:p w:rsidR="00514387" w:rsidRDefault="00514387">
            <w:pPr>
              <w:rPr>
                <w:sz w:val="20"/>
                <w:szCs w:val="20"/>
              </w:rPr>
            </w:pP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та розвитком порушень ФЗД був проведений кореля-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34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Проводячи </w:t>
            </w:r>
            <w:r>
              <w:rPr>
                <w:rFonts w:eastAsia="Times New Roman"/>
                <w:sz w:val="19"/>
                <w:szCs w:val="19"/>
              </w:rPr>
              <w:t>інтерпретацію різних механізмів по-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ційний аналіз. Було встановлено зниження форсованої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36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рушення легеневої функції, виявили, що в I групі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життєвої ємності легень (FVС) в залежності від трива-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63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у 20 (100%) хворих було діагностовано лише обструк-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лості </w:t>
            </w:r>
            <w:r>
              <w:rPr>
                <w:rFonts w:eastAsia="Times New Roman"/>
                <w:sz w:val="19"/>
                <w:szCs w:val="19"/>
              </w:rPr>
              <w:t>захворювання та FEV</w:t>
            </w:r>
            <w:r>
              <w:rPr>
                <w:rFonts w:eastAsia="Times New Roman"/>
                <w:vertAlign w:val="subscript"/>
              </w:rPr>
              <w:t>1</w:t>
            </w:r>
            <w:r>
              <w:rPr>
                <w:rFonts w:eastAsia="Times New Roman"/>
                <w:sz w:val="19"/>
                <w:szCs w:val="19"/>
              </w:rPr>
              <w:t xml:space="preserve"> у хворих на БА з ЦД2Т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09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spacing w:line="209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тивний тип порушення. У ІІ групі у 6 (19,3%) хворих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spacing w:line="20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r = –0,38 (р &lt; 0,001) і r = –0,54 (р &lt; 0,05) відповідно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63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було виявлено рестриктивний тип, 13 (41,9%) – ​об-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з індексом FEV</w:t>
            </w:r>
            <w:r>
              <w:rPr>
                <w:rFonts w:eastAsia="Times New Roman"/>
                <w:vertAlign w:val="subscript"/>
              </w:rPr>
              <w:t>1</w:t>
            </w:r>
            <w:r>
              <w:rPr>
                <w:rFonts w:eastAsia="Times New Roman"/>
                <w:sz w:val="19"/>
                <w:szCs w:val="19"/>
              </w:rPr>
              <w:t xml:space="preserve">/ FVC r = –0,43 (р &lt; 0,05). В І </w:t>
            </w:r>
            <w:r>
              <w:rPr>
                <w:rFonts w:eastAsia="Times New Roman"/>
                <w:sz w:val="19"/>
                <w:szCs w:val="19"/>
              </w:rPr>
              <w:t>групі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09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spacing w:line="209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структивний, 12 (38,8%) – ​змішаний тип порушення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spacing w:line="209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відсутній статистично значущий зв’язок – кореляція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63"/>
        </w:trPr>
        <w:tc>
          <w:tcPr>
            <w:tcW w:w="1260" w:type="dxa"/>
            <w:vAlign w:val="bottom"/>
          </w:tcPr>
          <w:p w:rsidR="00514387" w:rsidRDefault="00695BB3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ФЗД.</w:t>
            </w:r>
          </w:p>
        </w:tc>
        <w:tc>
          <w:tcPr>
            <w:tcW w:w="900" w:type="dxa"/>
            <w:vAlign w:val="bottom"/>
          </w:tcPr>
          <w:p w:rsidR="00514387" w:rsidRDefault="00514387"/>
        </w:tc>
        <w:tc>
          <w:tcPr>
            <w:tcW w:w="180" w:type="dxa"/>
            <w:vAlign w:val="bottom"/>
          </w:tcPr>
          <w:p w:rsidR="00514387" w:rsidRDefault="00514387"/>
        </w:tc>
        <w:tc>
          <w:tcPr>
            <w:tcW w:w="840" w:type="dxa"/>
            <w:vAlign w:val="bottom"/>
          </w:tcPr>
          <w:p w:rsidR="00514387" w:rsidRDefault="00514387"/>
        </w:tc>
        <w:tc>
          <w:tcPr>
            <w:tcW w:w="860" w:type="dxa"/>
            <w:vAlign w:val="bottom"/>
          </w:tcPr>
          <w:p w:rsidR="00514387" w:rsidRDefault="00514387"/>
        </w:tc>
        <w:tc>
          <w:tcPr>
            <w:tcW w:w="880" w:type="dxa"/>
            <w:vAlign w:val="bottom"/>
          </w:tcPr>
          <w:p w:rsidR="00514387" w:rsidRDefault="00514387"/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між FEV</w:t>
            </w:r>
            <w:r>
              <w:rPr>
                <w:rFonts w:eastAsia="Times New Roman"/>
                <w:vertAlign w:val="subscript"/>
              </w:rPr>
              <w:t>1</w:t>
            </w:r>
            <w:r>
              <w:rPr>
                <w:rFonts w:eastAsia="Times New Roman"/>
                <w:sz w:val="19"/>
                <w:szCs w:val="19"/>
              </w:rPr>
              <w:t xml:space="preserve"> та тривалістю захворювання була відсутня.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09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spacing w:line="209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Таким чином, вірогідна перевага обструктивного</w:t>
            </w:r>
          </w:p>
        </w:tc>
        <w:tc>
          <w:tcPr>
            <w:tcW w:w="180" w:type="dxa"/>
            <w:vAlign w:val="bottom"/>
          </w:tcPr>
          <w:p w:rsidR="00514387" w:rsidRDefault="00514387">
            <w:pPr>
              <w:rPr>
                <w:sz w:val="18"/>
                <w:szCs w:val="18"/>
              </w:rPr>
            </w:pPr>
          </w:p>
        </w:tc>
        <w:tc>
          <w:tcPr>
            <w:tcW w:w="4540" w:type="dxa"/>
            <w:gridSpan w:val="4"/>
            <w:vAlign w:val="bottom"/>
          </w:tcPr>
          <w:p w:rsidR="00514387" w:rsidRDefault="00695BB3">
            <w:pPr>
              <w:spacing w:line="209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Нами був виявлений статистично </w:t>
            </w:r>
            <w:r>
              <w:rPr>
                <w:rFonts w:eastAsia="Times New Roman"/>
                <w:sz w:val="19"/>
                <w:szCs w:val="19"/>
              </w:rPr>
              <w:t>значущий ко-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63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(р &lt; 0,001) та змішаного (р &lt; 0,001) типів вентиляцій-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реляційний зв’язок між показником FEV</w:t>
            </w:r>
            <w:r>
              <w:rPr>
                <w:rFonts w:eastAsia="Times New Roman"/>
                <w:vertAlign w:val="subscript"/>
              </w:rPr>
              <w:t>1</w:t>
            </w:r>
            <w:r>
              <w:rPr>
                <w:rFonts w:eastAsia="Times New Roman"/>
                <w:sz w:val="19"/>
                <w:szCs w:val="19"/>
              </w:rPr>
              <w:t xml:space="preserve">  та рів-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09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spacing w:line="209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них порушень у хворих порівняно з І групою може бути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spacing w:line="20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нем НbА1с. У I групі коефіцієнт кореляції становив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36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обумовлена не лише спазмом </w:t>
            </w:r>
            <w:r>
              <w:rPr>
                <w:rFonts w:eastAsia="Times New Roman"/>
                <w:sz w:val="19"/>
                <w:szCs w:val="19"/>
              </w:rPr>
              <w:t>гладенької мускулатури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r = –0,12 (р &lt; 0,08), в II групі – ​r = –0,49 (р &lt; 0,001).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63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бронхів, їх деформацією, експіраторним колапсом,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Зміни показника FEV</w:t>
            </w:r>
            <w:r>
              <w:rPr>
                <w:rFonts w:eastAsia="Times New Roman"/>
                <w:vertAlign w:val="subscript"/>
              </w:rPr>
              <w:t>1</w:t>
            </w:r>
            <w:r>
              <w:rPr>
                <w:rFonts w:eastAsia="Times New Roman"/>
                <w:sz w:val="19"/>
                <w:szCs w:val="19"/>
              </w:rPr>
              <w:t xml:space="preserve"> в залежності від рівня глюкози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09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spacing w:line="209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а також, за думкою деяких авторів, механічними ефек-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spacing w:line="209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 xml:space="preserve">крові у хворих </w:t>
            </w:r>
            <w:r>
              <w:rPr>
                <w:rFonts w:eastAsia="Times New Roman"/>
                <w:sz w:val="19"/>
                <w:szCs w:val="19"/>
              </w:rPr>
              <w:t>на ЦД також були виявлені в дослі-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36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тами абдомінального ожиріння, що пов’язані зі зни-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дженні Framingham Offspring Cohort [22]. Водночас,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81"/>
        </w:trPr>
        <w:tc>
          <w:tcPr>
            <w:tcW w:w="4920" w:type="dxa"/>
            <w:gridSpan w:val="6"/>
            <w:vAlign w:val="bottom"/>
          </w:tcPr>
          <w:p w:rsidR="00514387" w:rsidRDefault="00695BB3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женням екскурсії діафрагми та грудної клітки [9].</w:t>
            </w:r>
          </w:p>
        </w:tc>
        <w:tc>
          <w:tcPr>
            <w:tcW w:w="4720" w:type="dxa"/>
            <w:gridSpan w:val="5"/>
            <w:vAlign w:val="bottom"/>
          </w:tcPr>
          <w:p w:rsidR="00514387" w:rsidRDefault="00695BB3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деякі дослідники не виявили суттєвих змін FEV</w:t>
            </w:r>
            <w:r>
              <w:rPr>
                <w:rFonts w:eastAsia="Times New Roman"/>
                <w:vertAlign w:val="subscript"/>
              </w:rPr>
              <w:t>1</w:t>
            </w:r>
            <w:r>
              <w:rPr>
                <w:rFonts w:eastAsia="Times New Roman"/>
                <w:sz w:val="19"/>
                <w:szCs w:val="19"/>
              </w:rPr>
              <w:t xml:space="preserve"> при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131"/>
        </w:trPr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11"/>
                <w:szCs w:val="11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58"/>
        </w:trPr>
        <w:tc>
          <w:tcPr>
            <w:tcW w:w="1260" w:type="dxa"/>
            <w:tcBorders>
              <w:left w:val="single" w:sz="8" w:space="0" w:color="auto"/>
            </w:tcBorders>
            <w:vAlign w:val="bottom"/>
          </w:tcPr>
          <w:p w:rsidR="00514387" w:rsidRDefault="00514387"/>
        </w:tc>
        <w:tc>
          <w:tcPr>
            <w:tcW w:w="900" w:type="dxa"/>
            <w:vAlign w:val="bottom"/>
          </w:tcPr>
          <w:p w:rsidR="00514387" w:rsidRDefault="00514387"/>
        </w:tc>
        <w:tc>
          <w:tcPr>
            <w:tcW w:w="180" w:type="dxa"/>
            <w:vAlign w:val="bottom"/>
          </w:tcPr>
          <w:p w:rsidR="00514387" w:rsidRDefault="00514387"/>
        </w:tc>
        <w:tc>
          <w:tcPr>
            <w:tcW w:w="840" w:type="dxa"/>
            <w:vAlign w:val="bottom"/>
          </w:tcPr>
          <w:p w:rsidR="00514387" w:rsidRDefault="00514387"/>
        </w:tc>
        <w:tc>
          <w:tcPr>
            <w:tcW w:w="860" w:type="dxa"/>
            <w:vAlign w:val="bottom"/>
          </w:tcPr>
          <w:p w:rsidR="00514387" w:rsidRDefault="00514387"/>
        </w:tc>
        <w:tc>
          <w:tcPr>
            <w:tcW w:w="880" w:type="dxa"/>
            <w:vAlign w:val="bottom"/>
          </w:tcPr>
          <w:p w:rsidR="00514387" w:rsidRDefault="00514387"/>
        </w:tc>
        <w:tc>
          <w:tcPr>
            <w:tcW w:w="180" w:type="dxa"/>
            <w:vAlign w:val="bottom"/>
          </w:tcPr>
          <w:p w:rsidR="00514387" w:rsidRDefault="00514387"/>
        </w:tc>
        <w:tc>
          <w:tcPr>
            <w:tcW w:w="860" w:type="dxa"/>
            <w:vAlign w:val="bottom"/>
          </w:tcPr>
          <w:p w:rsidR="00514387" w:rsidRDefault="00514387"/>
        </w:tc>
        <w:tc>
          <w:tcPr>
            <w:tcW w:w="840" w:type="dxa"/>
            <w:vAlign w:val="bottom"/>
          </w:tcPr>
          <w:p w:rsidR="00514387" w:rsidRDefault="00514387"/>
        </w:tc>
        <w:tc>
          <w:tcPr>
            <w:tcW w:w="1420" w:type="dxa"/>
            <w:vAlign w:val="bottom"/>
          </w:tcPr>
          <w:p w:rsidR="00514387" w:rsidRDefault="00514387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i/>
                <w:iCs/>
                <w:sz w:val="16"/>
                <w:szCs w:val="16"/>
              </w:rPr>
              <w:t>Таблиця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190"/>
        </w:trPr>
        <w:tc>
          <w:tcPr>
            <w:tcW w:w="9640" w:type="dxa"/>
            <w:gridSpan w:val="11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695BB3">
            <w:pPr>
              <w:ind w:left="5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Результати досліджуваних показників (медіана [Ме], процентилі [25%, 75%]) у хворих на БА та БА + ЦД2Т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74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060" w:type="dxa"/>
            <w:gridSpan w:val="2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57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900" w:type="dxa"/>
            <w:vAlign w:val="bottom"/>
          </w:tcPr>
          <w:p w:rsidR="00514387" w:rsidRDefault="00514387"/>
        </w:tc>
        <w:tc>
          <w:tcPr>
            <w:tcW w:w="1020" w:type="dxa"/>
            <w:gridSpan w:val="2"/>
            <w:vAlign w:val="bottom"/>
          </w:tcPr>
          <w:p w:rsidR="00514387" w:rsidRDefault="00695BB3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БА (n = 20)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2760" w:type="dxa"/>
            <w:gridSpan w:val="4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ind w:left="6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БА + ЦД2Т (n = 31)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74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ind w:left="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U-критерій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162"/>
        </w:trPr>
        <w:tc>
          <w:tcPr>
            <w:tcW w:w="12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695BB3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Показаники</w:t>
            </w:r>
          </w:p>
        </w:tc>
        <w:tc>
          <w:tcPr>
            <w:tcW w:w="900" w:type="dxa"/>
            <w:vAlign w:val="bottom"/>
          </w:tcPr>
          <w:p w:rsidR="00514387" w:rsidRDefault="00514387">
            <w:pPr>
              <w:rPr>
                <w:sz w:val="14"/>
                <w:szCs w:val="1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14"/>
                <w:szCs w:val="14"/>
              </w:rPr>
            </w:pPr>
          </w:p>
        </w:tc>
        <w:tc>
          <w:tcPr>
            <w:tcW w:w="17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ind w:left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Процентилі</w:t>
            </w:r>
          </w:p>
        </w:tc>
        <w:tc>
          <w:tcPr>
            <w:tcW w:w="880" w:type="dxa"/>
            <w:vAlign w:val="bottom"/>
          </w:tcPr>
          <w:p w:rsidR="00514387" w:rsidRDefault="00514387">
            <w:pPr>
              <w:rPr>
                <w:sz w:val="14"/>
                <w:szCs w:val="1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14"/>
                <w:szCs w:val="14"/>
              </w:rPr>
            </w:pPr>
          </w:p>
        </w:tc>
        <w:tc>
          <w:tcPr>
            <w:tcW w:w="17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Процентилі</w:t>
            </w: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Значимість, р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94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vMerge w:val="restart"/>
            <w:vAlign w:val="bottom"/>
          </w:tcPr>
          <w:p w:rsidR="00514387" w:rsidRDefault="00695BB3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16"/>
                <w:szCs w:val="16"/>
              </w:rPr>
              <w:t>Медіана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vMerge w:val="restart"/>
            <w:vAlign w:val="bottom"/>
          </w:tcPr>
          <w:p w:rsidR="00514387" w:rsidRDefault="00695BB3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Медіана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7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spacing w:line="168" w:lineRule="exact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Манна – Уітні​</w:t>
            </w: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74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900" w:type="dxa"/>
            <w:vMerge/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vMerge/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83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7"/>
                <w:szCs w:val="7"/>
              </w:rPr>
            </w:pPr>
          </w:p>
        </w:tc>
        <w:tc>
          <w:tcPr>
            <w:tcW w:w="900" w:type="dxa"/>
            <w:vMerge/>
            <w:vAlign w:val="bottom"/>
          </w:tcPr>
          <w:p w:rsidR="00514387" w:rsidRDefault="00514387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75</w:t>
            </w:r>
          </w:p>
        </w:tc>
        <w:tc>
          <w:tcPr>
            <w:tcW w:w="880" w:type="dxa"/>
            <w:vMerge/>
            <w:vAlign w:val="bottom"/>
          </w:tcPr>
          <w:p w:rsidR="00514387" w:rsidRDefault="00514387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75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7"/>
                <w:szCs w:val="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17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:rsidR="00514387" w:rsidRDefault="00514387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15"/>
                <w:szCs w:val="15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15"/>
                <w:szCs w:val="15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vAlign w:val="bottom"/>
          </w:tcPr>
          <w:p w:rsidR="00514387" w:rsidRDefault="00514387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15"/>
                <w:szCs w:val="15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15"/>
                <w:szCs w:val="15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15"/>
                <w:szCs w:val="15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72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57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695BB3">
            <w:pPr>
              <w:spacing w:line="215" w:lineRule="exact"/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ІL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‑</w:t>
            </w:r>
            <w:r>
              <w:rPr>
                <w:rFonts w:ascii="Arial" w:eastAsia="Arial" w:hAnsi="Arial" w:cs="Arial"/>
                <w:sz w:val="16"/>
                <w:szCs w:val="16"/>
              </w:rPr>
              <w:t>8, пг/мл</w:t>
            </w:r>
          </w:p>
        </w:tc>
        <w:tc>
          <w:tcPr>
            <w:tcW w:w="900" w:type="dxa"/>
            <w:vAlign w:val="bottom"/>
          </w:tcPr>
          <w:p w:rsidR="00514387" w:rsidRDefault="00695BB3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4,11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3,83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4,63</w:t>
            </w:r>
          </w:p>
        </w:tc>
        <w:tc>
          <w:tcPr>
            <w:tcW w:w="880" w:type="dxa"/>
            <w:vAlign w:val="bottom"/>
          </w:tcPr>
          <w:p w:rsidR="00514387" w:rsidRDefault="00695BB3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134,80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132,05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146,65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0,001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74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57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695BB3">
            <w:pPr>
              <w:spacing w:line="215" w:lineRule="exact"/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ІL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‑</w:t>
            </w:r>
            <w:r>
              <w:rPr>
                <w:rFonts w:ascii="Arial" w:eastAsia="Arial" w:hAnsi="Arial" w:cs="Arial"/>
                <w:sz w:val="16"/>
                <w:szCs w:val="16"/>
              </w:rPr>
              <w:t>12, пг/мл</w:t>
            </w:r>
          </w:p>
        </w:tc>
        <w:tc>
          <w:tcPr>
            <w:tcW w:w="900" w:type="dxa"/>
            <w:vAlign w:val="bottom"/>
          </w:tcPr>
          <w:p w:rsidR="00514387" w:rsidRDefault="00695BB3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9,99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9,40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10,39</w:t>
            </w:r>
          </w:p>
        </w:tc>
        <w:tc>
          <w:tcPr>
            <w:tcW w:w="880" w:type="dxa"/>
            <w:vAlign w:val="bottom"/>
          </w:tcPr>
          <w:p w:rsidR="00514387" w:rsidRDefault="00695BB3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255,60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234,55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305,55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0,001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74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57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695BB3">
            <w:pPr>
              <w:spacing w:line="215" w:lineRule="exact"/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МСР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‑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1, </w:t>
            </w:r>
            <w:r>
              <w:rPr>
                <w:rFonts w:ascii="Arial" w:eastAsia="Arial" w:hAnsi="Arial" w:cs="Arial"/>
                <w:sz w:val="16"/>
                <w:szCs w:val="16"/>
              </w:rPr>
              <w:t>нг/мл</w:t>
            </w:r>
          </w:p>
        </w:tc>
        <w:tc>
          <w:tcPr>
            <w:tcW w:w="900" w:type="dxa"/>
            <w:vAlign w:val="bottom"/>
          </w:tcPr>
          <w:p w:rsidR="00514387" w:rsidRDefault="00695BB3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51,83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49,89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53,61</w:t>
            </w:r>
          </w:p>
        </w:tc>
        <w:tc>
          <w:tcPr>
            <w:tcW w:w="880" w:type="dxa"/>
            <w:vAlign w:val="bottom"/>
          </w:tcPr>
          <w:p w:rsidR="00514387" w:rsidRDefault="00695BB3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16"/>
                <w:szCs w:val="16"/>
              </w:rPr>
              <w:t>806,14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768,36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904,37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0,001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74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57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695BB3">
            <w:pPr>
              <w:spacing w:line="215" w:lineRule="exact"/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MMP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‑</w:t>
            </w:r>
            <w:r>
              <w:rPr>
                <w:rFonts w:ascii="Arial" w:eastAsia="Arial" w:hAnsi="Arial" w:cs="Arial"/>
                <w:sz w:val="16"/>
                <w:szCs w:val="16"/>
              </w:rPr>
              <w:t>9, нг/мл</w:t>
            </w:r>
          </w:p>
        </w:tc>
        <w:tc>
          <w:tcPr>
            <w:tcW w:w="900" w:type="dxa"/>
            <w:vAlign w:val="bottom"/>
          </w:tcPr>
          <w:p w:rsidR="00514387" w:rsidRDefault="00695BB3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35,35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32,84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37,62</w:t>
            </w:r>
          </w:p>
        </w:tc>
        <w:tc>
          <w:tcPr>
            <w:tcW w:w="880" w:type="dxa"/>
            <w:vAlign w:val="bottom"/>
          </w:tcPr>
          <w:p w:rsidR="00514387" w:rsidRDefault="00695BB3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786,50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16"/>
                <w:szCs w:val="16"/>
              </w:rPr>
              <w:t>386,14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8"/>
                <w:sz w:val="16"/>
                <w:szCs w:val="16"/>
              </w:rPr>
              <w:t>933,31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0,001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75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57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695BB3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FVC, %</w:t>
            </w:r>
          </w:p>
        </w:tc>
        <w:tc>
          <w:tcPr>
            <w:tcW w:w="900" w:type="dxa"/>
            <w:vAlign w:val="bottom"/>
          </w:tcPr>
          <w:p w:rsidR="00514387" w:rsidRDefault="00695BB3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98,00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97,00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99,00</w:t>
            </w:r>
          </w:p>
        </w:tc>
        <w:tc>
          <w:tcPr>
            <w:tcW w:w="880" w:type="dxa"/>
            <w:vAlign w:val="bottom"/>
          </w:tcPr>
          <w:p w:rsidR="00514387" w:rsidRDefault="00695BB3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66,54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54,25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73,75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255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0,001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75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96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695BB3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FEV</w:t>
            </w:r>
            <w:r>
              <w:rPr>
                <w:rFonts w:ascii="Arial" w:eastAsia="Arial" w:hAnsi="Arial" w:cs="Arial"/>
                <w:sz w:val="18"/>
                <w:szCs w:val="18"/>
                <w:vertAlign w:val="subscript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, %</w:t>
            </w:r>
          </w:p>
        </w:tc>
        <w:tc>
          <w:tcPr>
            <w:tcW w:w="900" w:type="dxa"/>
            <w:vAlign w:val="bottom"/>
          </w:tcPr>
          <w:p w:rsidR="00514387" w:rsidRDefault="00695BB3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95,00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94,00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95,00</w:t>
            </w:r>
          </w:p>
        </w:tc>
        <w:tc>
          <w:tcPr>
            <w:tcW w:w="880" w:type="dxa"/>
            <w:vAlign w:val="bottom"/>
          </w:tcPr>
          <w:p w:rsidR="00514387" w:rsidRDefault="00695BB3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56,72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43,50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61,75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310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0,001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3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3"/>
                <w:szCs w:val="3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3"/>
                <w:szCs w:val="3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3"/>
                <w:szCs w:val="3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3"/>
                <w:szCs w:val="3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3"/>
                <w:szCs w:val="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3"/>
                <w:szCs w:val="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96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695BB3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FEV</w:t>
            </w:r>
            <w:r>
              <w:rPr>
                <w:rFonts w:ascii="Arial" w:eastAsia="Arial" w:hAnsi="Arial" w:cs="Arial"/>
                <w:sz w:val="18"/>
                <w:szCs w:val="18"/>
                <w:vertAlign w:val="subscript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/FVC</w:t>
            </w:r>
          </w:p>
        </w:tc>
        <w:tc>
          <w:tcPr>
            <w:tcW w:w="900" w:type="dxa"/>
            <w:vAlign w:val="bottom"/>
          </w:tcPr>
          <w:p w:rsidR="00514387" w:rsidRDefault="00695BB3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82,00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81,00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83,00</w:t>
            </w:r>
          </w:p>
        </w:tc>
        <w:tc>
          <w:tcPr>
            <w:tcW w:w="880" w:type="dxa"/>
            <w:vAlign w:val="bottom"/>
          </w:tcPr>
          <w:p w:rsidR="00514387" w:rsidRDefault="00695BB3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70,13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62,00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78,62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16"/>
                <w:szCs w:val="16"/>
              </w:rPr>
              <w:t>482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0,001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3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3"/>
                <w:szCs w:val="3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3"/>
                <w:szCs w:val="3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3"/>
                <w:szCs w:val="3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3"/>
                <w:szCs w:val="3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3"/>
                <w:szCs w:val="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3"/>
                <w:szCs w:val="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57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695BB3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НbА1с, %</w:t>
            </w:r>
          </w:p>
        </w:tc>
        <w:tc>
          <w:tcPr>
            <w:tcW w:w="900" w:type="dxa"/>
            <w:vAlign w:val="bottom"/>
          </w:tcPr>
          <w:p w:rsidR="00514387" w:rsidRDefault="00695BB3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4,24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3,85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4,56</w:t>
            </w:r>
          </w:p>
        </w:tc>
        <w:tc>
          <w:tcPr>
            <w:tcW w:w="880" w:type="dxa"/>
            <w:vAlign w:val="bottom"/>
          </w:tcPr>
          <w:p w:rsidR="00514387" w:rsidRDefault="00695BB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7,41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6,81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9,23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0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0,001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74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57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695BB3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Інсулін,</w:t>
            </w:r>
          </w:p>
        </w:tc>
        <w:tc>
          <w:tcPr>
            <w:tcW w:w="900" w:type="dxa"/>
            <w:vMerge w:val="restart"/>
            <w:vAlign w:val="bottom"/>
          </w:tcPr>
          <w:p w:rsidR="00514387" w:rsidRDefault="00695BB3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8,23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6,90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10,17</w:t>
            </w:r>
          </w:p>
        </w:tc>
        <w:tc>
          <w:tcPr>
            <w:tcW w:w="880" w:type="dxa"/>
            <w:vMerge w:val="restart"/>
            <w:vAlign w:val="bottom"/>
          </w:tcPr>
          <w:p w:rsidR="00514387" w:rsidRDefault="00695BB3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17,57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14,63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20,20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0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0,001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96"/>
        </w:trPr>
        <w:tc>
          <w:tcPr>
            <w:tcW w:w="12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695BB3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мОд/л</w:t>
            </w:r>
          </w:p>
        </w:tc>
        <w:tc>
          <w:tcPr>
            <w:tcW w:w="900" w:type="dxa"/>
            <w:vMerge/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vMerge/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96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75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57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695BB3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Глюкоза,</w:t>
            </w:r>
          </w:p>
        </w:tc>
        <w:tc>
          <w:tcPr>
            <w:tcW w:w="900" w:type="dxa"/>
            <w:vMerge w:val="restart"/>
            <w:vAlign w:val="bottom"/>
          </w:tcPr>
          <w:p w:rsidR="00514387" w:rsidRDefault="00695BB3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4,30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4,09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4,54</w:t>
            </w:r>
          </w:p>
        </w:tc>
        <w:tc>
          <w:tcPr>
            <w:tcW w:w="880" w:type="dxa"/>
            <w:vMerge w:val="restart"/>
            <w:vAlign w:val="bottom"/>
          </w:tcPr>
          <w:p w:rsidR="00514387" w:rsidRDefault="00695BB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8,62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7,32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10,20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0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0,001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96"/>
        </w:trPr>
        <w:tc>
          <w:tcPr>
            <w:tcW w:w="12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695BB3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ммоль/л</w:t>
            </w:r>
          </w:p>
        </w:tc>
        <w:tc>
          <w:tcPr>
            <w:tcW w:w="900" w:type="dxa"/>
            <w:vMerge/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vMerge/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96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75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57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695BB3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Індекс</w:t>
            </w:r>
          </w:p>
        </w:tc>
        <w:tc>
          <w:tcPr>
            <w:tcW w:w="900" w:type="dxa"/>
            <w:vMerge w:val="restart"/>
            <w:vAlign w:val="bottom"/>
          </w:tcPr>
          <w:p w:rsidR="00514387" w:rsidRDefault="00695BB3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1,48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6"/>
                <w:sz w:val="16"/>
                <w:szCs w:val="16"/>
              </w:rPr>
              <w:t>1,27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2,11</w:t>
            </w:r>
          </w:p>
        </w:tc>
        <w:tc>
          <w:tcPr>
            <w:tcW w:w="880" w:type="dxa"/>
            <w:vMerge w:val="restart"/>
            <w:vAlign w:val="bottom"/>
          </w:tcPr>
          <w:p w:rsidR="00514387" w:rsidRDefault="00695BB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6,91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5,11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8,15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0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0,001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96"/>
        </w:trPr>
        <w:tc>
          <w:tcPr>
            <w:tcW w:w="12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695BB3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НОМА-IR</w:t>
            </w:r>
          </w:p>
        </w:tc>
        <w:tc>
          <w:tcPr>
            <w:tcW w:w="900" w:type="dxa"/>
            <w:vMerge/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vMerge/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96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75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57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4387" w:rsidRDefault="00695BB3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ІМТ</w:t>
            </w:r>
          </w:p>
        </w:tc>
        <w:tc>
          <w:tcPr>
            <w:tcW w:w="900" w:type="dxa"/>
            <w:vAlign w:val="bottom"/>
          </w:tcPr>
          <w:p w:rsidR="00514387" w:rsidRDefault="00695BB3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22,00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21,00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22,75</w:t>
            </w:r>
          </w:p>
        </w:tc>
        <w:tc>
          <w:tcPr>
            <w:tcW w:w="880" w:type="dxa"/>
            <w:vAlign w:val="bottom"/>
          </w:tcPr>
          <w:p w:rsidR="00514387" w:rsidRDefault="00695BB3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28,50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514387" w:rsidRDefault="00514387"/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26,70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32,15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16"/>
                <w:szCs w:val="16"/>
              </w:rPr>
              <w:t>5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514387" w:rsidRDefault="00695BB3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6"/>
                <w:szCs w:val="16"/>
              </w:rPr>
              <w:t>0,001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75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4387" w:rsidRDefault="0051438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</w:tbl>
    <w:p w:rsidR="00514387" w:rsidRDefault="00695BB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20864" behindDoc="1" locked="0" layoutInCell="0" allowOverlap="1">
            <wp:simplePos x="0" y="0"/>
            <wp:positionH relativeFrom="column">
              <wp:posOffset>-6350</wp:posOffset>
            </wp:positionH>
            <wp:positionV relativeFrom="paragraph">
              <wp:posOffset>-4070350</wp:posOffset>
            </wp:positionV>
            <wp:extent cx="6130925" cy="4080510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925" cy="408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381" w:lineRule="exact"/>
        <w:rPr>
          <w:sz w:val="20"/>
          <w:szCs w:val="20"/>
        </w:rPr>
      </w:pPr>
    </w:p>
    <w:p w:rsidR="00514387" w:rsidRDefault="00695BB3">
      <w:pPr>
        <w:ind w:left="464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 xml:space="preserve">АСТМА ТА АЛЕРГІЯ, № 1 </w:t>
      </w:r>
      <w:r>
        <w:rPr>
          <w:rFonts w:ascii="Arial" w:eastAsia="Arial" w:hAnsi="Arial" w:cs="Arial"/>
          <w:sz w:val="16"/>
          <w:szCs w:val="16"/>
        </w:rPr>
        <w:t>•</w:t>
      </w:r>
      <w:r>
        <w:rPr>
          <w:rFonts w:ascii="Arial" w:eastAsia="Arial" w:hAnsi="Arial" w:cs="Arial"/>
          <w:sz w:val="24"/>
          <w:szCs w:val="24"/>
        </w:rPr>
        <w:t xml:space="preserve"> 2018</w:t>
      </w:r>
    </w:p>
    <w:p w:rsidR="00514387" w:rsidRDefault="0051438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3" o:spid="_x0000_s1058" style="position:absolute;z-index:251642368;visibility:visible;mso-wrap-distance-left:0;mso-wrap-distance-right:0" from=".15pt,-9.35pt" to="217.9pt,-9.35pt" o:allowincell="f" strokeweight=".30269mm"/>
        </w:pict>
      </w:r>
      <w:r>
        <w:rPr>
          <w:sz w:val="20"/>
          <w:szCs w:val="20"/>
        </w:rPr>
        <w:pict>
          <v:line id="Shape 34" o:spid="_x0000_s1059" style="position:absolute;z-index:251643392;visibility:visible;mso-wrap-distance-left:0;mso-wrap-distance-right:0" from="450.35pt,-9.35pt" to="482.05pt,-9.35pt" o:allowincell="f" strokeweight=".30269mm"/>
        </w:pict>
      </w:r>
      <w:r>
        <w:rPr>
          <w:sz w:val="20"/>
          <w:szCs w:val="20"/>
        </w:rPr>
        <w:pict>
          <v:line id="Shape 35" o:spid="_x0000_s1060" style="position:absolute;z-index:251644416;visibility:visible;mso-wrap-distance-left:0;mso-wrap-distance-right:0" from=".15pt,-6.75pt" to="217.9pt,-6.75pt" o:allowincell="f" strokeweight=".60536mm"/>
        </w:pict>
      </w:r>
      <w:r>
        <w:rPr>
          <w:sz w:val="20"/>
          <w:szCs w:val="20"/>
        </w:rPr>
        <w:pict>
          <v:line id="Shape 36" o:spid="_x0000_s1061" style="position:absolute;z-index:251645440;visibility:visible;mso-wrap-distance-left:0;mso-wrap-distance-right:0" from="450.35pt,-6.75pt" to="482.05pt,-6.75pt" o:allowincell="f" strokeweight=".60536mm"/>
        </w:pict>
      </w:r>
      <w:r>
        <w:rPr>
          <w:sz w:val="20"/>
          <w:szCs w:val="20"/>
        </w:rPr>
        <w:pict>
          <v:line id="Shape 37" o:spid="_x0000_s1062" style="position:absolute;z-index:251646464;visibility:visible;mso-wrap-distance-left:0;mso-wrap-distance-right:0" from=".15pt,-4.2pt" to="217.9pt,-4.2pt" o:allowincell="f" strokeweight=".30269mm"/>
        </w:pict>
      </w:r>
      <w:r>
        <w:rPr>
          <w:sz w:val="20"/>
          <w:szCs w:val="20"/>
        </w:rPr>
        <w:pict>
          <v:line id="Shape 38" o:spid="_x0000_s1063" style="position:absolute;z-index:251647488;visibility:visible;mso-wrap-distance-left:0;mso-wrap-distance-right:0" from="450.35pt,-4.2pt" to="482.05pt,-4.2pt" o:allowincell="f" strokeweight=".30269mm"/>
        </w:pict>
      </w:r>
      <w:r>
        <w:rPr>
          <w:sz w:val="20"/>
          <w:szCs w:val="20"/>
        </w:rPr>
        <w:pict>
          <v:rect id="Shape 39" o:spid="_x0000_s1064" style="position:absolute;margin-left:217.95pt;margin-top:-11.7pt;width:232.4pt;height:22.9pt;z-index:-251629056;visibility:visible;mso-wrap-distance-left:0;mso-wrap-distance-right:0" o:allowincell="f" stroked="f"/>
        </w:pict>
      </w:r>
    </w:p>
    <w:p w:rsidR="00514387" w:rsidRDefault="00514387">
      <w:pPr>
        <w:sectPr w:rsidR="00514387">
          <w:pgSz w:w="11900" w:h="16838"/>
          <w:pgMar w:top="219" w:right="1306" w:bottom="0" w:left="960" w:header="0" w:footer="0" w:gutter="0"/>
          <w:cols w:space="720" w:equalWidth="0">
            <w:col w:w="9640"/>
          </w:cols>
        </w:sectPr>
      </w:pPr>
    </w:p>
    <w:p w:rsidR="00514387" w:rsidRDefault="00514387">
      <w:pPr>
        <w:spacing w:line="54" w:lineRule="exact"/>
        <w:rPr>
          <w:sz w:val="20"/>
          <w:szCs w:val="20"/>
        </w:rPr>
      </w:pPr>
    </w:p>
    <w:p w:rsidR="00514387" w:rsidRDefault="00695BB3">
      <w:pPr>
        <w:ind w:left="7220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ISSN 2307-3373</w:t>
      </w:r>
    </w:p>
    <w:p w:rsidR="00514387" w:rsidRDefault="00514387">
      <w:pPr>
        <w:sectPr w:rsidR="00514387">
          <w:type w:val="continuous"/>
          <w:pgSz w:w="11900" w:h="16838"/>
          <w:pgMar w:top="219" w:right="1306" w:bottom="0" w:left="960" w:header="0" w:footer="0" w:gutter="0"/>
          <w:cols w:space="720" w:equalWidth="0">
            <w:col w:w="9640"/>
          </w:cols>
        </w:sectPr>
      </w:pPr>
    </w:p>
    <w:p w:rsidR="00514387" w:rsidRDefault="00514387">
      <w:pPr>
        <w:ind w:right="140"/>
        <w:jc w:val="right"/>
        <w:rPr>
          <w:sz w:val="20"/>
          <w:szCs w:val="20"/>
        </w:rPr>
      </w:pPr>
      <w:bookmarkStart w:id="4" w:name="page5"/>
      <w:bookmarkEnd w:id="4"/>
      <w:r w:rsidRPr="00514387">
        <w:rPr>
          <w:rFonts w:ascii="Arial" w:eastAsia="Arial" w:hAnsi="Arial" w:cs="Arial"/>
          <w:sz w:val="24"/>
          <w:szCs w:val="24"/>
        </w:rPr>
        <w:lastRenderedPageBreak/>
        <w:pict>
          <v:rect id="Shape 40" o:spid="_x0000_s1065" style="position:absolute;left:0;text-align:left;margin-left:518.75pt;margin-top:17pt;width:28.35pt;height:28.35pt;z-index:-251628032;visibility:visible;mso-wrap-distance-left:0;mso-wrap-distance-right:0;mso-position-horizontal-relative:page;mso-position-vertical-relative:page" o:allowincell="f" fillcolor="#c5c6c6" stroked="f">
            <w10:wrap anchorx="page" anchory="page"/>
          </v:rect>
        </w:pict>
      </w:r>
      <w:r w:rsidR="00695BB3">
        <w:rPr>
          <w:rFonts w:ascii="Arial" w:eastAsia="Arial" w:hAnsi="Arial" w:cs="Arial"/>
          <w:sz w:val="24"/>
          <w:szCs w:val="24"/>
        </w:rPr>
        <w:t xml:space="preserve">ОРИГІНАЛЬНІ СТАТТІ </w:t>
      </w:r>
      <w:r w:rsidR="00695BB3">
        <w:rPr>
          <w:noProof/>
          <w:sz w:val="1"/>
          <w:szCs w:val="1"/>
        </w:rPr>
        <w:drawing>
          <wp:inline distT="0" distB="0" distL="0" distR="0">
            <wp:extent cx="3130550" cy="76200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5BB3">
        <w:rPr>
          <w:rFonts w:ascii="Arial" w:eastAsia="Arial" w:hAnsi="Arial" w:cs="Arial"/>
          <w:b/>
          <w:bCs/>
          <w:color w:val="FFFFFF"/>
          <w:sz w:val="48"/>
          <w:szCs w:val="48"/>
          <w:vertAlign w:val="superscript"/>
        </w:rPr>
        <w:t xml:space="preserve">   17</w:t>
      </w:r>
    </w:p>
    <w:p w:rsidR="00514387" w:rsidRDefault="0051438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42" o:spid="_x0000_s1067" style="position:absolute;z-index:251648512;visibility:visible;mso-wrap-distance-left:0;mso-wrap-distance-right:0" from=".15pt,-19.65pt" to="39.85pt,-19.65pt" o:allowincell="f" strokeweight=".30269mm"/>
        </w:pict>
      </w:r>
      <w:r>
        <w:rPr>
          <w:sz w:val="20"/>
          <w:szCs w:val="20"/>
        </w:rPr>
        <w:pict>
          <v:line id="Shape 43" o:spid="_x0000_s1068" style="position:absolute;z-index:251649536;visibility:visible;mso-wrap-distance-left:0;mso-wrap-distance-right:0" from=".15pt,-17.05pt" to="39.85pt,-17.05pt" o:allowincell="f" strokeweight=".60536mm"/>
        </w:pict>
      </w:r>
      <w:r>
        <w:rPr>
          <w:sz w:val="20"/>
          <w:szCs w:val="20"/>
        </w:rPr>
        <w:pict>
          <v:line id="Shape 44" o:spid="_x0000_s1069" style="position:absolute;z-index:251650560;visibility:visible;mso-wrap-distance-left:0;mso-wrap-distance-right:0" from=".15pt,-14.5pt" to="39.85pt,-14.5pt" o:allowincell="f" strokeweight=".30269mm"/>
        </w:pict>
      </w:r>
      <w:r w:rsidR="00695BB3">
        <w:rPr>
          <w:noProof/>
          <w:sz w:val="20"/>
          <w:szCs w:val="20"/>
        </w:rPr>
        <w:drawing>
          <wp:anchor distT="0" distB="0" distL="114300" distR="114300" simplePos="0" relativeHeight="251621888" behindDoc="1" locked="0" layoutInCell="0" allowOverlap="1">
            <wp:simplePos x="0" y="0"/>
            <wp:positionH relativeFrom="column">
              <wp:posOffset>537210</wp:posOffset>
            </wp:positionH>
            <wp:positionV relativeFrom="paragraph">
              <wp:posOffset>344170</wp:posOffset>
            </wp:positionV>
            <wp:extent cx="5016500" cy="1608455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0" cy="1608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pict>
          <v:rect id="Shape 46" o:spid="_x0000_s1071" style="position:absolute;margin-left:39.85pt;margin-top:-22.15pt;width:156.85pt;height:9.35pt;z-index:-251627008;visibility:visible;mso-wrap-distance-left:0;mso-wrap-distance-right:0;mso-position-horizontal-relative:text;mso-position-vertical-relative:text" o:allowincell="f" stroked="f"/>
        </w:pict>
      </w: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1" w:lineRule="exact"/>
        <w:rPr>
          <w:sz w:val="20"/>
          <w:szCs w:val="20"/>
        </w:rPr>
      </w:pPr>
    </w:p>
    <w:tbl>
      <w:tblPr>
        <w:tblW w:w="0" w:type="auto"/>
        <w:tblInd w:w="15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20"/>
        <w:gridCol w:w="3940"/>
        <w:gridCol w:w="20"/>
      </w:tblGrid>
      <w:tr w:rsidR="00514387">
        <w:trPr>
          <w:trHeight w:val="234"/>
        </w:trPr>
        <w:tc>
          <w:tcPr>
            <w:tcW w:w="2620" w:type="dxa"/>
            <w:vAlign w:val="bottom"/>
          </w:tcPr>
          <w:p w:rsidR="00514387" w:rsidRDefault="00695BB3">
            <w:pPr>
              <w:ind w:left="1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r=0,73</w:t>
            </w:r>
          </w:p>
        </w:tc>
        <w:tc>
          <w:tcPr>
            <w:tcW w:w="3940" w:type="dxa"/>
            <w:vMerge w:val="restart"/>
            <w:vAlign w:val="bottom"/>
          </w:tcPr>
          <w:p w:rsidR="00514387" w:rsidRDefault="00695BB3">
            <w:pPr>
              <w:ind w:right="114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r=0,51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181"/>
        </w:trPr>
        <w:tc>
          <w:tcPr>
            <w:tcW w:w="2620" w:type="dxa"/>
            <w:vAlign w:val="bottom"/>
          </w:tcPr>
          <w:p w:rsidR="00514387" w:rsidRDefault="00514387">
            <w:pPr>
              <w:rPr>
                <w:sz w:val="15"/>
                <w:szCs w:val="15"/>
              </w:rPr>
            </w:pPr>
          </w:p>
        </w:tc>
        <w:tc>
          <w:tcPr>
            <w:tcW w:w="3940" w:type="dxa"/>
            <w:vMerge/>
            <w:vAlign w:val="bottom"/>
          </w:tcPr>
          <w:p w:rsidR="00514387" w:rsidRDefault="00514387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249"/>
        </w:trPr>
        <w:tc>
          <w:tcPr>
            <w:tcW w:w="2620" w:type="dxa"/>
            <w:vAlign w:val="bottom"/>
          </w:tcPr>
          <w:p w:rsidR="00514387" w:rsidRDefault="00514387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  <w:vAlign w:val="bottom"/>
          </w:tcPr>
          <w:p w:rsidR="00514387" w:rsidRDefault="00695BB3">
            <w:pPr>
              <w:ind w:right="286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MCP-1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771"/>
        </w:trPr>
        <w:tc>
          <w:tcPr>
            <w:tcW w:w="2620" w:type="dxa"/>
            <w:vAlign w:val="bottom"/>
          </w:tcPr>
          <w:p w:rsidR="00514387" w:rsidRDefault="00695BB3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MMP-9</w:t>
            </w:r>
          </w:p>
        </w:tc>
        <w:tc>
          <w:tcPr>
            <w:tcW w:w="3940" w:type="dxa"/>
            <w:vAlign w:val="bottom"/>
          </w:tcPr>
          <w:p w:rsidR="00514387" w:rsidRDefault="00695BB3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FEV</w:t>
            </w:r>
            <w:r>
              <w:rPr>
                <w:rFonts w:ascii="Arial" w:eastAsia="Arial" w:hAnsi="Arial" w:cs="Arial"/>
                <w:b/>
                <w:bCs/>
                <w:sz w:val="23"/>
                <w:szCs w:val="23"/>
                <w:vertAlign w:val="subscript"/>
              </w:rPr>
              <w:t>1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  <w:tr w:rsidR="00514387">
        <w:trPr>
          <w:trHeight w:val="649"/>
        </w:trPr>
        <w:tc>
          <w:tcPr>
            <w:tcW w:w="2620" w:type="dxa"/>
            <w:vAlign w:val="bottom"/>
          </w:tcPr>
          <w:p w:rsidR="00514387" w:rsidRDefault="00695BB3">
            <w:pPr>
              <w:ind w:left="15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Примітка:</w:t>
            </w:r>
          </w:p>
        </w:tc>
        <w:tc>
          <w:tcPr>
            <w:tcW w:w="3940" w:type="dxa"/>
            <w:vAlign w:val="bottom"/>
          </w:tcPr>
          <w:p w:rsidR="00514387" w:rsidRDefault="00695BB3">
            <w:pPr>
              <w:ind w:right="1168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позитивна кореляція</w:t>
            </w:r>
          </w:p>
        </w:tc>
        <w:tc>
          <w:tcPr>
            <w:tcW w:w="0" w:type="dxa"/>
            <w:vAlign w:val="bottom"/>
          </w:tcPr>
          <w:p w:rsidR="00514387" w:rsidRDefault="00514387">
            <w:pPr>
              <w:rPr>
                <w:sz w:val="1"/>
                <w:szCs w:val="1"/>
              </w:rPr>
            </w:pPr>
          </w:p>
        </w:tc>
      </w:tr>
    </w:tbl>
    <w:p w:rsidR="00514387" w:rsidRDefault="00514387">
      <w:pPr>
        <w:spacing w:line="281" w:lineRule="exact"/>
        <w:rPr>
          <w:sz w:val="20"/>
          <w:szCs w:val="20"/>
        </w:rPr>
      </w:pPr>
    </w:p>
    <w:p w:rsidR="00514387" w:rsidRDefault="00695BB3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3"/>
          <w:szCs w:val="13"/>
        </w:rPr>
        <w:t>Рисунок. Кореляційні зв’язки</w:t>
      </w:r>
      <w:r>
        <w:rPr>
          <w:rFonts w:ascii="Arial" w:eastAsia="Arial" w:hAnsi="Arial" w:cs="Arial"/>
          <w:b/>
          <w:bCs/>
          <w:sz w:val="13"/>
          <w:szCs w:val="13"/>
        </w:rPr>
        <w:t xml:space="preserve"> між рівнем МСР-1, вираженістю обструктивного синдрому та рівнем ММР-9 у хворих на БА та ЦД2Т</w:t>
      </w:r>
    </w:p>
    <w:p w:rsidR="00514387" w:rsidRDefault="00514387">
      <w:pPr>
        <w:sectPr w:rsidR="00514387">
          <w:pgSz w:w="11900" w:h="16838"/>
          <w:pgMar w:top="491" w:right="966" w:bottom="0" w:left="1300" w:header="0" w:footer="0" w:gutter="0"/>
          <w:cols w:space="720" w:equalWidth="0">
            <w:col w:w="9640"/>
          </w:cols>
        </w:sectPr>
      </w:pPr>
    </w:p>
    <w:p w:rsidR="00514387" w:rsidRDefault="00514387">
      <w:pPr>
        <w:spacing w:line="276" w:lineRule="exact"/>
        <w:rPr>
          <w:sz w:val="20"/>
          <w:szCs w:val="20"/>
        </w:rPr>
      </w:pPr>
    </w:p>
    <w:p w:rsidR="00514387" w:rsidRDefault="00695BB3">
      <w:pPr>
        <w:spacing w:line="256" w:lineRule="auto"/>
        <w:jc w:val="both"/>
        <w:rPr>
          <w:sz w:val="20"/>
          <w:szCs w:val="20"/>
        </w:rPr>
      </w:pPr>
      <w:r>
        <w:rPr>
          <w:rFonts w:eastAsia="Times New Roman"/>
          <w:sz w:val="19"/>
          <w:szCs w:val="19"/>
        </w:rPr>
        <w:t xml:space="preserve">порівнянні хворих на ЦД та без нього [6]. Але вплив патологічно високого рівня глюкози поза сумнівів. Ми встановили статистично вірогідний </w:t>
      </w:r>
      <w:r>
        <w:rPr>
          <w:rFonts w:eastAsia="Times New Roman"/>
          <w:sz w:val="19"/>
          <w:szCs w:val="19"/>
        </w:rPr>
        <w:t>взаємозв’язок між показником FVC і рівнем НbА1с у хворих ІІ групи (r = –0,50, р &lt; 0,05).</w:t>
      </w:r>
    </w:p>
    <w:p w:rsidR="00514387" w:rsidRDefault="00695BB3">
      <w:pPr>
        <w:spacing w:line="223" w:lineRule="exact"/>
        <w:ind w:left="180"/>
        <w:rPr>
          <w:sz w:val="20"/>
          <w:szCs w:val="20"/>
        </w:rPr>
      </w:pPr>
      <w:r>
        <w:rPr>
          <w:rFonts w:eastAsia="Times New Roman"/>
          <w:sz w:val="19"/>
          <w:szCs w:val="19"/>
        </w:rPr>
        <w:t>Вміст ІL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8 і ІL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12 був підвищеним у хворих</w:t>
      </w:r>
    </w:p>
    <w:p w:rsidR="00514387" w:rsidRDefault="00514387">
      <w:pPr>
        <w:spacing w:line="28" w:lineRule="exact"/>
        <w:rPr>
          <w:sz w:val="20"/>
          <w:szCs w:val="20"/>
        </w:rPr>
      </w:pPr>
    </w:p>
    <w:p w:rsidR="00514387" w:rsidRDefault="00695BB3">
      <w:pPr>
        <w:numPr>
          <w:ilvl w:val="0"/>
          <w:numId w:val="4"/>
        </w:numPr>
        <w:tabs>
          <w:tab w:val="left" w:pos="235"/>
        </w:tabs>
        <w:spacing w:line="235" w:lineRule="exact"/>
        <w:ind w:firstLine="4"/>
        <w:jc w:val="both"/>
        <w:rPr>
          <w:rFonts w:eastAsia="Times New Roman"/>
          <w:sz w:val="19"/>
          <w:szCs w:val="19"/>
        </w:rPr>
      </w:pPr>
      <w:r>
        <w:rPr>
          <w:rFonts w:eastAsia="Times New Roman"/>
          <w:sz w:val="19"/>
          <w:szCs w:val="19"/>
        </w:rPr>
        <w:t>групи в 30,6 і 33,2 раза відповідно в порівнянні з І групою. Високий рівень прозапальних цитокі-нів ІL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8, ІL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12 (Ме = 134,8</w:t>
      </w:r>
      <w:r>
        <w:rPr>
          <w:rFonts w:eastAsia="Times New Roman"/>
          <w:sz w:val="19"/>
          <w:szCs w:val="19"/>
        </w:rPr>
        <w:t xml:space="preserve"> пг/мл і 255,6 пг/мл від-повідно) при неконтрольованому перебігу у хворих на БА у поєднанні з ЦД2Т у фазу загострення свід-чить про персистування хронічного запального про-цесу, яким є за своєю суттю і БА, і ЦД2Т. Участь у запальному процесі маркерів запал</w:t>
      </w:r>
      <w:r>
        <w:rPr>
          <w:rFonts w:eastAsia="Times New Roman"/>
          <w:sz w:val="19"/>
          <w:szCs w:val="19"/>
        </w:rPr>
        <w:t>ення, таких як МСР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1 і ММР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9, в осіб цієї групи формує не-сприятливий фон для прогресування захворювання і розвитку ремоделювання бронхів. Це підтверджує виявлений зв’язок між МСР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1 з медіатором системи антифіброзу ММР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9 (r = 0,73, р &lt; 0,05), що бере участ</w:t>
      </w:r>
      <w:r>
        <w:rPr>
          <w:rFonts w:eastAsia="Times New Roman"/>
          <w:sz w:val="19"/>
          <w:szCs w:val="19"/>
        </w:rPr>
        <w:t>ь у каскаді механізмів, результатом яких є ди-фузне хронічне запалення, потовщення і гіаліноз базальної мембрани, склероз міжальвеолярних пе-</w:t>
      </w:r>
    </w:p>
    <w:p w:rsidR="00514387" w:rsidRDefault="00514387">
      <w:pPr>
        <w:spacing w:line="260" w:lineRule="exact"/>
        <w:rPr>
          <w:rFonts w:eastAsia="Times New Roman"/>
          <w:sz w:val="19"/>
          <w:szCs w:val="19"/>
        </w:rPr>
      </w:pPr>
    </w:p>
    <w:p w:rsidR="00514387" w:rsidRDefault="00695BB3">
      <w:pPr>
        <w:spacing w:line="230" w:lineRule="exact"/>
        <w:jc w:val="both"/>
        <w:rPr>
          <w:rFonts w:eastAsia="Times New Roman"/>
          <w:sz w:val="19"/>
          <w:szCs w:val="19"/>
        </w:rPr>
      </w:pPr>
      <w:r>
        <w:rPr>
          <w:rFonts w:eastAsia="Times New Roman"/>
          <w:sz w:val="19"/>
          <w:szCs w:val="19"/>
        </w:rPr>
        <w:t>регородок. У хворих ІІ групи знайдено прямий зв’я-зок між МСР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1 та сумарним FEV</w:t>
      </w:r>
      <w:r>
        <w:rPr>
          <w:rFonts w:eastAsia="Times New Roman"/>
          <w:vertAlign w:val="subscript"/>
        </w:rPr>
        <w:t>1</w:t>
      </w:r>
      <w:r>
        <w:rPr>
          <w:rFonts w:eastAsia="Times New Roman"/>
          <w:sz w:val="19"/>
          <w:szCs w:val="19"/>
        </w:rPr>
        <w:t xml:space="preserve"> (r = 0,51, р &lt; 0,05) (див. рисун</w:t>
      </w:r>
      <w:r>
        <w:rPr>
          <w:rFonts w:eastAsia="Times New Roman"/>
          <w:sz w:val="19"/>
          <w:szCs w:val="19"/>
        </w:rPr>
        <w:t>ок). Тобто прогресування обструктив-ного синдрому у хворих на БА в поєднанні з ЦД2Т</w:t>
      </w: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356" w:lineRule="exact"/>
        <w:rPr>
          <w:sz w:val="20"/>
          <w:szCs w:val="20"/>
        </w:rPr>
      </w:pPr>
    </w:p>
    <w:p w:rsidR="00514387" w:rsidRDefault="00695BB3">
      <w:pPr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Список літератури</w:t>
      </w:r>
    </w:p>
    <w:p w:rsidR="00514387" w:rsidRDefault="00695BB3">
      <w:pPr>
        <w:numPr>
          <w:ilvl w:val="0"/>
          <w:numId w:val="5"/>
        </w:numPr>
        <w:tabs>
          <w:tab w:val="left" w:pos="345"/>
        </w:tabs>
        <w:spacing w:line="226" w:lineRule="auto"/>
        <w:ind w:firstLine="174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Бабайлов М.С. Цитохимическая характеристика альвеолярных ма-крофагов у детей с легкой персистирующей бронхиальной астмой. II Материалы II </w:t>
      </w:r>
      <w:r>
        <w:rPr>
          <w:rFonts w:ascii="Arial" w:eastAsia="Arial" w:hAnsi="Arial" w:cs="Arial"/>
          <w:sz w:val="12"/>
          <w:szCs w:val="12"/>
        </w:rPr>
        <w:t>международной (IX итоговой) научно-практической конфе-ренции молодых ученых. Челябинск: ЧелГМА, 2011. С. 9–13.</w:t>
      </w:r>
    </w:p>
    <w:p w:rsidR="00514387" w:rsidRDefault="00695BB3">
      <w:pPr>
        <w:numPr>
          <w:ilvl w:val="0"/>
          <w:numId w:val="5"/>
        </w:numPr>
        <w:tabs>
          <w:tab w:val="left" w:pos="318"/>
        </w:tabs>
        <w:spacing w:line="226" w:lineRule="auto"/>
        <w:ind w:firstLine="174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Фещенко Ю.И.,  Яшина Л.А., Опимах С. Г. Особенности бронхиальной астмы у больных с метаболическим синдромом. Здоров’я України. 2014. № 9 (334). С</w:t>
      </w:r>
      <w:r>
        <w:rPr>
          <w:rFonts w:ascii="Arial" w:eastAsia="Arial" w:hAnsi="Arial" w:cs="Arial"/>
          <w:sz w:val="12"/>
          <w:szCs w:val="12"/>
        </w:rPr>
        <w:t>. 27–29.</w:t>
      </w:r>
    </w:p>
    <w:p w:rsidR="00514387" w:rsidRDefault="00695BB3">
      <w:pPr>
        <w:numPr>
          <w:ilvl w:val="0"/>
          <w:numId w:val="5"/>
        </w:numPr>
        <w:tabs>
          <w:tab w:val="left" w:pos="317"/>
        </w:tabs>
        <w:spacing w:line="226" w:lineRule="auto"/>
        <w:ind w:firstLine="174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Яшина Л. А.,  Ищук С. Г. Бронхиальная астма у больных с ожирением – особый фенотип заболевания. Астма та алергія. 2011. № 4. С. 46–49.</w:t>
      </w:r>
    </w:p>
    <w:p w:rsidR="00514387" w:rsidRDefault="00695BB3">
      <w:pPr>
        <w:numPr>
          <w:ilvl w:val="0"/>
          <w:numId w:val="5"/>
        </w:numPr>
        <w:tabs>
          <w:tab w:val="left" w:pos="323"/>
        </w:tabs>
        <w:spacing w:line="226" w:lineRule="auto"/>
        <w:ind w:firstLine="174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Ahmad T.,  Kumar M., Mabalirajan U.  et al. Hypoxia response in asthma: differential modulation on inflammation </w:t>
      </w:r>
      <w:r>
        <w:rPr>
          <w:rFonts w:ascii="Arial" w:eastAsia="Arial" w:hAnsi="Arial" w:cs="Arial"/>
          <w:sz w:val="12"/>
          <w:szCs w:val="12"/>
        </w:rPr>
        <w:t>and epithelial injury. American Journal of Respiratory Cell and Molecular Biology. 2012. Vol. 47, No. 1. P. 1–10.</w:t>
      </w:r>
    </w:p>
    <w:p w:rsidR="00514387" w:rsidRDefault="00695BB3">
      <w:pPr>
        <w:numPr>
          <w:ilvl w:val="0"/>
          <w:numId w:val="5"/>
        </w:numPr>
        <w:tabs>
          <w:tab w:val="left" w:pos="313"/>
        </w:tabs>
        <w:spacing w:line="226" w:lineRule="auto"/>
        <w:ind w:firstLine="174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Bel E. H. Clinical phenotypes of asthma. Current opinion in pulmonary med-icine. 2004. Vol. 10. P. 44–50.</w:t>
      </w:r>
    </w:p>
    <w:p w:rsidR="00514387" w:rsidRDefault="00695BB3">
      <w:pPr>
        <w:numPr>
          <w:ilvl w:val="0"/>
          <w:numId w:val="5"/>
        </w:numPr>
        <w:tabs>
          <w:tab w:val="left" w:pos="323"/>
        </w:tabs>
        <w:spacing w:line="226" w:lineRule="auto"/>
        <w:ind w:firstLine="174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Boulet L. P. Asthma and obesity. Cli</w:t>
      </w:r>
      <w:r>
        <w:rPr>
          <w:rFonts w:ascii="Arial" w:eastAsia="Arial" w:hAnsi="Arial" w:cs="Arial"/>
          <w:sz w:val="12"/>
          <w:szCs w:val="12"/>
        </w:rPr>
        <w:t>nical and Experimental Allergy. 2013. Vol. 43, No. 1. P. 8–21.</w:t>
      </w:r>
    </w:p>
    <w:p w:rsidR="00514387" w:rsidRDefault="00695BB3">
      <w:pPr>
        <w:numPr>
          <w:ilvl w:val="0"/>
          <w:numId w:val="5"/>
        </w:numPr>
        <w:tabs>
          <w:tab w:val="left" w:pos="344"/>
        </w:tabs>
        <w:ind w:firstLine="174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Chen W.,  Thomas J., Sadatsafavi M., FitzGerald J. M. Risk of cardio-vascular comorbidity in patients with chronic obstructive pulmonary disease: a systematic review and meta-analysis. The Lanc</w:t>
      </w:r>
      <w:r>
        <w:rPr>
          <w:rFonts w:ascii="Arial" w:eastAsia="Arial" w:hAnsi="Arial" w:cs="Arial"/>
          <w:sz w:val="12"/>
          <w:szCs w:val="12"/>
        </w:rPr>
        <w:t>et Respiratory Medicine. 2015. Vol. 3, No. 8. P. 631–639.</w:t>
      </w:r>
    </w:p>
    <w:p w:rsidR="00514387" w:rsidRDefault="00514387">
      <w:pPr>
        <w:spacing w:line="106" w:lineRule="exact"/>
        <w:rPr>
          <w:rFonts w:ascii="Arial" w:eastAsia="Arial" w:hAnsi="Arial" w:cs="Arial"/>
          <w:sz w:val="12"/>
          <w:szCs w:val="12"/>
        </w:rPr>
      </w:pPr>
    </w:p>
    <w:p w:rsidR="00514387" w:rsidRDefault="00695BB3">
      <w:pPr>
        <w:numPr>
          <w:ilvl w:val="0"/>
          <w:numId w:val="5"/>
        </w:numPr>
        <w:tabs>
          <w:tab w:val="left" w:pos="329"/>
        </w:tabs>
        <w:spacing w:line="227" w:lineRule="auto"/>
        <w:ind w:firstLine="174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Ehrlich S.,  Quesenberry C. P., van den Eeden S.K., et al. Patients diag-nosed with diabetes are at increased risk for asthma, chronic obstructive pulmo-nary disease, pulmonary fibrosis, and pneumo</w:t>
      </w:r>
      <w:r>
        <w:rPr>
          <w:rFonts w:ascii="Arial" w:eastAsia="Arial" w:hAnsi="Arial" w:cs="Arial"/>
          <w:sz w:val="12"/>
          <w:szCs w:val="12"/>
        </w:rPr>
        <w:t>nia but not lung cancer. Diabetes Care. 2010. Vol. 33, No. 1. P. 55–60.</w:t>
      </w:r>
    </w:p>
    <w:p w:rsidR="00514387" w:rsidRDefault="00695BB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514387" w:rsidRDefault="00514387">
      <w:pPr>
        <w:spacing w:line="256" w:lineRule="exact"/>
        <w:rPr>
          <w:sz w:val="20"/>
          <w:szCs w:val="20"/>
        </w:rPr>
      </w:pPr>
    </w:p>
    <w:p w:rsidR="00514387" w:rsidRDefault="00695BB3">
      <w:pPr>
        <w:spacing w:line="222" w:lineRule="exact"/>
        <w:ind w:left="10"/>
        <w:jc w:val="both"/>
        <w:rPr>
          <w:sz w:val="20"/>
          <w:szCs w:val="20"/>
        </w:rPr>
      </w:pPr>
      <w:r>
        <w:rPr>
          <w:rFonts w:eastAsia="Times New Roman"/>
          <w:sz w:val="19"/>
          <w:szCs w:val="19"/>
        </w:rPr>
        <w:t>асоціюється з пропорційним підвищенням рівня фібротичного маркера МСР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1.</w:t>
      </w:r>
    </w:p>
    <w:p w:rsidR="00514387" w:rsidRDefault="00514387">
      <w:pPr>
        <w:spacing w:line="28" w:lineRule="exact"/>
        <w:rPr>
          <w:sz w:val="20"/>
          <w:szCs w:val="20"/>
        </w:rPr>
      </w:pPr>
    </w:p>
    <w:p w:rsidR="00514387" w:rsidRDefault="00695BB3">
      <w:pPr>
        <w:spacing w:line="231" w:lineRule="exact"/>
        <w:ind w:left="10" w:firstLine="170"/>
        <w:jc w:val="both"/>
        <w:rPr>
          <w:sz w:val="20"/>
          <w:szCs w:val="20"/>
        </w:rPr>
      </w:pPr>
      <w:r>
        <w:rPr>
          <w:rFonts w:eastAsia="Times New Roman"/>
          <w:sz w:val="19"/>
          <w:szCs w:val="19"/>
        </w:rPr>
        <w:t>Отримані результати свідчать про те, що у пацієн-тів з БА в поєднанні з ЦД2Т надмірна концентрація МСР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1 як</w:t>
      </w:r>
      <w:r>
        <w:rPr>
          <w:rFonts w:eastAsia="Times New Roman"/>
          <w:sz w:val="19"/>
          <w:szCs w:val="19"/>
        </w:rPr>
        <w:t xml:space="preserve"> маркера фіброзу при прогресуванні ознак об-структивного синдрому стримується пропорційним зрос-танням індикатора фібролізу ММР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9, що свідчить на ко-ристь адаптаційних реакцій у даної категорії хворих.</w:t>
      </w:r>
    </w:p>
    <w:p w:rsidR="00514387" w:rsidRDefault="00514387">
      <w:pPr>
        <w:spacing w:line="250" w:lineRule="exact"/>
        <w:rPr>
          <w:sz w:val="20"/>
          <w:szCs w:val="20"/>
        </w:rPr>
      </w:pPr>
    </w:p>
    <w:p w:rsidR="00514387" w:rsidRDefault="00695BB3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Висновки</w:t>
      </w:r>
    </w:p>
    <w:p w:rsidR="00514387" w:rsidRDefault="00514387">
      <w:pPr>
        <w:spacing w:line="16" w:lineRule="exact"/>
        <w:rPr>
          <w:sz w:val="20"/>
          <w:szCs w:val="20"/>
        </w:rPr>
      </w:pPr>
    </w:p>
    <w:p w:rsidR="00514387" w:rsidRDefault="00695BB3">
      <w:pPr>
        <w:numPr>
          <w:ilvl w:val="1"/>
          <w:numId w:val="6"/>
        </w:numPr>
        <w:tabs>
          <w:tab w:val="left" w:pos="390"/>
        </w:tabs>
        <w:ind w:left="390" w:hanging="220"/>
        <w:rPr>
          <w:rFonts w:eastAsia="Times New Roman"/>
          <w:sz w:val="19"/>
          <w:szCs w:val="19"/>
        </w:rPr>
      </w:pPr>
      <w:r>
        <w:rPr>
          <w:rFonts w:eastAsia="Times New Roman"/>
          <w:sz w:val="19"/>
          <w:szCs w:val="19"/>
        </w:rPr>
        <w:t>Встановлено, що наявність ознак надмірної в</w:t>
      </w:r>
      <w:r>
        <w:rPr>
          <w:rFonts w:eastAsia="Times New Roman"/>
          <w:sz w:val="19"/>
          <w:szCs w:val="19"/>
        </w:rPr>
        <w:t>аги</w:t>
      </w:r>
    </w:p>
    <w:p w:rsidR="00514387" w:rsidRDefault="00514387">
      <w:pPr>
        <w:spacing w:line="27" w:lineRule="exact"/>
        <w:rPr>
          <w:rFonts w:eastAsia="Times New Roman"/>
          <w:sz w:val="19"/>
          <w:szCs w:val="19"/>
        </w:rPr>
      </w:pPr>
    </w:p>
    <w:p w:rsidR="00514387" w:rsidRDefault="00695BB3">
      <w:pPr>
        <w:numPr>
          <w:ilvl w:val="0"/>
          <w:numId w:val="6"/>
        </w:numPr>
        <w:tabs>
          <w:tab w:val="left" w:pos="168"/>
        </w:tabs>
        <w:spacing w:line="255" w:lineRule="auto"/>
        <w:ind w:left="10" w:hanging="10"/>
        <w:jc w:val="both"/>
        <w:rPr>
          <w:rFonts w:eastAsia="Times New Roman"/>
          <w:sz w:val="19"/>
          <w:szCs w:val="19"/>
        </w:rPr>
      </w:pPr>
      <w:r>
        <w:rPr>
          <w:rFonts w:eastAsia="Times New Roman"/>
          <w:sz w:val="19"/>
          <w:szCs w:val="19"/>
        </w:rPr>
        <w:t>ожиріння у хворих на БА та ЦД2Т призводить до по-гіршення стану респіраторної функції легень порів-няно з відповідними показниками у хворих на БА без коморбідності.</w:t>
      </w:r>
    </w:p>
    <w:p w:rsidR="00514387" w:rsidRDefault="00514387">
      <w:pPr>
        <w:spacing w:line="5" w:lineRule="exact"/>
        <w:rPr>
          <w:rFonts w:eastAsia="Times New Roman"/>
          <w:sz w:val="19"/>
          <w:szCs w:val="19"/>
        </w:rPr>
      </w:pPr>
    </w:p>
    <w:p w:rsidR="00514387" w:rsidRDefault="00695BB3">
      <w:pPr>
        <w:numPr>
          <w:ilvl w:val="1"/>
          <w:numId w:val="7"/>
        </w:numPr>
        <w:tabs>
          <w:tab w:val="left" w:pos="410"/>
        </w:tabs>
        <w:ind w:left="410" w:hanging="240"/>
        <w:rPr>
          <w:rFonts w:eastAsia="Times New Roman"/>
          <w:sz w:val="19"/>
          <w:szCs w:val="19"/>
        </w:rPr>
      </w:pPr>
      <w:r>
        <w:rPr>
          <w:rFonts w:eastAsia="Times New Roman"/>
          <w:sz w:val="19"/>
          <w:szCs w:val="19"/>
        </w:rPr>
        <w:t>У хворих на БА в поєднанні з ЦД2Т відміча-</w:t>
      </w:r>
    </w:p>
    <w:p w:rsidR="00514387" w:rsidRDefault="00514387">
      <w:pPr>
        <w:spacing w:line="27" w:lineRule="exact"/>
        <w:rPr>
          <w:rFonts w:eastAsia="Times New Roman"/>
          <w:sz w:val="19"/>
          <w:szCs w:val="19"/>
        </w:rPr>
      </w:pPr>
    </w:p>
    <w:p w:rsidR="00514387" w:rsidRDefault="00695BB3">
      <w:pPr>
        <w:spacing w:line="236" w:lineRule="auto"/>
        <w:ind w:left="10"/>
        <w:jc w:val="both"/>
        <w:rPr>
          <w:rFonts w:eastAsia="Times New Roman"/>
          <w:sz w:val="19"/>
          <w:szCs w:val="19"/>
        </w:rPr>
      </w:pPr>
      <w:r>
        <w:rPr>
          <w:rFonts w:eastAsia="Times New Roman"/>
          <w:sz w:val="19"/>
          <w:szCs w:val="19"/>
        </w:rPr>
        <w:t xml:space="preserve">ється порушення ФЗД у вигляді зниження </w:t>
      </w:r>
      <w:r>
        <w:rPr>
          <w:rFonts w:eastAsia="Times New Roman"/>
          <w:sz w:val="19"/>
          <w:szCs w:val="19"/>
        </w:rPr>
        <w:t>показни-ків FEV</w:t>
      </w:r>
      <w:r>
        <w:rPr>
          <w:rFonts w:eastAsia="Times New Roman"/>
          <w:vertAlign w:val="subscript"/>
        </w:rPr>
        <w:t>1</w:t>
      </w:r>
      <w:r>
        <w:rPr>
          <w:rFonts w:eastAsia="Times New Roman"/>
          <w:sz w:val="19"/>
          <w:szCs w:val="19"/>
        </w:rPr>
        <w:t>/FVC, FEV</w:t>
      </w:r>
      <w:r>
        <w:rPr>
          <w:rFonts w:eastAsia="Times New Roman"/>
          <w:vertAlign w:val="subscript"/>
        </w:rPr>
        <w:t>1</w:t>
      </w:r>
      <w:r>
        <w:rPr>
          <w:rFonts w:eastAsia="Times New Roman"/>
          <w:sz w:val="19"/>
          <w:szCs w:val="19"/>
        </w:rPr>
        <w:t xml:space="preserve"> порівняно з відповідними показ-никами у хворих на БА без коморбідності.</w:t>
      </w:r>
    </w:p>
    <w:p w:rsidR="00514387" w:rsidRDefault="00514387">
      <w:pPr>
        <w:spacing w:line="29" w:lineRule="exact"/>
        <w:rPr>
          <w:rFonts w:eastAsia="Times New Roman"/>
          <w:sz w:val="19"/>
          <w:szCs w:val="19"/>
        </w:rPr>
      </w:pPr>
    </w:p>
    <w:p w:rsidR="00514387" w:rsidRDefault="00695BB3">
      <w:pPr>
        <w:numPr>
          <w:ilvl w:val="1"/>
          <w:numId w:val="7"/>
        </w:numPr>
        <w:tabs>
          <w:tab w:val="left" w:pos="377"/>
        </w:tabs>
        <w:spacing w:line="222" w:lineRule="exact"/>
        <w:ind w:left="10" w:firstLine="160"/>
        <w:rPr>
          <w:rFonts w:eastAsia="Times New Roman"/>
          <w:sz w:val="19"/>
          <w:szCs w:val="19"/>
        </w:rPr>
      </w:pPr>
      <w:r>
        <w:rPr>
          <w:rFonts w:eastAsia="Times New Roman"/>
          <w:sz w:val="19"/>
          <w:szCs w:val="19"/>
        </w:rPr>
        <w:t>Виявлено взаємозв’язки між рівнем прозапальних цитокінів (ІL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8, ІL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12) та рівнем ММР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9 і МСР</w:t>
      </w:r>
      <w:r>
        <w:rPr>
          <w:rFonts w:ascii="Arial Unicode MS" w:eastAsia="Arial Unicode MS" w:hAnsi="Arial Unicode MS" w:cs="Arial Unicode MS"/>
          <w:sz w:val="19"/>
          <w:szCs w:val="19"/>
        </w:rPr>
        <w:t>‑</w:t>
      </w:r>
      <w:r>
        <w:rPr>
          <w:rFonts w:eastAsia="Times New Roman"/>
          <w:sz w:val="19"/>
          <w:szCs w:val="19"/>
        </w:rPr>
        <w:t>1.</w:t>
      </w:r>
    </w:p>
    <w:p w:rsidR="00514387" w:rsidRDefault="00514387">
      <w:pPr>
        <w:spacing w:line="28" w:lineRule="exact"/>
        <w:rPr>
          <w:rFonts w:eastAsia="Times New Roman"/>
          <w:sz w:val="19"/>
          <w:szCs w:val="19"/>
        </w:rPr>
      </w:pPr>
    </w:p>
    <w:p w:rsidR="00514387" w:rsidRDefault="00695BB3">
      <w:pPr>
        <w:spacing w:line="256" w:lineRule="auto"/>
        <w:ind w:left="10" w:firstLine="170"/>
        <w:jc w:val="both"/>
        <w:rPr>
          <w:rFonts w:eastAsia="Times New Roman"/>
          <w:sz w:val="19"/>
          <w:szCs w:val="19"/>
        </w:rPr>
      </w:pPr>
      <w:r>
        <w:rPr>
          <w:rFonts w:eastAsia="Times New Roman"/>
          <w:sz w:val="19"/>
          <w:szCs w:val="19"/>
        </w:rPr>
        <w:t xml:space="preserve">Погляд на БА та ЦД2Т як на хронічне автоімунне запалення </w:t>
      </w:r>
      <w:r>
        <w:rPr>
          <w:rFonts w:eastAsia="Times New Roman"/>
          <w:sz w:val="19"/>
          <w:szCs w:val="19"/>
        </w:rPr>
        <w:t>створює підстави для більш ретельного ви-вчення спільних ланок патогенезу БА та ЦД2Т, що мо-жуть обумовлювати їх співіснування та формування синдрому взаємного обтяження.</w:t>
      </w: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343" w:lineRule="exact"/>
        <w:rPr>
          <w:sz w:val="20"/>
          <w:szCs w:val="20"/>
        </w:rPr>
      </w:pPr>
    </w:p>
    <w:p w:rsidR="00514387" w:rsidRDefault="00695BB3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References</w:t>
      </w:r>
    </w:p>
    <w:p w:rsidR="00514387" w:rsidRDefault="00695BB3">
      <w:pPr>
        <w:numPr>
          <w:ilvl w:val="0"/>
          <w:numId w:val="8"/>
        </w:numPr>
        <w:tabs>
          <w:tab w:val="left" w:pos="319"/>
        </w:tabs>
        <w:spacing w:line="226" w:lineRule="auto"/>
        <w:ind w:left="10" w:firstLine="160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Babaylov MS. Tsitokhimicheskaya kharakteristika al’veolyarnykh makrofa</w:t>
      </w:r>
      <w:r>
        <w:rPr>
          <w:rFonts w:ascii="Arial" w:eastAsia="Arial" w:hAnsi="Arial" w:cs="Arial"/>
          <w:sz w:val="12"/>
          <w:szCs w:val="12"/>
        </w:rPr>
        <w:t xml:space="preserve">gov u detey s legkoy persistiruyushchey bronkhial’noy astmoy (Cytochemical charac-teristics of alveolar macrophages in children with mild persistent bronchial asthma). II Materialy II mezhdunarodnoy (IX itogovoy) nauchnoprakticheskoy konferentsii molodykh </w:t>
      </w:r>
      <w:r>
        <w:rPr>
          <w:rFonts w:ascii="Arial" w:eastAsia="Arial" w:hAnsi="Arial" w:cs="Arial"/>
          <w:sz w:val="12"/>
          <w:szCs w:val="12"/>
        </w:rPr>
        <w:t>uchenykh. Chelyabinsk: ChelGMA, 2011. Р. 9–13.</w:t>
      </w:r>
    </w:p>
    <w:p w:rsidR="00514387" w:rsidRDefault="00695BB3">
      <w:pPr>
        <w:numPr>
          <w:ilvl w:val="0"/>
          <w:numId w:val="8"/>
        </w:numPr>
        <w:tabs>
          <w:tab w:val="left" w:pos="318"/>
        </w:tabs>
        <w:spacing w:line="226" w:lineRule="auto"/>
        <w:ind w:left="10" w:firstLine="161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Feshchenko YuI,  Yashina LA, Opimakh SG. Osobennosti bronkhial’noy astmy u bol’nykh s metabolicheskim sindromom (Features of bronchial asthma in patients with metabolic syndrome). Zdorov’ya Ukraїni. 2014;9(334</w:t>
      </w:r>
      <w:r>
        <w:rPr>
          <w:rFonts w:ascii="Arial" w:eastAsia="Arial" w:hAnsi="Arial" w:cs="Arial"/>
          <w:sz w:val="12"/>
          <w:szCs w:val="12"/>
        </w:rPr>
        <w:t>):27–29.</w:t>
      </w:r>
    </w:p>
    <w:p w:rsidR="00514387" w:rsidRDefault="00695BB3">
      <w:pPr>
        <w:numPr>
          <w:ilvl w:val="0"/>
          <w:numId w:val="8"/>
        </w:numPr>
        <w:tabs>
          <w:tab w:val="left" w:pos="320"/>
        </w:tabs>
        <w:spacing w:line="226" w:lineRule="auto"/>
        <w:ind w:left="10" w:firstLine="161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Yashina LA,  Ishchuk SG. Bronkhial’naya astma u bol’nykh s ozhireniem – os-obyy fenotip zabolevaniya (Bronchial asthma in patients with obesity as a specific phenotype of the disease ). Astma ta alergіya. 2011;4:46–49.</w:t>
      </w:r>
    </w:p>
    <w:p w:rsidR="00514387" w:rsidRDefault="00695BB3">
      <w:pPr>
        <w:numPr>
          <w:ilvl w:val="0"/>
          <w:numId w:val="8"/>
        </w:numPr>
        <w:tabs>
          <w:tab w:val="left" w:pos="330"/>
        </w:tabs>
        <w:spacing w:line="226" w:lineRule="auto"/>
        <w:ind w:left="10" w:firstLine="161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Ahmad T,  Kumar M, </w:t>
      </w:r>
      <w:r>
        <w:rPr>
          <w:rFonts w:ascii="Arial" w:eastAsia="Arial" w:hAnsi="Arial" w:cs="Arial"/>
          <w:sz w:val="12"/>
          <w:szCs w:val="12"/>
        </w:rPr>
        <w:t>Mabalirajan U,  et al. Hypoxia response in asthma: dif-ferential modulation on inflammation and epithelial injury. American Journal of Respiratory Cell and Molecular Biology. 2012;47(1):1–10.</w:t>
      </w:r>
    </w:p>
    <w:p w:rsidR="00514387" w:rsidRDefault="00695BB3">
      <w:pPr>
        <w:numPr>
          <w:ilvl w:val="0"/>
          <w:numId w:val="8"/>
        </w:numPr>
        <w:tabs>
          <w:tab w:val="left" w:pos="332"/>
        </w:tabs>
        <w:spacing w:line="226" w:lineRule="auto"/>
        <w:ind w:left="10" w:firstLine="161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Bel EH. Clinical phenotypes of asthma. Current opinion in pulmon</w:t>
      </w:r>
      <w:r>
        <w:rPr>
          <w:rFonts w:ascii="Arial" w:eastAsia="Arial" w:hAnsi="Arial" w:cs="Arial"/>
          <w:sz w:val="12"/>
          <w:szCs w:val="12"/>
        </w:rPr>
        <w:t>ary medi-cine. 2004;10:44–50.</w:t>
      </w:r>
    </w:p>
    <w:p w:rsidR="00514387" w:rsidRDefault="00695BB3">
      <w:pPr>
        <w:numPr>
          <w:ilvl w:val="0"/>
          <w:numId w:val="8"/>
        </w:numPr>
        <w:tabs>
          <w:tab w:val="left" w:pos="404"/>
        </w:tabs>
        <w:spacing w:line="226" w:lineRule="auto"/>
        <w:ind w:left="10" w:firstLine="161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Boulet LP. Asthma and obesity. Clinical and Experimental Allergy. 2013;43(1):8–21.</w:t>
      </w:r>
    </w:p>
    <w:p w:rsidR="00514387" w:rsidRDefault="00695BB3">
      <w:pPr>
        <w:numPr>
          <w:ilvl w:val="0"/>
          <w:numId w:val="8"/>
        </w:numPr>
        <w:tabs>
          <w:tab w:val="left" w:pos="320"/>
        </w:tabs>
        <w:spacing w:line="226" w:lineRule="auto"/>
        <w:ind w:left="10" w:firstLine="161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Chen W,  Thomas J, Sadatsafavi M, FitzGerald JM. Risk of cardiovascular co-morbidity in patients with chronic obstructive pulmonary disease: a </w:t>
      </w:r>
      <w:r>
        <w:rPr>
          <w:rFonts w:ascii="Arial" w:eastAsia="Arial" w:hAnsi="Arial" w:cs="Arial"/>
          <w:sz w:val="12"/>
          <w:szCs w:val="12"/>
        </w:rPr>
        <w:t>systematic re-view and meta-analysis. The Lancet Respiratory Medicine. 2015;3(8):631–639.</w:t>
      </w:r>
    </w:p>
    <w:p w:rsidR="00514387" w:rsidRDefault="00695BB3">
      <w:pPr>
        <w:numPr>
          <w:ilvl w:val="0"/>
          <w:numId w:val="8"/>
        </w:numPr>
        <w:tabs>
          <w:tab w:val="left" w:pos="310"/>
        </w:tabs>
        <w:spacing w:line="253" w:lineRule="auto"/>
        <w:ind w:left="10" w:firstLine="161"/>
        <w:jc w:val="both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sz w:val="11"/>
          <w:szCs w:val="11"/>
        </w:rPr>
        <w:t>Ehrlich S,  Quesenberry CP, van den Eeden SK, et al. Patients diagnosed with dia-betes are at increased risk for asthma, chronic obstructive pulmonary disease, pulmo-</w:t>
      </w:r>
      <w:r>
        <w:rPr>
          <w:rFonts w:ascii="Arial" w:eastAsia="Arial" w:hAnsi="Arial" w:cs="Arial"/>
          <w:sz w:val="11"/>
          <w:szCs w:val="11"/>
        </w:rPr>
        <w:t>nary fibrosis, and pneumonia but not lung cancer. Diabetes Care. 2010;33(1):55–60.</w:t>
      </w: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ectPr w:rsidR="00514387">
          <w:type w:val="continuous"/>
          <w:pgSz w:w="11900" w:h="16838"/>
          <w:pgMar w:top="491" w:right="966" w:bottom="0" w:left="1300" w:header="0" w:footer="0" w:gutter="0"/>
          <w:cols w:num="2" w:space="720" w:equalWidth="0">
            <w:col w:w="4700" w:space="250"/>
            <w:col w:w="4690"/>
          </w:cols>
        </w:sect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357" w:lineRule="exact"/>
        <w:rPr>
          <w:sz w:val="20"/>
          <w:szCs w:val="20"/>
        </w:rPr>
      </w:pPr>
    </w:p>
    <w:p w:rsidR="00514387" w:rsidRDefault="00695BB3">
      <w:pPr>
        <w:ind w:left="92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 xml:space="preserve">АСТМА ТА АЛЕРГІЯ, № 1 </w:t>
      </w:r>
      <w:r>
        <w:rPr>
          <w:rFonts w:ascii="Arial" w:eastAsia="Arial" w:hAnsi="Arial" w:cs="Arial"/>
          <w:sz w:val="16"/>
          <w:szCs w:val="16"/>
        </w:rPr>
        <w:t>•</w:t>
      </w:r>
      <w:r>
        <w:rPr>
          <w:rFonts w:ascii="Arial" w:eastAsia="Arial" w:hAnsi="Arial" w:cs="Arial"/>
          <w:sz w:val="24"/>
          <w:szCs w:val="24"/>
        </w:rPr>
        <w:t xml:space="preserve"> 2018</w:t>
      </w:r>
    </w:p>
    <w:p w:rsidR="00514387" w:rsidRDefault="0051438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47" o:spid="_x0000_s1072" style="position:absolute;z-index:251651584;visibility:visible;mso-wrap-distance-left:0;mso-wrap-distance-right:0" from="263.8pt,-9.1pt" to="482.05pt,-9.1pt" o:allowincell="f" strokeweight=".46981mm"/>
        </w:pict>
      </w:r>
      <w:r>
        <w:rPr>
          <w:sz w:val="20"/>
          <w:szCs w:val="20"/>
        </w:rPr>
        <w:pict>
          <v:line id="Shape 48" o:spid="_x0000_s1073" style="position:absolute;z-index:251652608;visibility:visible;mso-wrap-distance-left:0;mso-wrap-distance-right:0" from="263.8pt,-6.75pt" to="482.05pt,-6.75pt" o:allowincell="f" strokecolor="white" strokeweight="6pt"/>
        </w:pict>
      </w:r>
      <w:r>
        <w:rPr>
          <w:sz w:val="20"/>
          <w:szCs w:val="20"/>
        </w:rPr>
        <w:pict>
          <v:line id="Shape 49" o:spid="_x0000_s1074" style="position:absolute;z-index:251653632;visibility:visible;mso-wrap-distance-left:0;mso-wrap-distance-right:0" from="263.8pt,-6.75pt" to="482.05pt,-6.75pt" o:allowincell="f" strokeweight=".60536mm"/>
        </w:pict>
      </w:r>
      <w:r>
        <w:rPr>
          <w:sz w:val="20"/>
          <w:szCs w:val="20"/>
        </w:rPr>
        <w:pict>
          <v:line id="Shape 50" o:spid="_x0000_s1075" style="position:absolute;z-index:251654656;visibility:visible;mso-wrap-distance-left:0;mso-wrap-distance-right:0" from=".15pt,-9.1pt" to="31.35pt,-9.1pt" o:allowincell="f" strokeweight=".46981mm"/>
        </w:pict>
      </w:r>
      <w:r>
        <w:rPr>
          <w:sz w:val="20"/>
          <w:szCs w:val="20"/>
        </w:rPr>
        <w:pict>
          <v:line id="Shape 51" o:spid="_x0000_s1076" style="position:absolute;z-index:251655680;visibility:visible;mso-wrap-distance-left:0;mso-wrap-distance-right:0" from=".15pt,-6.75pt" to="31.35pt,-6.75pt" o:allowincell="f" strokecolor="white" strokeweight="6pt"/>
        </w:pict>
      </w:r>
      <w:r>
        <w:rPr>
          <w:sz w:val="20"/>
          <w:szCs w:val="20"/>
        </w:rPr>
        <w:pict>
          <v:line id="Shape 52" o:spid="_x0000_s1077" style="position:absolute;z-index:251656704;visibility:visible;mso-wrap-distance-left:0;mso-wrap-distance-right:0" from=".15pt,-6.75pt" to="31.35pt,-6.75pt" o:allowincell="f" strokeweight=".60536mm"/>
        </w:pict>
      </w:r>
      <w:r>
        <w:rPr>
          <w:sz w:val="20"/>
          <w:szCs w:val="20"/>
        </w:rPr>
        <w:pict>
          <v:line id="Shape 53" o:spid="_x0000_s1078" style="position:absolute;z-index:251657728;visibility:visible;mso-wrap-distance-left:0;mso-wrap-distance-right:0" from=".15pt,-4.2pt" to="31.35pt,-4.2pt" o:allowincell="f" strokeweight=".30269mm"/>
        </w:pict>
      </w:r>
      <w:r>
        <w:rPr>
          <w:sz w:val="20"/>
          <w:szCs w:val="20"/>
        </w:rPr>
        <w:pict>
          <v:line id="Shape 54" o:spid="_x0000_s1079" style="position:absolute;z-index:251658752;visibility:visible;mso-wrap-distance-left:0;mso-wrap-distance-right:0" from="263.8pt,-4.2pt" to="482.05pt,-4.2pt" o:allowincell="f" strokeweight=".30269mm"/>
        </w:pict>
      </w:r>
      <w:r>
        <w:rPr>
          <w:sz w:val="20"/>
          <w:szCs w:val="20"/>
        </w:rPr>
        <w:pict>
          <v:rect id="Shape 55" o:spid="_x0000_s1080" style="position:absolute;margin-left:31.4pt;margin-top:-11.7pt;width:232.4pt;height:22.9pt;z-index:-251625984;visibility:visible;mso-wrap-distance-left:0;mso-wrap-distance-right:0" o:allowincell="f" stroked="f"/>
        </w:pict>
      </w:r>
    </w:p>
    <w:p w:rsidR="00514387" w:rsidRDefault="00514387">
      <w:pPr>
        <w:sectPr w:rsidR="00514387">
          <w:type w:val="continuous"/>
          <w:pgSz w:w="11900" w:h="16838"/>
          <w:pgMar w:top="491" w:right="966" w:bottom="0" w:left="1300" w:header="0" w:footer="0" w:gutter="0"/>
          <w:cols w:space="720" w:equalWidth="0">
            <w:col w:w="9640"/>
          </w:cols>
        </w:sectPr>
      </w:pPr>
    </w:p>
    <w:p w:rsidR="00514387" w:rsidRDefault="00514387">
      <w:pPr>
        <w:spacing w:line="54" w:lineRule="exact"/>
        <w:rPr>
          <w:sz w:val="20"/>
          <w:szCs w:val="20"/>
        </w:rPr>
      </w:pPr>
    </w:p>
    <w:p w:rsidR="00514387" w:rsidRDefault="00695BB3">
      <w:pPr>
        <w:ind w:left="920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ISSN 2307-3373</w:t>
      </w:r>
    </w:p>
    <w:p w:rsidR="00514387" w:rsidRDefault="00514387">
      <w:pPr>
        <w:sectPr w:rsidR="00514387">
          <w:type w:val="continuous"/>
          <w:pgSz w:w="11900" w:h="16838"/>
          <w:pgMar w:top="491" w:right="966" w:bottom="0" w:left="1300" w:header="0" w:footer="0" w:gutter="0"/>
          <w:cols w:space="720" w:equalWidth="0">
            <w:col w:w="9640"/>
          </w:cols>
        </w:sectPr>
      </w:pPr>
    </w:p>
    <w:p w:rsidR="00514387" w:rsidRDefault="00514387">
      <w:pPr>
        <w:tabs>
          <w:tab w:val="left" w:pos="733"/>
        </w:tabs>
        <w:ind w:left="160"/>
        <w:rPr>
          <w:sz w:val="20"/>
          <w:szCs w:val="20"/>
        </w:rPr>
      </w:pPr>
      <w:bookmarkStart w:id="5" w:name="page6"/>
      <w:bookmarkEnd w:id="5"/>
      <w:r w:rsidRPr="00514387">
        <w:rPr>
          <w:rFonts w:ascii="Arial" w:eastAsia="Arial" w:hAnsi="Arial" w:cs="Arial"/>
          <w:b/>
          <w:bCs/>
          <w:color w:val="FFFFFF"/>
          <w:sz w:val="48"/>
          <w:szCs w:val="48"/>
          <w:vertAlign w:val="superscript"/>
        </w:rPr>
        <w:lastRenderedPageBreak/>
        <w:pict>
          <v:rect id="Shape 56" o:spid="_x0000_s1081" style="position:absolute;left:0;text-align:left;margin-left:48.2pt;margin-top:17pt;width:28.35pt;height:28.35pt;z-index:-251624960;visibility:visible;mso-wrap-distance-left:0;mso-wrap-distance-right:0;mso-position-horizontal-relative:page;mso-position-vertical-relative:page" o:allowincell="f" fillcolor="#c5c6c6" stroked="f">
            <w10:wrap anchorx="page" anchory="page"/>
          </v:rect>
        </w:pict>
      </w:r>
      <w:r w:rsidR="00695BB3">
        <w:rPr>
          <w:rFonts w:ascii="Arial" w:eastAsia="Arial" w:hAnsi="Arial" w:cs="Arial"/>
          <w:b/>
          <w:bCs/>
          <w:color w:val="FFFFFF"/>
          <w:sz w:val="48"/>
          <w:szCs w:val="48"/>
          <w:vertAlign w:val="superscript"/>
        </w:rPr>
        <w:t>18</w:t>
      </w:r>
      <w:r w:rsidR="00695BB3">
        <w:rPr>
          <w:sz w:val="20"/>
          <w:szCs w:val="20"/>
        </w:rPr>
        <w:tab/>
      </w:r>
      <w:r w:rsidR="00695BB3">
        <w:rPr>
          <w:noProof/>
          <w:sz w:val="1"/>
          <w:szCs w:val="1"/>
        </w:rPr>
        <w:drawing>
          <wp:inline distT="0" distB="0" distL="0" distR="0">
            <wp:extent cx="3147695" cy="76200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69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5BB3">
        <w:rPr>
          <w:rFonts w:ascii="Arial" w:eastAsia="Arial" w:hAnsi="Arial" w:cs="Arial"/>
          <w:sz w:val="24"/>
          <w:szCs w:val="24"/>
        </w:rPr>
        <w:t xml:space="preserve"> ОРИГІНАЛЬНІ СТАТТІ</w:t>
      </w:r>
    </w:p>
    <w:p w:rsidR="00514387" w:rsidRDefault="0051438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58" o:spid="_x0000_s1083" style="position:absolute;z-index:251659776;visibility:visible;mso-wrap-distance-left:0;mso-wrap-distance-right:0" from="442.35pt,-6pt" to="482.05pt,-6pt" o:allowincell="f" strokeweight=".30269mm"/>
        </w:pict>
      </w:r>
      <w:r>
        <w:rPr>
          <w:sz w:val="20"/>
          <w:szCs w:val="20"/>
        </w:rPr>
        <w:pict>
          <v:line id="Shape 59" o:spid="_x0000_s1084" style="position:absolute;z-index:251660800;visibility:visible;mso-wrap-distance-left:0;mso-wrap-distance-right:0" from="442.35pt,-3.45pt" to="482.05pt,-3.45pt" o:allowincell="f" strokeweight=".60536mm"/>
        </w:pict>
      </w:r>
      <w:r>
        <w:rPr>
          <w:sz w:val="20"/>
          <w:szCs w:val="20"/>
        </w:rPr>
        <w:pict>
          <v:line id="Shape 60" o:spid="_x0000_s1085" style="position:absolute;z-index:251661824;visibility:visible;mso-wrap-distance-left:0;mso-wrap-distance-right:0" from="442.35pt,-.9pt" to="482.05pt,-.9pt" o:allowincell="f" strokeweight=".30269mm"/>
        </w:pict>
      </w:r>
      <w:r>
        <w:rPr>
          <w:sz w:val="20"/>
          <w:szCs w:val="20"/>
        </w:rPr>
        <w:pict>
          <v:rect id="Shape 61" o:spid="_x0000_s1086" style="position:absolute;margin-left:285.5pt;margin-top:-8.55pt;width:156.85pt;height:9.3pt;z-index:-251623936;visibility:visible;mso-wrap-distance-left:0;mso-wrap-distance-right:0" o:allowincell="f" stroked="f"/>
        </w:pict>
      </w:r>
    </w:p>
    <w:p w:rsidR="00514387" w:rsidRDefault="00514387">
      <w:pPr>
        <w:sectPr w:rsidR="00514387">
          <w:pgSz w:w="11900" w:h="16838"/>
          <w:pgMar w:top="219" w:right="1306" w:bottom="0" w:left="960" w:header="0" w:footer="0" w:gutter="0"/>
          <w:cols w:space="720" w:equalWidth="0">
            <w:col w:w="9640"/>
          </w:cols>
        </w:sect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374" w:lineRule="exact"/>
        <w:rPr>
          <w:sz w:val="20"/>
          <w:szCs w:val="20"/>
        </w:rPr>
      </w:pPr>
    </w:p>
    <w:p w:rsidR="00514387" w:rsidRDefault="00695BB3">
      <w:pPr>
        <w:numPr>
          <w:ilvl w:val="0"/>
          <w:numId w:val="9"/>
        </w:numPr>
        <w:tabs>
          <w:tab w:val="left" w:pos="295"/>
        </w:tabs>
        <w:spacing w:line="246" w:lineRule="auto"/>
        <w:ind w:firstLine="174"/>
        <w:jc w:val="both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sz w:val="11"/>
          <w:szCs w:val="11"/>
        </w:rPr>
        <w:t>Gibeon D.,  Batuwita K., Osmond M.  et al. Obesity-associated severe asthma repre-sents a distinct clinical phenotype: analysis of the british thoracic society difficult asthma registry patient cohort according to BMI. Chest. 2013.</w:t>
      </w:r>
      <w:r>
        <w:rPr>
          <w:rFonts w:ascii="Arial" w:eastAsia="Arial" w:hAnsi="Arial" w:cs="Arial"/>
          <w:sz w:val="11"/>
          <w:szCs w:val="11"/>
        </w:rPr>
        <w:t xml:space="preserve"> Vol. 143, No. 2. P. 406–414.</w:t>
      </w:r>
    </w:p>
    <w:p w:rsidR="00514387" w:rsidRDefault="00695BB3">
      <w:pPr>
        <w:numPr>
          <w:ilvl w:val="0"/>
          <w:numId w:val="9"/>
        </w:numPr>
        <w:tabs>
          <w:tab w:val="left" w:pos="410"/>
        </w:tabs>
        <w:spacing w:line="226" w:lineRule="auto"/>
        <w:ind w:firstLine="174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Hashemzadeh M.,  Movahed M. R. The occurrence of asthma in hospital-ized patients with type 2 diabetes mellitus. Internal Medicine Journal. 2009. Vol. 39, No. 10. P. 699–701.</w:t>
      </w:r>
    </w:p>
    <w:p w:rsidR="00514387" w:rsidRDefault="00695BB3">
      <w:pPr>
        <w:numPr>
          <w:ilvl w:val="0"/>
          <w:numId w:val="9"/>
        </w:numPr>
        <w:tabs>
          <w:tab w:val="left" w:pos="368"/>
        </w:tabs>
        <w:spacing w:line="226" w:lineRule="auto"/>
        <w:ind w:firstLine="174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Kankaanranta H.,  Kauppi P., Tuomisto L. E., Ilmari</w:t>
      </w:r>
      <w:r>
        <w:rPr>
          <w:rFonts w:ascii="Arial" w:eastAsia="Arial" w:hAnsi="Arial" w:cs="Arial"/>
          <w:sz w:val="12"/>
          <w:szCs w:val="12"/>
        </w:rPr>
        <w:t>nen P. Emerging comorbidities in adult asthma: risks, clinical associations, and mechanisms. Mediators of Inflammation. 2016. P. 1–23.</w:t>
      </w:r>
    </w:p>
    <w:p w:rsidR="00514387" w:rsidRDefault="00695BB3">
      <w:pPr>
        <w:numPr>
          <w:ilvl w:val="0"/>
          <w:numId w:val="9"/>
        </w:numPr>
        <w:tabs>
          <w:tab w:val="left" w:pos="392"/>
        </w:tabs>
        <w:spacing w:line="226" w:lineRule="auto"/>
        <w:ind w:firstLine="174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Lin P. J.,  Shaya F. T., Scharf S. M. Economic implications of comorbid condi-tions among Medicaid beneficiaries with COP</w:t>
      </w:r>
      <w:r>
        <w:rPr>
          <w:rFonts w:ascii="Arial" w:eastAsia="Arial" w:hAnsi="Arial" w:cs="Arial"/>
          <w:sz w:val="12"/>
          <w:szCs w:val="12"/>
        </w:rPr>
        <w:t>D. Respiratory Medicine. 2010. Vol. 104, No. 5. P. 697–704.</w:t>
      </w:r>
    </w:p>
    <w:p w:rsidR="00514387" w:rsidRDefault="00695BB3">
      <w:pPr>
        <w:numPr>
          <w:ilvl w:val="0"/>
          <w:numId w:val="9"/>
        </w:numPr>
        <w:tabs>
          <w:tab w:val="left" w:pos="382"/>
        </w:tabs>
        <w:spacing w:line="225" w:lineRule="auto"/>
        <w:ind w:firstLine="174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Lindberg A.,  Larsson L.-G., R</w:t>
      </w:r>
      <w:r>
        <w:rPr>
          <w:rFonts w:eastAsia="Times New Roman"/>
          <w:sz w:val="12"/>
          <w:szCs w:val="12"/>
        </w:rPr>
        <w:t>ö</w:t>
      </w:r>
      <w:r>
        <w:rPr>
          <w:rFonts w:ascii="Arial" w:eastAsia="Arial" w:hAnsi="Arial" w:cs="Arial"/>
          <w:sz w:val="12"/>
          <w:szCs w:val="12"/>
        </w:rPr>
        <w:t>nmark E., Lundb</w:t>
      </w:r>
      <w:r>
        <w:rPr>
          <w:rFonts w:eastAsia="Times New Roman"/>
          <w:sz w:val="12"/>
          <w:szCs w:val="12"/>
        </w:rPr>
        <w:t>ä</w:t>
      </w:r>
      <w:r>
        <w:rPr>
          <w:rFonts w:ascii="Arial" w:eastAsia="Arial" w:hAnsi="Arial" w:cs="Arial"/>
          <w:sz w:val="12"/>
          <w:szCs w:val="12"/>
        </w:rPr>
        <w:t xml:space="preserve">ck B. Co-morbidity in mild-to-moderate COPD: comparison to normal and restrictive lung function. COPD: Journal of Chronic Obstructive Pulmonary </w:t>
      </w:r>
      <w:r>
        <w:rPr>
          <w:rFonts w:ascii="Arial" w:eastAsia="Arial" w:hAnsi="Arial" w:cs="Arial"/>
          <w:sz w:val="12"/>
          <w:szCs w:val="12"/>
        </w:rPr>
        <w:t>Disease. 2011. Vol. 8, No. 6. P. 421–428.</w:t>
      </w:r>
    </w:p>
    <w:p w:rsidR="00514387" w:rsidRDefault="00514387">
      <w:pPr>
        <w:spacing w:line="1" w:lineRule="exact"/>
        <w:rPr>
          <w:rFonts w:ascii="Arial" w:eastAsia="Arial" w:hAnsi="Arial" w:cs="Arial"/>
          <w:sz w:val="12"/>
          <w:szCs w:val="12"/>
        </w:rPr>
      </w:pPr>
    </w:p>
    <w:p w:rsidR="00514387" w:rsidRDefault="00695BB3">
      <w:pPr>
        <w:numPr>
          <w:ilvl w:val="0"/>
          <w:numId w:val="9"/>
        </w:numPr>
        <w:tabs>
          <w:tab w:val="left" w:pos="375"/>
        </w:tabs>
        <w:spacing w:line="226" w:lineRule="auto"/>
        <w:ind w:firstLine="174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Mueller N. T.,  Koh W.-P., Odegaard A. O.  et al. Asthma and the risk of type 2 di-abetes in the singapore chinese health study. Diabetes Research and Clinical Practice. 2013. Vol. 99, No. 2. P. 192–199.</w:t>
      </w:r>
    </w:p>
    <w:p w:rsidR="00514387" w:rsidRDefault="00695BB3">
      <w:pPr>
        <w:numPr>
          <w:ilvl w:val="0"/>
          <w:numId w:val="9"/>
        </w:numPr>
        <w:tabs>
          <w:tab w:val="left" w:pos="367"/>
        </w:tabs>
        <w:spacing w:line="226" w:lineRule="auto"/>
        <w:ind w:firstLine="174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Nathan D. M. Prevention of long-term complications of non-insulin-dependent di-abetes mellitus. Clinical and investigative medicine. Medecine clinique et experimentale. 1995. Vol. 18, No. 4. P. 332–9.</w:t>
      </w:r>
    </w:p>
    <w:p w:rsidR="00514387" w:rsidRDefault="00695BB3">
      <w:pPr>
        <w:numPr>
          <w:ilvl w:val="0"/>
          <w:numId w:val="9"/>
        </w:numPr>
        <w:tabs>
          <w:tab w:val="left" w:pos="378"/>
        </w:tabs>
        <w:spacing w:line="226" w:lineRule="auto"/>
        <w:ind w:firstLine="174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O’Byrne P. M.,  Rennard S., Gerstein H.  et al. Risk of</w:t>
      </w:r>
      <w:r>
        <w:rPr>
          <w:rFonts w:ascii="Arial" w:eastAsia="Arial" w:hAnsi="Arial" w:cs="Arial"/>
          <w:sz w:val="12"/>
          <w:szCs w:val="12"/>
        </w:rPr>
        <w:t xml:space="preserve"> new onset diabetes melli-tus in patients with asthma or copd taking inhaled corticosteroids. Respiratory Medicine. 2012. Vol. 106, No. 11. P. 1487–1493.</w:t>
      </w:r>
    </w:p>
    <w:p w:rsidR="00514387" w:rsidRDefault="00695BB3">
      <w:pPr>
        <w:numPr>
          <w:ilvl w:val="0"/>
          <w:numId w:val="9"/>
        </w:numPr>
        <w:tabs>
          <w:tab w:val="left" w:pos="377"/>
        </w:tabs>
        <w:spacing w:line="226" w:lineRule="auto"/>
        <w:ind w:firstLine="174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Rana J. S.,  Mittleman M. A., Sheikh J.  et al. Chronic obstructive pulmonary dis-ease, asthma, and ri</w:t>
      </w:r>
      <w:r>
        <w:rPr>
          <w:rFonts w:ascii="Arial" w:eastAsia="Arial" w:hAnsi="Arial" w:cs="Arial"/>
          <w:sz w:val="12"/>
          <w:szCs w:val="12"/>
        </w:rPr>
        <w:t>sk of type 2 diabetes in women. Diabetes Care. 2004. Vol. 27, No. 10. P. 2478–2484.</w:t>
      </w:r>
    </w:p>
    <w:p w:rsidR="00514387" w:rsidRDefault="00695BB3">
      <w:pPr>
        <w:numPr>
          <w:ilvl w:val="0"/>
          <w:numId w:val="9"/>
        </w:numPr>
        <w:tabs>
          <w:tab w:val="left" w:pos="364"/>
        </w:tabs>
        <w:spacing w:line="226" w:lineRule="auto"/>
        <w:ind w:firstLine="174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Song Y.,  Klevak A., Manson J. E.  et al. Asthma, chronic obstructive pulmonary dis-ease, and type 2 diabetes in the women’s health study. Diabetes Research and Clinical Pr</w:t>
      </w:r>
      <w:r>
        <w:rPr>
          <w:rFonts w:ascii="Arial" w:eastAsia="Arial" w:hAnsi="Arial" w:cs="Arial"/>
          <w:sz w:val="12"/>
          <w:szCs w:val="12"/>
        </w:rPr>
        <w:t>actice. 2010. Vol. 90, No. 3. P. 365–371.</w:t>
      </w:r>
    </w:p>
    <w:p w:rsidR="00514387" w:rsidRDefault="00695BB3">
      <w:pPr>
        <w:numPr>
          <w:ilvl w:val="0"/>
          <w:numId w:val="9"/>
        </w:numPr>
        <w:tabs>
          <w:tab w:val="left" w:pos="368"/>
        </w:tabs>
        <w:spacing w:line="246" w:lineRule="auto"/>
        <w:ind w:firstLine="174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sz w:val="11"/>
          <w:szCs w:val="11"/>
        </w:rPr>
        <w:t>Thomsen S. F.,  Duffy D. L., Kyvik K. O.  et al. Risk of asthma in adult twins with type 2 diabetes and increased body mass index. Allergy. 2011. Vol. 66, No. 4. P. 562–568.</w:t>
      </w:r>
    </w:p>
    <w:p w:rsidR="00514387" w:rsidRDefault="00695BB3">
      <w:pPr>
        <w:numPr>
          <w:ilvl w:val="0"/>
          <w:numId w:val="9"/>
        </w:numPr>
        <w:tabs>
          <w:tab w:val="left" w:pos="377"/>
        </w:tabs>
        <w:spacing w:line="225" w:lineRule="auto"/>
        <w:ind w:firstLine="174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Vestbo J.,  Hurd S. S., Agust</w:t>
      </w:r>
      <w:r>
        <w:rPr>
          <w:rFonts w:eastAsia="Times New Roman"/>
          <w:sz w:val="12"/>
          <w:szCs w:val="12"/>
        </w:rPr>
        <w:t>í</w:t>
      </w:r>
      <w:r>
        <w:rPr>
          <w:rFonts w:ascii="Arial" w:eastAsia="Arial" w:hAnsi="Arial" w:cs="Arial"/>
          <w:sz w:val="12"/>
          <w:szCs w:val="12"/>
        </w:rPr>
        <w:t xml:space="preserve"> A. G.  et</w:t>
      </w:r>
      <w:r>
        <w:rPr>
          <w:rFonts w:ascii="Arial" w:eastAsia="Arial" w:hAnsi="Arial" w:cs="Arial"/>
          <w:sz w:val="12"/>
          <w:szCs w:val="12"/>
        </w:rPr>
        <w:t xml:space="preserve"> al. Global strategy for the diagnosis, man-agement, and prevention of chronic obstructive pulmonary disease GOLD executive summary. American Journal of Respiratory and Critical Care Medicine. 2013. Vol. 187, No. 4. P. 347–65.</w:t>
      </w:r>
    </w:p>
    <w:p w:rsidR="00514387" w:rsidRDefault="00514387">
      <w:pPr>
        <w:spacing w:line="2" w:lineRule="exact"/>
        <w:rPr>
          <w:rFonts w:ascii="Arial" w:eastAsia="Arial" w:hAnsi="Arial" w:cs="Arial"/>
          <w:sz w:val="12"/>
          <w:szCs w:val="12"/>
        </w:rPr>
      </w:pPr>
    </w:p>
    <w:p w:rsidR="00514387" w:rsidRDefault="00695BB3">
      <w:pPr>
        <w:numPr>
          <w:ilvl w:val="0"/>
          <w:numId w:val="9"/>
        </w:numPr>
        <w:tabs>
          <w:tab w:val="left" w:pos="380"/>
        </w:tabs>
        <w:spacing w:line="226" w:lineRule="auto"/>
        <w:ind w:firstLine="174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Walter R. E.,  Beiser A., Gi</w:t>
      </w:r>
      <w:r>
        <w:rPr>
          <w:rFonts w:ascii="Arial" w:eastAsia="Arial" w:hAnsi="Arial" w:cs="Arial"/>
          <w:sz w:val="12"/>
          <w:szCs w:val="12"/>
        </w:rPr>
        <w:t>velber R. J.  et al. Association between glycemic state and lung function. American Journal of Respiratory and Critical Care Medicine. 2003. Vol. 167, No. 6. P. 911–916.</w:t>
      </w:r>
    </w:p>
    <w:p w:rsidR="00514387" w:rsidRDefault="00695BB3">
      <w:pPr>
        <w:numPr>
          <w:ilvl w:val="0"/>
          <w:numId w:val="9"/>
        </w:numPr>
        <w:tabs>
          <w:tab w:val="left" w:pos="380"/>
        </w:tabs>
        <w:spacing w:line="228" w:lineRule="auto"/>
        <w:ind w:firstLine="174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Yun H. D.,  Knoebel E., Fenta Y.  et al. Asthma and proinflammatory conditions: a </w:t>
      </w:r>
      <w:r>
        <w:rPr>
          <w:rFonts w:ascii="Arial" w:eastAsia="Arial" w:hAnsi="Arial" w:cs="Arial"/>
          <w:sz w:val="12"/>
          <w:szCs w:val="12"/>
        </w:rPr>
        <w:t>population-based retrospective matched cohort study. Mayo Clinic Proceedings. 2012. Vol. 87, No. 10. P. 953–960.</w:t>
      </w:r>
    </w:p>
    <w:p w:rsidR="00514387" w:rsidRDefault="0051438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62" o:spid="_x0000_s1087" style="position:absolute;z-index:251662848;visibility:visible;mso-wrap-distance-left:0;mso-wrap-distance-right:0" from=".15pt,62.55pt" to="482.05pt,62.55pt" o:allowincell="f" strokeweight=".1175mm"/>
        </w:pict>
      </w:r>
      <w:r>
        <w:rPr>
          <w:sz w:val="20"/>
          <w:szCs w:val="20"/>
        </w:rPr>
        <w:pict>
          <v:line id="Shape 63" o:spid="_x0000_s1088" style="position:absolute;z-index:251663872;visibility:visible;mso-wrap-distance-left:0;mso-wrap-distance-right:0" from=".15pt,63.25pt" to="482.05pt,63.25pt" o:allowincell="f" strokeweight=".1175mm"/>
        </w:pict>
      </w:r>
    </w:p>
    <w:p w:rsidR="00514387" w:rsidRDefault="00695BB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354" w:lineRule="exact"/>
        <w:rPr>
          <w:sz w:val="20"/>
          <w:szCs w:val="20"/>
        </w:rPr>
      </w:pPr>
    </w:p>
    <w:p w:rsidR="00514387" w:rsidRDefault="00695BB3">
      <w:pPr>
        <w:numPr>
          <w:ilvl w:val="0"/>
          <w:numId w:val="10"/>
        </w:numPr>
        <w:tabs>
          <w:tab w:val="left" w:pos="155"/>
        </w:tabs>
        <w:spacing w:line="226" w:lineRule="auto"/>
        <w:ind w:left="-160" w:firstLine="160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Gibeon D,  Batuwita K, Osmond M,  et al. Obesity-associated severe asthma represents a distinct clinical phenotype: analysis of the brit</w:t>
      </w:r>
      <w:r>
        <w:rPr>
          <w:rFonts w:ascii="Arial" w:eastAsia="Arial" w:hAnsi="Arial" w:cs="Arial"/>
          <w:sz w:val="12"/>
          <w:szCs w:val="12"/>
        </w:rPr>
        <w:t>ish thoracic society diffi-cult asthma registry patient cohort according to BMI. Chest. 2013;143(2):406–414.</w:t>
      </w:r>
    </w:p>
    <w:p w:rsidR="00514387" w:rsidRDefault="00695BB3">
      <w:pPr>
        <w:numPr>
          <w:ilvl w:val="0"/>
          <w:numId w:val="10"/>
        </w:numPr>
        <w:tabs>
          <w:tab w:val="left" w:pos="214"/>
        </w:tabs>
        <w:spacing w:line="226" w:lineRule="auto"/>
        <w:ind w:left="-160" w:firstLine="160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Hashemzadeh M,  Movahed MR. The occurrence of asthma in hospitalized pa-tients with type 2 diabetes mellitus. Internal Medicine Journal. 2009;39(10</w:t>
      </w:r>
      <w:r>
        <w:rPr>
          <w:rFonts w:ascii="Arial" w:eastAsia="Arial" w:hAnsi="Arial" w:cs="Arial"/>
          <w:sz w:val="12"/>
          <w:szCs w:val="12"/>
        </w:rPr>
        <w:t>):699–701.</w:t>
      </w:r>
    </w:p>
    <w:p w:rsidR="00514387" w:rsidRDefault="00695BB3">
      <w:pPr>
        <w:numPr>
          <w:ilvl w:val="0"/>
          <w:numId w:val="10"/>
        </w:numPr>
        <w:tabs>
          <w:tab w:val="left" w:pos="245"/>
        </w:tabs>
        <w:spacing w:line="226" w:lineRule="auto"/>
        <w:ind w:left="-160" w:firstLine="160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Kankaanranta H,  Kauppi P, Tuomisto LE, Ilmarinen P. Emerging comor-bidities in adult asthma: risks, clinical associations, and mechanisms. Mediators of Inflammation. 2016;1–23.</w:t>
      </w:r>
    </w:p>
    <w:p w:rsidR="00514387" w:rsidRDefault="00695BB3">
      <w:pPr>
        <w:numPr>
          <w:ilvl w:val="0"/>
          <w:numId w:val="10"/>
        </w:numPr>
        <w:tabs>
          <w:tab w:val="left" w:pos="221"/>
        </w:tabs>
        <w:spacing w:line="226" w:lineRule="auto"/>
        <w:ind w:left="-160" w:firstLine="160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Lin PJ,  Shaya FT, Scharf SM. Economic implications of comorbid con</w:t>
      </w:r>
      <w:r>
        <w:rPr>
          <w:rFonts w:ascii="Arial" w:eastAsia="Arial" w:hAnsi="Arial" w:cs="Arial"/>
          <w:sz w:val="12"/>
          <w:szCs w:val="12"/>
        </w:rPr>
        <w:t>ditions among Medicaid beneficiaries with COPD. Respiratory Medicine. 2010;104(5):697– 704.</w:t>
      </w:r>
    </w:p>
    <w:p w:rsidR="00514387" w:rsidRDefault="00695BB3">
      <w:pPr>
        <w:numPr>
          <w:ilvl w:val="0"/>
          <w:numId w:val="10"/>
        </w:numPr>
        <w:tabs>
          <w:tab w:val="left" w:pos="226"/>
        </w:tabs>
        <w:spacing w:line="225" w:lineRule="auto"/>
        <w:ind w:left="-160" w:firstLine="160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Lindberg A,  Larsson L-G, R</w:t>
      </w:r>
      <w:r>
        <w:rPr>
          <w:rFonts w:eastAsia="Times New Roman"/>
          <w:sz w:val="12"/>
          <w:szCs w:val="12"/>
        </w:rPr>
        <w:t>ö</w:t>
      </w:r>
      <w:r>
        <w:rPr>
          <w:rFonts w:ascii="Arial" w:eastAsia="Arial" w:hAnsi="Arial" w:cs="Arial"/>
          <w:sz w:val="12"/>
          <w:szCs w:val="12"/>
        </w:rPr>
        <w:t>nmark E, Lundb</w:t>
      </w:r>
      <w:r>
        <w:rPr>
          <w:rFonts w:eastAsia="Times New Roman"/>
          <w:sz w:val="12"/>
          <w:szCs w:val="12"/>
        </w:rPr>
        <w:t>ä</w:t>
      </w:r>
      <w:r>
        <w:rPr>
          <w:rFonts w:ascii="Arial" w:eastAsia="Arial" w:hAnsi="Arial" w:cs="Arial"/>
          <w:sz w:val="12"/>
          <w:szCs w:val="12"/>
        </w:rPr>
        <w:t>ck B. Co-morbidity in mild-to-moderate COPD: comparison to normal and restrictive lung function. COPD: Journal of Chronic</w:t>
      </w:r>
      <w:r>
        <w:rPr>
          <w:rFonts w:ascii="Arial" w:eastAsia="Arial" w:hAnsi="Arial" w:cs="Arial"/>
          <w:sz w:val="12"/>
          <w:szCs w:val="12"/>
        </w:rPr>
        <w:t xml:space="preserve"> Obstructive Pulmonary Disease. 2011;8(6):421–428.</w:t>
      </w:r>
    </w:p>
    <w:p w:rsidR="00514387" w:rsidRDefault="00514387">
      <w:pPr>
        <w:spacing w:line="1" w:lineRule="exact"/>
        <w:rPr>
          <w:rFonts w:ascii="Arial" w:eastAsia="Arial" w:hAnsi="Arial" w:cs="Arial"/>
          <w:sz w:val="12"/>
          <w:szCs w:val="12"/>
        </w:rPr>
      </w:pPr>
    </w:p>
    <w:p w:rsidR="00514387" w:rsidRDefault="00695BB3">
      <w:pPr>
        <w:numPr>
          <w:ilvl w:val="0"/>
          <w:numId w:val="10"/>
        </w:numPr>
        <w:tabs>
          <w:tab w:val="left" w:pos="244"/>
        </w:tabs>
        <w:spacing w:line="226" w:lineRule="auto"/>
        <w:ind w:left="-160" w:firstLine="160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Mueller NT,  Koh W-P, Odegaard AO,  et al. Asthma and the risk of type 2 diabetes in the singapore chinese health study. Diabetes Research and Clinical Practice. 2013;99(2):192–199.</w:t>
      </w:r>
    </w:p>
    <w:p w:rsidR="00514387" w:rsidRDefault="00695BB3">
      <w:pPr>
        <w:numPr>
          <w:ilvl w:val="0"/>
          <w:numId w:val="10"/>
        </w:numPr>
        <w:tabs>
          <w:tab w:val="left" w:pos="218"/>
        </w:tabs>
        <w:spacing w:line="226" w:lineRule="auto"/>
        <w:ind w:left="-160" w:firstLine="160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Nathan DM. Prevention </w:t>
      </w:r>
      <w:r>
        <w:rPr>
          <w:rFonts w:ascii="Arial" w:eastAsia="Arial" w:hAnsi="Arial" w:cs="Arial"/>
          <w:sz w:val="12"/>
          <w:szCs w:val="12"/>
        </w:rPr>
        <w:t>of long-term complications of non-insulin-dependent diabetes mellitus. Clinical and investigative medicine. Medecine clinique et exper-imentale. 1995;18(4):332–9.</w:t>
      </w:r>
    </w:p>
    <w:p w:rsidR="00514387" w:rsidRDefault="00695BB3">
      <w:pPr>
        <w:numPr>
          <w:ilvl w:val="0"/>
          <w:numId w:val="10"/>
        </w:numPr>
        <w:tabs>
          <w:tab w:val="left" w:pos="225"/>
        </w:tabs>
        <w:spacing w:line="226" w:lineRule="auto"/>
        <w:ind w:left="-160" w:firstLine="160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O’Byrne PM,  Rennard S, Gerstein H,  et al. Risk of new onset diabetes mel-litus in patients </w:t>
      </w:r>
      <w:r>
        <w:rPr>
          <w:rFonts w:ascii="Arial" w:eastAsia="Arial" w:hAnsi="Arial" w:cs="Arial"/>
          <w:sz w:val="12"/>
          <w:szCs w:val="12"/>
        </w:rPr>
        <w:t>with asthma or copd taking inhaled corticosteroids. Respiratory Medicine. 2012;106(11):1487–1493.</w:t>
      </w:r>
    </w:p>
    <w:p w:rsidR="00514387" w:rsidRDefault="00695BB3">
      <w:pPr>
        <w:numPr>
          <w:ilvl w:val="0"/>
          <w:numId w:val="10"/>
        </w:numPr>
        <w:tabs>
          <w:tab w:val="left" w:pos="262"/>
        </w:tabs>
        <w:spacing w:line="226" w:lineRule="auto"/>
        <w:ind w:left="-160" w:firstLine="160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Rana JS,  Mittleman MA, Sheikh J,  et al. Chronic obstructive pulmo-nary disease, asthma, and risk of type 2 diabetes in women. Diabetes Care. 2004;27(10):247</w:t>
      </w:r>
      <w:r>
        <w:rPr>
          <w:rFonts w:ascii="Arial" w:eastAsia="Arial" w:hAnsi="Arial" w:cs="Arial"/>
          <w:sz w:val="12"/>
          <w:szCs w:val="12"/>
        </w:rPr>
        <w:t>8–2484.</w:t>
      </w:r>
    </w:p>
    <w:p w:rsidR="00514387" w:rsidRDefault="00695BB3">
      <w:pPr>
        <w:numPr>
          <w:ilvl w:val="0"/>
          <w:numId w:val="10"/>
        </w:numPr>
        <w:tabs>
          <w:tab w:val="left" w:pos="221"/>
        </w:tabs>
        <w:spacing w:line="226" w:lineRule="auto"/>
        <w:ind w:left="-160" w:firstLine="160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Song Y,  Klevak A, Manson JE,  et al. Asthma, chronic obstructive pulmonary disease, and type 2 diabetes in the women’s health study. Diabetes Research and Clinical Practice. 2010;90(3):365–371.</w:t>
      </w:r>
    </w:p>
    <w:p w:rsidR="00514387" w:rsidRDefault="00695BB3">
      <w:pPr>
        <w:numPr>
          <w:ilvl w:val="0"/>
          <w:numId w:val="10"/>
        </w:numPr>
        <w:tabs>
          <w:tab w:val="left" w:pos="217"/>
        </w:tabs>
        <w:spacing w:line="226" w:lineRule="auto"/>
        <w:ind w:left="-160" w:firstLine="160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Thomsen SF,  Duffy DL, Kyvik KO,  et al. Risk of asth</w:t>
      </w:r>
      <w:r>
        <w:rPr>
          <w:rFonts w:ascii="Arial" w:eastAsia="Arial" w:hAnsi="Arial" w:cs="Arial"/>
          <w:sz w:val="12"/>
          <w:szCs w:val="12"/>
        </w:rPr>
        <w:t>ma in adult twins with type 2 diabetes and increased body mass index. Allergy. 2011;66(4):562–568.</w:t>
      </w:r>
    </w:p>
    <w:p w:rsidR="00514387" w:rsidRDefault="00695BB3">
      <w:pPr>
        <w:numPr>
          <w:ilvl w:val="0"/>
          <w:numId w:val="10"/>
        </w:numPr>
        <w:tabs>
          <w:tab w:val="left" w:pos="222"/>
        </w:tabs>
        <w:spacing w:line="225" w:lineRule="auto"/>
        <w:ind w:left="-160" w:firstLine="160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>Vestbo J,  Hurd SS, Agust</w:t>
      </w:r>
      <w:r>
        <w:rPr>
          <w:rFonts w:eastAsia="Times New Roman"/>
          <w:sz w:val="12"/>
          <w:szCs w:val="12"/>
        </w:rPr>
        <w:t>í</w:t>
      </w:r>
      <w:r>
        <w:rPr>
          <w:rFonts w:ascii="Arial" w:eastAsia="Arial" w:hAnsi="Arial" w:cs="Arial"/>
          <w:sz w:val="12"/>
          <w:szCs w:val="12"/>
        </w:rPr>
        <w:t xml:space="preserve"> AG,  et al. Global strategy for the diagnosis, man-agement, and prevention of chronic obstructive pulmonary disease GOLD ex-ecutive summary. American Journal of Respiratory and Critical Care Medicine. 2013;187(4):347–65.</w:t>
      </w:r>
    </w:p>
    <w:p w:rsidR="00514387" w:rsidRDefault="00514387">
      <w:pPr>
        <w:spacing w:line="2" w:lineRule="exact"/>
        <w:rPr>
          <w:rFonts w:ascii="Arial" w:eastAsia="Arial" w:hAnsi="Arial" w:cs="Arial"/>
          <w:sz w:val="12"/>
          <w:szCs w:val="12"/>
        </w:rPr>
      </w:pPr>
    </w:p>
    <w:p w:rsidR="00514387" w:rsidRDefault="00695BB3">
      <w:pPr>
        <w:numPr>
          <w:ilvl w:val="0"/>
          <w:numId w:val="10"/>
        </w:numPr>
        <w:tabs>
          <w:tab w:val="left" w:pos="224"/>
        </w:tabs>
        <w:spacing w:line="226" w:lineRule="auto"/>
        <w:ind w:left="-160" w:firstLine="160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Walter RE,  Beiser A, Givelber </w:t>
      </w:r>
      <w:r>
        <w:rPr>
          <w:rFonts w:ascii="Arial" w:eastAsia="Arial" w:hAnsi="Arial" w:cs="Arial"/>
          <w:sz w:val="12"/>
          <w:szCs w:val="12"/>
        </w:rPr>
        <w:t>RJ,  et al. Association between glycemic state and lung function. American Journal of Respiratory and Critical Care Medicine. 2003;167(6):911–916.</w:t>
      </w:r>
    </w:p>
    <w:p w:rsidR="00514387" w:rsidRDefault="00695BB3">
      <w:pPr>
        <w:numPr>
          <w:ilvl w:val="0"/>
          <w:numId w:val="10"/>
        </w:numPr>
        <w:tabs>
          <w:tab w:val="left" w:pos="222"/>
        </w:tabs>
        <w:spacing w:line="228" w:lineRule="auto"/>
        <w:ind w:left="-160" w:firstLine="160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Yun HD,  Knoebel E, Fenta Y,  et al. Asthma and proinflammatory conditions: a population-based retrospective </w:t>
      </w:r>
      <w:r>
        <w:rPr>
          <w:rFonts w:ascii="Arial" w:eastAsia="Arial" w:hAnsi="Arial" w:cs="Arial"/>
          <w:sz w:val="12"/>
          <w:szCs w:val="12"/>
        </w:rPr>
        <w:t>matched cohort study. Mayo Clinic Proceedings. 2012;87(10):953–960.</w:t>
      </w:r>
    </w:p>
    <w:p w:rsidR="00514387" w:rsidRDefault="00514387">
      <w:pPr>
        <w:spacing w:line="329" w:lineRule="exact"/>
        <w:rPr>
          <w:sz w:val="20"/>
          <w:szCs w:val="20"/>
        </w:rPr>
      </w:pPr>
    </w:p>
    <w:p w:rsidR="00514387" w:rsidRDefault="00514387">
      <w:pPr>
        <w:sectPr w:rsidR="00514387">
          <w:type w:val="continuous"/>
          <w:pgSz w:w="11900" w:h="16838"/>
          <w:pgMar w:top="219" w:right="1306" w:bottom="0" w:left="960" w:header="0" w:footer="0" w:gutter="0"/>
          <w:cols w:num="2" w:space="720" w:equalWidth="0">
            <w:col w:w="4700" w:space="420"/>
            <w:col w:w="4520"/>
          </w:cols>
        </w:sect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72" w:lineRule="exact"/>
        <w:rPr>
          <w:sz w:val="20"/>
          <w:szCs w:val="20"/>
        </w:rPr>
      </w:pPr>
    </w:p>
    <w:p w:rsidR="00514387" w:rsidRDefault="00695BB3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6"/>
          <w:szCs w:val="16"/>
        </w:rPr>
        <w:t>КЛИНИКО-ПАТОГЕНЕТИЧЕСКИЕ ОСОБЕННОСТИ САХАРНОГО ДИАБЕТА 2-го ТИПА</w:t>
      </w:r>
    </w:p>
    <w:p w:rsidR="00514387" w:rsidRDefault="00514387">
      <w:pPr>
        <w:spacing w:line="56" w:lineRule="exact"/>
        <w:rPr>
          <w:sz w:val="20"/>
          <w:szCs w:val="20"/>
        </w:rPr>
      </w:pPr>
    </w:p>
    <w:p w:rsidR="00514387" w:rsidRDefault="00695BB3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6"/>
          <w:szCs w:val="16"/>
        </w:rPr>
        <w:t>У БОЛЬНЫХ БРОНХИАЛЬНОЙ АСТМОЙ</w:t>
      </w:r>
    </w:p>
    <w:p w:rsidR="00514387" w:rsidRDefault="00514387">
      <w:pPr>
        <w:spacing w:line="92" w:lineRule="exact"/>
        <w:rPr>
          <w:sz w:val="20"/>
          <w:szCs w:val="20"/>
        </w:rPr>
      </w:pPr>
    </w:p>
    <w:p w:rsidR="00514387" w:rsidRDefault="00695BB3">
      <w:pPr>
        <w:jc w:val="center"/>
        <w:rPr>
          <w:sz w:val="20"/>
          <w:szCs w:val="20"/>
        </w:rPr>
      </w:pPr>
      <w:r>
        <w:rPr>
          <w:rFonts w:eastAsia="Times New Roman"/>
          <w:sz w:val="18"/>
          <w:szCs w:val="18"/>
        </w:rPr>
        <w:t>Г. В. Еременко</w:t>
      </w:r>
    </w:p>
    <w:p w:rsidR="00514387" w:rsidRDefault="00514387">
      <w:pPr>
        <w:spacing w:line="33" w:lineRule="exact"/>
        <w:rPr>
          <w:sz w:val="20"/>
          <w:szCs w:val="20"/>
        </w:rPr>
      </w:pPr>
    </w:p>
    <w:p w:rsidR="00514387" w:rsidRDefault="00695BB3">
      <w:pPr>
        <w:jc w:val="center"/>
        <w:rPr>
          <w:sz w:val="20"/>
          <w:szCs w:val="20"/>
        </w:rPr>
      </w:pPr>
      <w:r>
        <w:rPr>
          <w:rFonts w:eastAsia="Times New Roman"/>
          <w:sz w:val="18"/>
          <w:szCs w:val="18"/>
        </w:rPr>
        <w:t xml:space="preserve">Харьковский национальный медицинский </w:t>
      </w:r>
      <w:r>
        <w:rPr>
          <w:rFonts w:eastAsia="Times New Roman"/>
          <w:sz w:val="18"/>
          <w:szCs w:val="18"/>
        </w:rPr>
        <w:t>университет</w:t>
      </w:r>
    </w:p>
    <w:p w:rsidR="00514387" w:rsidRDefault="00514387">
      <w:pPr>
        <w:spacing w:line="89" w:lineRule="exact"/>
        <w:rPr>
          <w:sz w:val="20"/>
          <w:szCs w:val="20"/>
        </w:rPr>
      </w:pPr>
    </w:p>
    <w:p w:rsidR="00514387" w:rsidRDefault="00695BB3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Резюме</w:t>
      </w:r>
    </w:p>
    <w:p w:rsidR="00514387" w:rsidRDefault="00514387">
      <w:pPr>
        <w:spacing w:line="46" w:lineRule="exact"/>
        <w:rPr>
          <w:sz w:val="20"/>
          <w:szCs w:val="20"/>
        </w:rPr>
      </w:pPr>
    </w:p>
    <w:p w:rsidR="00514387" w:rsidRDefault="00695BB3">
      <w:pPr>
        <w:spacing w:line="274" w:lineRule="auto"/>
        <w:ind w:firstLine="170"/>
        <w:jc w:val="both"/>
        <w:rPr>
          <w:sz w:val="20"/>
          <w:szCs w:val="20"/>
        </w:rPr>
      </w:pPr>
      <w:r>
        <w:rPr>
          <w:rFonts w:eastAsia="Times New Roman"/>
          <w:sz w:val="16"/>
          <w:szCs w:val="16"/>
        </w:rPr>
        <w:t>Численность больных бронхиальной астмой (БА) постоянно растет, увеличивается и количество пациентов, которые имеют со-четание БА с сахарным диабетом 2-го типа (СД2Т).</w:t>
      </w:r>
    </w:p>
    <w:p w:rsidR="00514387" w:rsidRDefault="00514387">
      <w:pPr>
        <w:spacing w:line="18" w:lineRule="exact"/>
        <w:rPr>
          <w:sz w:val="20"/>
          <w:szCs w:val="20"/>
        </w:rPr>
      </w:pPr>
    </w:p>
    <w:p w:rsidR="00514387" w:rsidRDefault="00695BB3">
      <w:pPr>
        <w:spacing w:line="277" w:lineRule="auto"/>
        <w:ind w:firstLine="17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 xml:space="preserve">Цель исследования: </w:t>
      </w:r>
      <w:r>
        <w:rPr>
          <w:rFonts w:eastAsia="Times New Roman"/>
          <w:sz w:val="16"/>
          <w:szCs w:val="16"/>
        </w:rPr>
        <w:t xml:space="preserve">выявить особенности клинико-патогенетических </w:t>
      </w:r>
      <w:r>
        <w:rPr>
          <w:rFonts w:eastAsia="Times New Roman"/>
          <w:sz w:val="16"/>
          <w:szCs w:val="16"/>
        </w:rPr>
        <w:t>проявлений БА с неконтролируемым течением заболева-ния в сочетании с СД2Т.</w:t>
      </w:r>
    </w:p>
    <w:p w:rsidR="00514387" w:rsidRDefault="00514387">
      <w:pPr>
        <w:spacing w:line="15" w:lineRule="exact"/>
        <w:rPr>
          <w:sz w:val="20"/>
          <w:szCs w:val="20"/>
        </w:rPr>
      </w:pPr>
    </w:p>
    <w:p w:rsidR="00514387" w:rsidRDefault="00695BB3">
      <w:pPr>
        <w:spacing w:line="209" w:lineRule="exact"/>
        <w:ind w:firstLine="17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Материалы и методы</w:t>
      </w:r>
      <w:r>
        <w:rPr>
          <w:rFonts w:eastAsia="Times New Roman"/>
          <w:sz w:val="16"/>
          <w:szCs w:val="16"/>
        </w:rPr>
        <w:t>. Обследовано 55 больных, которые были разделены на 2 группы. В I группу вошли больные изолированной</w:t>
      </w:r>
      <w:r>
        <w:rPr>
          <w:rFonts w:eastAsia="Times New Roman"/>
          <w:b/>
          <w:bCs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>БА (n = 20), во II группу – БА​ с СД2Т (n = 35). Проведены об</w:t>
      </w:r>
      <w:r>
        <w:rPr>
          <w:rFonts w:eastAsia="Times New Roman"/>
          <w:sz w:val="16"/>
          <w:szCs w:val="16"/>
        </w:rPr>
        <w:t>щеклинические исследования, определение антропометрических дан-ных, оценка функции внешнего дыхания (ФВД), определение уровня глюкозы в крови, инсулина и индекса НОМА-IR. Методом иммуноферментного анализа (ИФА) определены ММР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9, МСР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1, IL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8 и IL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12.</w:t>
      </w:r>
    </w:p>
    <w:p w:rsidR="00514387" w:rsidRDefault="00514387">
      <w:pPr>
        <w:spacing w:line="39" w:lineRule="exact"/>
        <w:rPr>
          <w:sz w:val="20"/>
          <w:szCs w:val="20"/>
        </w:rPr>
      </w:pPr>
    </w:p>
    <w:p w:rsidR="00514387" w:rsidRDefault="00695BB3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Резул</w:t>
      </w:r>
      <w:r>
        <w:rPr>
          <w:rFonts w:eastAsia="Times New Roman"/>
          <w:b/>
          <w:bCs/>
          <w:sz w:val="16"/>
          <w:szCs w:val="16"/>
        </w:rPr>
        <w:t>ьтаты</w:t>
      </w:r>
      <w:r>
        <w:rPr>
          <w:rFonts w:eastAsia="Times New Roman"/>
          <w:sz w:val="16"/>
          <w:szCs w:val="16"/>
        </w:rPr>
        <w:t>. Установлено, что в I группе у 20 (100%) больных диагностирован обструктивный тип нарушения, во II группе</w:t>
      </w:r>
    </w:p>
    <w:p w:rsidR="00514387" w:rsidRDefault="00514387">
      <w:pPr>
        <w:spacing w:line="36" w:lineRule="exact"/>
        <w:rPr>
          <w:sz w:val="20"/>
          <w:szCs w:val="20"/>
        </w:rPr>
      </w:pPr>
    </w:p>
    <w:p w:rsidR="00514387" w:rsidRDefault="00695BB3">
      <w:pPr>
        <w:numPr>
          <w:ilvl w:val="0"/>
          <w:numId w:val="11"/>
        </w:numPr>
        <w:tabs>
          <w:tab w:val="left" w:pos="120"/>
        </w:tabs>
        <w:ind w:left="120" w:hanging="117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>6 (19,3%) больных – рестриктивный тип, у 13 (41,9%) – обструктивный,​ у 12 (38,8%) – смешанный​ тип нарушения ФВД. Выявлена</w:t>
      </w:r>
    </w:p>
    <w:p w:rsidR="00514387" w:rsidRDefault="00514387">
      <w:pPr>
        <w:spacing w:line="34" w:lineRule="exact"/>
        <w:rPr>
          <w:rFonts w:eastAsia="Times New Roman"/>
          <w:sz w:val="16"/>
          <w:szCs w:val="16"/>
        </w:rPr>
      </w:pPr>
    </w:p>
    <w:p w:rsidR="00514387" w:rsidRDefault="00695BB3">
      <w:pPr>
        <w:spacing w:line="209" w:lineRule="exact"/>
        <w:jc w:val="both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статистически </w:t>
      </w:r>
      <w:r>
        <w:rPr>
          <w:rFonts w:eastAsia="Times New Roman"/>
          <w:sz w:val="16"/>
          <w:szCs w:val="16"/>
        </w:rPr>
        <w:t>значимая корреляционная взаимосвязь между показателем форсированного выдоха за 1-ю секунду (FEV</w:t>
      </w:r>
      <w:r>
        <w:rPr>
          <w:rFonts w:eastAsia="Times New Roman"/>
          <w:sz w:val="18"/>
          <w:szCs w:val="18"/>
          <w:vertAlign w:val="subscript"/>
        </w:rPr>
        <w:t>1</w:t>
      </w:r>
      <w:r>
        <w:rPr>
          <w:rFonts w:eastAsia="Times New Roman"/>
          <w:sz w:val="16"/>
          <w:szCs w:val="16"/>
        </w:rPr>
        <w:t>) и уровнем НbА1с. Содержание IL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8 и IL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12 было повышено у больных II группы в 30,6 и 33,2 раза соответственно по сравнению с I груп-пой. Найдена связь между МС</w:t>
      </w:r>
      <w:r>
        <w:rPr>
          <w:rFonts w:eastAsia="Times New Roman"/>
          <w:sz w:val="16"/>
          <w:szCs w:val="16"/>
        </w:rPr>
        <w:t>Р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1 и ММР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9 (r = 0,73, р &lt; 0,05), у больных II группы раскрыта прямая связь между МСР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1 и сум-</w:t>
      </w:r>
    </w:p>
    <w:p w:rsidR="00514387" w:rsidRDefault="00514387">
      <w:pPr>
        <w:spacing w:line="34" w:lineRule="exact"/>
        <w:rPr>
          <w:rFonts w:eastAsia="Times New Roman"/>
          <w:sz w:val="16"/>
          <w:szCs w:val="16"/>
        </w:rPr>
      </w:pPr>
    </w:p>
    <w:p w:rsidR="00514387" w:rsidRDefault="00695BB3">
      <w:pPr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>марным FEV</w:t>
      </w:r>
      <w:r>
        <w:rPr>
          <w:rFonts w:eastAsia="Times New Roman"/>
          <w:sz w:val="18"/>
          <w:szCs w:val="18"/>
          <w:vertAlign w:val="subscript"/>
        </w:rPr>
        <w:t>1</w:t>
      </w:r>
      <w:r>
        <w:rPr>
          <w:rFonts w:eastAsia="Times New Roman"/>
          <w:sz w:val="16"/>
          <w:szCs w:val="16"/>
        </w:rPr>
        <w:t xml:space="preserve"> (r = 0,51, р &lt; 0,05).</w:t>
      </w:r>
    </w:p>
    <w:p w:rsidR="00514387" w:rsidRDefault="00514387">
      <w:pPr>
        <w:spacing w:line="17" w:lineRule="exact"/>
        <w:rPr>
          <w:rFonts w:eastAsia="Times New Roman"/>
          <w:sz w:val="16"/>
          <w:szCs w:val="16"/>
        </w:rPr>
      </w:pPr>
    </w:p>
    <w:p w:rsidR="00514387" w:rsidRDefault="00695BB3">
      <w:pPr>
        <w:spacing w:line="236" w:lineRule="auto"/>
        <w:ind w:left="180"/>
        <w:rPr>
          <w:rFonts w:eastAsia="Times New Roman"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>Выводы</w:t>
      </w:r>
      <w:r>
        <w:rPr>
          <w:rFonts w:eastAsia="Times New Roman"/>
          <w:sz w:val="16"/>
          <w:szCs w:val="16"/>
        </w:rPr>
        <w:t>. Установлено, что наличие признаков избыточной массы тела и ожирения у больных БА и СД2Т приводит к ухудшению</w:t>
      </w:r>
    </w:p>
    <w:p w:rsidR="00514387" w:rsidRDefault="00514387">
      <w:pPr>
        <w:spacing w:line="35" w:lineRule="exact"/>
        <w:rPr>
          <w:rFonts w:eastAsia="Times New Roman"/>
          <w:sz w:val="16"/>
          <w:szCs w:val="16"/>
        </w:rPr>
      </w:pPr>
    </w:p>
    <w:p w:rsidR="00514387" w:rsidRDefault="00695BB3">
      <w:pPr>
        <w:spacing w:line="208" w:lineRule="exact"/>
        <w:jc w:val="both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>состояния респираторной функции легких, отмечаются нарушения ФВД в виде снижения показателей – FEV​</w:t>
      </w:r>
      <w:r>
        <w:rPr>
          <w:rFonts w:eastAsia="Times New Roman"/>
          <w:sz w:val="18"/>
          <w:szCs w:val="18"/>
          <w:vertAlign w:val="subscript"/>
        </w:rPr>
        <w:t>1</w:t>
      </w:r>
      <w:r>
        <w:rPr>
          <w:rFonts w:eastAsia="Times New Roman"/>
          <w:sz w:val="16"/>
          <w:szCs w:val="16"/>
        </w:rPr>
        <w:t>/FVC, FEV</w:t>
      </w:r>
      <w:r>
        <w:rPr>
          <w:rFonts w:eastAsia="Times New Roman"/>
          <w:sz w:val="18"/>
          <w:szCs w:val="18"/>
          <w:vertAlign w:val="subscript"/>
        </w:rPr>
        <w:t>1</w:t>
      </w:r>
      <w:r>
        <w:rPr>
          <w:rFonts w:eastAsia="Times New Roman"/>
          <w:sz w:val="16"/>
          <w:szCs w:val="16"/>
        </w:rPr>
        <w:t>. Выявлены взаимосвязи между уровнем провоспалительных цитокинов (IL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8, IL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12) и уровнем ММР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9 и МСР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1. Рассмотрение БА и СД2Т как хронического ау</w:t>
      </w:r>
      <w:r>
        <w:rPr>
          <w:rFonts w:eastAsia="Times New Roman"/>
          <w:sz w:val="16"/>
          <w:szCs w:val="16"/>
        </w:rPr>
        <w:t>тоиммунного воспаления создает основания для более тщательного изучения общих звеньев патогенеза БА и СД2Т.</w:t>
      </w:r>
    </w:p>
    <w:p w:rsidR="00514387" w:rsidRDefault="00514387">
      <w:pPr>
        <w:spacing w:line="45" w:lineRule="exact"/>
        <w:rPr>
          <w:rFonts w:eastAsia="Times New Roman"/>
          <w:sz w:val="16"/>
          <w:szCs w:val="16"/>
        </w:rPr>
      </w:pPr>
    </w:p>
    <w:p w:rsidR="00514387" w:rsidRDefault="00695BB3">
      <w:pPr>
        <w:spacing w:line="198" w:lineRule="exact"/>
        <w:ind w:firstLine="170"/>
        <w:rPr>
          <w:rFonts w:eastAsia="Times New Roman"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t xml:space="preserve">Ключевые слова: </w:t>
      </w:r>
      <w:r>
        <w:rPr>
          <w:rFonts w:eastAsia="Times New Roman"/>
          <w:sz w:val="16"/>
          <w:szCs w:val="16"/>
        </w:rPr>
        <w:t>бронхиальная астма, сахарный диабет 2-го типа, цитокины, матриксная металлопротеиназа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9, моноцитарный</w:t>
      </w:r>
      <w:r>
        <w:rPr>
          <w:rFonts w:eastAsia="Times New Roman"/>
          <w:b/>
          <w:bCs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>хемоаттрактантный протеин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1.</w:t>
      </w:r>
    </w:p>
    <w:p w:rsidR="00514387" w:rsidRDefault="00514387">
      <w:pPr>
        <w:spacing w:line="264" w:lineRule="exact"/>
        <w:rPr>
          <w:sz w:val="20"/>
          <w:szCs w:val="20"/>
        </w:rPr>
      </w:pPr>
    </w:p>
    <w:p w:rsidR="00514387" w:rsidRDefault="00695BB3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Научно-практический журнал «Астма и аллергия», 2018, № 1</w:t>
      </w:r>
    </w:p>
    <w:p w:rsidR="00514387" w:rsidRDefault="00514387">
      <w:pPr>
        <w:spacing w:line="36" w:lineRule="exact"/>
        <w:rPr>
          <w:sz w:val="20"/>
          <w:szCs w:val="20"/>
        </w:rPr>
      </w:pPr>
    </w:p>
    <w:p w:rsidR="00514387" w:rsidRDefault="00695BB3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Г.В. Еременко, канд. мед. наук, доцент</w:t>
      </w:r>
    </w:p>
    <w:p w:rsidR="00514387" w:rsidRDefault="00514387">
      <w:pPr>
        <w:spacing w:line="36" w:lineRule="exact"/>
        <w:rPr>
          <w:sz w:val="20"/>
          <w:szCs w:val="20"/>
        </w:rPr>
      </w:pPr>
    </w:p>
    <w:p w:rsidR="00514387" w:rsidRDefault="00695BB3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Харьковский национальный медицинский университет</w:t>
      </w:r>
    </w:p>
    <w:p w:rsidR="00514387" w:rsidRDefault="00514387">
      <w:pPr>
        <w:spacing w:line="36" w:lineRule="exact"/>
        <w:rPr>
          <w:sz w:val="20"/>
          <w:szCs w:val="20"/>
        </w:rPr>
      </w:pPr>
    </w:p>
    <w:p w:rsidR="00514387" w:rsidRDefault="00695BB3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пр-т Науки, 4, г. Харьков, Украина, 61022</w:t>
      </w:r>
    </w:p>
    <w:p w:rsidR="00514387" w:rsidRDefault="00514387">
      <w:pPr>
        <w:spacing w:line="46" w:lineRule="exact"/>
        <w:rPr>
          <w:sz w:val="20"/>
          <w:szCs w:val="20"/>
        </w:rPr>
      </w:pPr>
    </w:p>
    <w:p w:rsidR="00514387" w:rsidRDefault="00695BB3">
      <w:pPr>
        <w:ind w:left="6020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тел.: +38 (066) 648-52-13; e-mail: galyna0512@ukr.net</w:t>
      </w: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371" w:lineRule="exact"/>
        <w:rPr>
          <w:sz w:val="20"/>
          <w:szCs w:val="20"/>
        </w:rPr>
      </w:pPr>
    </w:p>
    <w:p w:rsidR="00514387" w:rsidRDefault="00695BB3">
      <w:pPr>
        <w:ind w:left="464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 xml:space="preserve">АСТМА ТА АЛЕРГІЯ, № 1 </w:t>
      </w:r>
      <w:r>
        <w:rPr>
          <w:rFonts w:ascii="Arial" w:eastAsia="Arial" w:hAnsi="Arial" w:cs="Arial"/>
          <w:sz w:val="16"/>
          <w:szCs w:val="16"/>
        </w:rPr>
        <w:t>•</w:t>
      </w:r>
      <w:r>
        <w:rPr>
          <w:rFonts w:ascii="Arial" w:eastAsia="Arial" w:hAnsi="Arial" w:cs="Arial"/>
          <w:sz w:val="24"/>
          <w:szCs w:val="24"/>
        </w:rPr>
        <w:t xml:space="preserve"> 2018</w:t>
      </w:r>
    </w:p>
    <w:p w:rsidR="00514387" w:rsidRDefault="0051438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64" o:spid="_x0000_s1089" style="position:absolute;z-index:251664896;visibility:visible;mso-wrap-distance-left:0;mso-wrap-distance-right:0" from=".15pt,-9.35pt" to="217.9pt,-9.35pt" o:allowincell="f" strokeweight=".30269mm"/>
        </w:pict>
      </w:r>
      <w:r>
        <w:rPr>
          <w:sz w:val="20"/>
          <w:szCs w:val="20"/>
        </w:rPr>
        <w:pict>
          <v:line id="Shape 65" o:spid="_x0000_s1090" style="position:absolute;z-index:251665920;visibility:visible;mso-wrap-distance-left:0;mso-wrap-distance-right:0" from="450.35pt,-9.35pt" to="482.05pt,-9.35pt" o:allowincell="f" strokeweight=".30269mm"/>
        </w:pict>
      </w:r>
      <w:r>
        <w:rPr>
          <w:sz w:val="20"/>
          <w:szCs w:val="20"/>
        </w:rPr>
        <w:pict>
          <v:line id="Shape 66" o:spid="_x0000_s1091" style="position:absolute;z-index:251666944;visibility:visible;mso-wrap-distance-left:0;mso-wrap-distance-right:0" from=".15pt,-6.75pt" to="217.9pt,-6.75pt" o:allowincell="f" strokeweight=".60536mm"/>
        </w:pict>
      </w:r>
      <w:r>
        <w:rPr>
          <w:sz w:val="20"/>
          <w:szCs w:val="20"/>
        </w:rPr>
        <w:pict>
          <v:line id="Shape 67" o:spid="_x0000_s1092" style="position:absolute;z-index:251667968;visibility:visible;mso-wrap-distance-left:0;mso-wrap-distance-right:0" from="450.35pt,-6.75pt" to="482.05pt,-6.75pt" o:allowincell="f" strokeweight=".60536mm"/>
        </w:pict>
      </w:r>
      <w:r>
        <w:rPr>
          <w:sz w:val="20"/>
          <w:szCs w:val="20"/>
        </w:rPr>
        <w:pict>
          <v:line id="Shape 68" o:spid="_x0000_s1093" style="position:absolute;z-index:251668992;visibility:visible;mso-wrap-distance-left:0;mso-wrap-distance-right:0" from=".15pt,-4.2pt" to="217.9pt,-4.2pt" o:allowincell="f" strokeweight=".30269mm"/>
        </w:pict>
      </w:r>
      <w:r>
        <w:rPr>
          <w:sz w:val="20"/>
          <w:szCs w:val="20"/>
        </w:rPr>
        <w:pict>
          <v:line id="Shape 69" o:spid="_x0000_s1094" style="position:absolute;z-index:251670016;visibility:visible;mso-wrap-distance-left:0;mso-wrap-distance-right:0" from="450.35pt,-4.2pt" to="482.05pt,-4.2pt" o:allowincell="f" strokeweight=".30269mm"/>
        </w:pict>
      </w:r>
      <w:r>
        <w:rPr>
          <w:sz w:val="20"/>
          <w:szCs w:val="20"/>
        </w:rPr>
        <w:pict>
          <v:rect id="Shape 70" o:spid="_x0000_s1095" style="position:absolute;margin-left:217.95pt;margin-top:-11.7pt;width:232.4pt;height:22.9pt;z-index:-251622912;visibility:visible;mso-wrap-distance-left:0;mso-wrap-distance-right:0" o:allowincell="f" stroked="f"/>
        </w:pict>
      </w:r>
    </w:p>
    <w:p w:rsidR="00514387" w:rsidRDefault="00514387">
      <w:pPr>
        <w:sectPr w:rsidR="00514387">
          <w:type w:val="continuous"/>
          <w:pgSz w:w="11900" w:h="16838"/>
          <w:pgMar w:top="219" w:right="1306" w:bottom="0" w:left="960" w:header="0" w:footer="0" w:gutter="0"/>
          <w:cols w:space="720" w:equalWidth="0">
            <w:col w:w="9640"/>
          </w:cols>
        </w:sectPr>
      </w:pPr>
    </w:p>
    <w:p w:rsidR="00514387" w:rsidRDefault="00514387">
      <w:pPr>
        <w:spacing w:line="54" w:lineRule="exact"/>
        <w:rPr>
          <w:sz w:val="20"/>
          <w:szCs w:val="20"/>
        </w:rPr>
      </w:pPr>
    </w:p>
    <w:p w:rsidR="00514387" w:rsidRDefault="00695BB3">
      <w:pPr>
        <w:ind w:left="7220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ISSN 2307-3373</w:t>
      </w:r>
    </w:p>
    <w:p w:rsidR="00514387" w:rsidRDefault="00514387">
      <w:pPr>
        <w:sectPr w:rsidR="00514387">
          <w:type w:val="continuous"/>
          <w:pgSz w:w="11900" w:h="16838"/>
          <w:pgMar w:top="219" w:right="1306" w:bottom="0" w:left="960" w:header="0" w:footer="0" w:gutter="0"/>
          <w:cols w:space="720" w:equalWidth="0">
            <w:col w:w="9640"/>
          </w:cols>
        </w:sectPr>
      </w:pPr>
    </w:p>
    <w:p w:rsidR="00514387" w:rsidRDefault="00514387">
      <w:pPr>
        <w:ind w:left="960"/>
        <w:rPr>
          <w:sz w:val="20"/>
          <w:szCs w:val="20"/>
        </w:rPr>
      </w:pPr>
      <w:bookmarkStart w:id="6" w:name="page7"/>
      <w:bookmarkEnd w:id="6"/>
      <w:r w:rsidRPr="00514387">
        <w:rPr>
          <w:rFonts w:ascii="Arial" w:eastAsia="Arial" w:hAnsi="Arial" w:cs="Arial"/>
          <w:sz w:val="24"/>
          <w:szCs w:val="24"/>
        </w:rPr>
        <w:lastRenderedPageBreak/>
        <w:pict>
          <v:rect id="Shape 71" o:spid="_x0000_s1096" style="position:absolute;left:0;text-align:left;margin-left:518.75pt;margin-top:17pt;width:28.35pt;height:28.35pt;z-index:-251621888;visibility:visible;mso-wrap-distance-left:0;mso-wrap-distance-right:0;mso-position-horizontal-relative:page;mso-position-vertical-relative:page" o:allowincell="f" fillcolor="#c5c6c6" stroked="f">
            <w10:wrap anchorx="page" anchory="page"/>
          </v:rect>
        </w:pict>
      </w:r>
      <w:r w:rsidR="00695BB3">
        <w:rPr>
          <w:rFonts w:ascii="Arial" w:eastAsia="Arial" w:hAnsi="Arial" w:cs="Arial"/>
          <w:sz w:val="24"/>
          <w:szCs w:val="24"/>
        </w:rPr>
        <w:t xml:space="preserve">ОРИГІНАЛЬНІ СТАТТІ </w:t>
      </w:r>
      <w:r w:rsidR="00695BB3">
        <w:rPr>
          <w:noProof/>
          <w:sz w:val="1"/>
          <w:szCs w:val="1"/>
        </w:rPr>
        <w:drawing>
          <wp:inline distT="0" distB="0" distL="0" distR="0">
            <wp:extent cx="3130550" cy="76200"/>
            <wp:effectExtent l="0" t="0" r="0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5BB3">
        <w:rPr>
          <w:rFonts w:ascii="Arial" w:eastAsia="Arial" w:hAnsi="Arial" w:cs="Arial"/>
          <w:b/>
          <w:bCs/>
          <w:color w:val="FFFFFF"/>
          <w:sz w:val="48"/>
          <w:szCs w:val="48"/>
          <w:vertAlign w:val="superscript"/>
        </w:rPr>
        <w:t xml:space="preserve">   19</w:t>
      </w:r>
    </w:p>
    <w:p w:rsidR="00514387" w:rsidRDefault="0051438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73" o:spid="_x0000_s1098" style="position:absolute;z-index:251671040;visibility:visible;mso-wrap-distance-left:0;mso-wrap-distance-right:0" from=".15pt,-19.65pt" to="39.85pt,-19.65pt" o:allowincell="f" strokeweight=".30269mm"/>
        </w:pict>
      </w:r>
      <w:r>
        <w:rPr>
          <w:sz w:val="20"/>
          <w:szCs w:val="20"/>
        </w:rPr>
        <w:pict>
          <v:line id="Shape 74" o:spid="_x0000_s1099" style="position:absolute;z-index:251672064;visibility:visible;mso-wrap-distance-left:0;mso-wrap-distance-right:0" from=".15pt,-17.05pt" to="39.85pt,-17.05pt" o:allowincell="f" strokeweight=".60536mm"/>
        </w:pict>
      </w:r>
      <w:r>
        <w:rPr>
          <w:sz w:val="20"/>
          <w:szCs w:val="20"/>
        </w:rPr>
        <w:pict>
          <v:line id="Shape 75" o:spid="_x0000_s1100" style="position:absolute;z-index:251673088;visibility:visible;mso-wrap-distance-left:0;mso-wrap-distance-right:0" from=".15pt,-14.5pt" to="39.85pt,-14.5pt" o:allowincell="f" strokeweight=".30269mm"/>
        </w:pict>
      </w:r>
      <w:r>
        <w:rPr>
          <w:sz w:val="20"/>
          <w:szCs w:val="20"/>
        </w:rPr>
        <w:pict>
          <v:rect id="Shape 76" o:spid="_x0000_s1101" style="position:absolute;margin-left:39.85pt;margin-top:-22.15pt;width:156.85pt;height:9.35pt;z-index:-251620864;visibility:visible;mso-wrap-distance-left:0;mso-wrap-distance-right:0" o:allowincell="f" stroked="f"/>
        </w:pict>
      </w:r>
    </w:p>
    <w:p w:rsidR="00514387" w:rsidRDefault="00514387">
      <w:pPr>
        <w:spacing w:line="271" w:lineRule="exact"/>
        <w:rPr>
          <w:sz w:val="20"/>
          <w:szCs w:val="20"/>
        </w:rPr>
      </w:pPr>
    </w:p>
    <w:p w:rsidR="00514387" w:rsidRDefault="00695BB3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6"/>
          <w:szCs w:val="16"/>
        </w:rPr>
        <w:t>CLINICAL AND PATHOGENETIC PECULIARITIES OF DIABETES MELLITUS TYPE 2 IN PATIENTS WITH ASTHMA</w:t>
      </w:r>
    </w:p>
    <w:p w:rsidR="00514387" w:rsidRDefault="00514387">
      <w:pPr>
        <w:spacing w:line="92" w:lineRule="exact"/>
        <w:rPr>
          <w:sz w:val="20"/>
          <w:szCs w:val="20"/>
        </w:rPr>
      </w:pPr>
    </w:p>
    <w:p w:rsidR="00514387" w:rsidRDefault="00695BB3">
      <w:pPr>
        <w:jc w:val="center"/>
        <w:rPr>
          <w:sz w:val="20"/>
          <w:szCs w:val="20"/>
        </w:rPr>
      </w:pPr>
      <w:r>
        <w:rPr>
          <w:rFonts w:eastAsia="Times New Roman"/>
          <w:sz w:val="18"/>
          <w:szCs w:val="18"/>
        </w:rPr>
        <w:t>G. V. Yeryomenko</w:t>
      </w:r>
    </w:p>
    <w:p w:rsidR="00514387" w:rsidRDefault="00514387">
      <w:pPr>
        <w:spacing w:line="33" w:lineRule="exact"/>
        <w:rPr>
          <w:sz w:val="20"/>
          <w:szCs w:val="20"/>
        </w:rPr>
      </w:pPr>
    </w:p>
    <w:p w:rsidR="00514387" w:rsidRDefault="00695BB3">
      <w:pPr>
        <w:jc w:val="center"/>
        <w:rPr>
          <w:sz w:val="20"/>
          <w:szCs w:val="20"/>
        </w:rPr>
      </w:pPr>
      <w:r>
        <w:rPr>
          <w:rFonts w:eastAsia="Times New Roman"/>
          <w:sz w:val="18"/>
          <w:szCs w:val="18"/>
        </w:rPr>
        <w:t xml:space="preserve">Kharkiv </w:t>
      </w:r>
      <w:r>
        <w:rPr>
          <w:rFonts w:eastAsia="Times New Roman"/>
          <w:sz w:val="18"/>
          <w:szCs w:val="18"/>
        </w:rPr>
        <w:t>National Medical University</w:t>
      </w:r>
    </w:p>
    <w:p w:rsidR="00514387" w:rsidRDefault="00514387">
      <w:pPr>
        <w:spacing w:line="89" w:lineRule="exact"/>
        <w:rPr>
          <w:sz w:val="20"/>
          <w:szCs w:val="20"/>
        </w:rPr>
      </w:pPr>
    </w:p>
    <w:p w:rsidR="00514387" w:rsidRDefault="00695BB3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Abstract</w:t>
      </w:r>
    </w:p>
    <w:p w:rsidR="00514387" w:rsidRDefault="00514387">
      <w:pPr>
        <w:spacing w:line="46" w:lineRule="exact"/>
        <w:rPr>
          <w:sz w:val="20"/>
          <w:szCs w:val="20"/>
        </w:rPr>
      </w:pPr>
    </w:p>
    <w:p w:rsidR="00514387" w:rsidRDefault="00695BB3">
      <w:pPr>
        <w:spacing w:line="274" w:lineRule="auto"/>
        <w:ind w:firstLine="170"/>
        <w:jc w:val="both"/>
        <w:rPr>
          <w:sz w:val="20"/>
          <w:szCs w:val="20"/>
        </w:rPr>
      </w:pPr>
      <w:r>
        <w:rPr>
          <w:rFonts w:eastAsia="Times New Roman"/>
          <w:sz w:val="16"/>
          <w:szCs w:val="16"/>
        </w:rPr>
        <w:t>The number of patients with bronchial asthma (BA) is steadily rising, the number of patients with a combination of BA and diabetes mel-litus type 2 (DM2T) increasing.</w:t>
      </w:r>
    </w:p>
    <w:p w:rsidR="00514387" w:rsidRDefault="00514387">
      <w:pPr>
        <w:spacing w:line="18" w:lineRule="exact"/>
        <w:rPr>
          <w:sz w:val="20"/>
          <w:szCs w:val="20"/>
        </w:rPr>
      </w:pPr>
    </w:p>
    <w:p w:rsidR="00514387" w:rsidRDefault="00695BB3">
      <w:pPr>
        <w:spacing w:line="277" w:lineRule="auto"/>
        <w:ind w:firstLine="17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The objective of the study</w:t>
      </w:r>
      <w:r>
        <w:rPr>
          <w:rFonts w:eastAsia="Times New Roman"/>
          <w:sz w:val="16"/>
          <w:szCs w:val="16"/>
        </w:rPr>
        <w:t>: revealing of clinical</w:t>
      </w:r>
      <w:r>
        <w:rPr>
          <w:rFonts w:eastAsia="Times New Roman"/>
          <w:sz w:val="16"/>
          <w:szCs w:val="16"/>
        </w:rPr>
        <w:t xml:space="preserve"> and pathogenetic manifestations of BA with an uncontrolled course of the disease in com-bination with DM2T.</w:t>
      </w:r>
    </w:p>
    <w:p w:rsidR="00514387" w:rsidRDefault="00514387">
      <w:pPr>
        <w:spacing w:line="15" w:lineRule="exact"/>
        <w:rPr>
          <w:sz w:val="20"/>
          <w:szCs w:val="20"/>
        </w:rPr>
      </w:pPr>
    </w:p>
    <w:p w:rsidR="00514387" w:rsidRDefault="00695BB3">
      <w:pPr>
        <w:spacing w:line="216" w:lineRule="exact"/>
        <w:ind w:firstLine="17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Materials and methods</w:t>
      </w:r>
      <w:r>
        <w:rPr>
          <w:rFonts w:eastAsia="Times New Roman"/>
          <w:sz w:val="16"/>
          <w:szCs w:val="16"/>
        </w:rPr>
        <w:t>. The study involved 55 patients, who were divided into 2 groups. Group I included patients with isolated BA (n =</w:t>
      </w:r>
      <w:r>
        <w:rPr>
          <w:rFonts w:eastAsia="Times New Roman"/>
          <w:b/>
          <w:bCs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 xml:space="preserve">20), group </w:t>
      </w:r>
      <w:r>
        <w:rPr>
          <w:rFonts w:eastAsia="Times New Roman"/>
          <w:sz w:val="16"/>
          <w:szCs w:val="16"/>
        </w:rPr>
        <w:t>II had BA with DM2T (n = 35). General clinical trials, determination of anthropometric data, assessment of external respira-tion (ER), blood glucose level, insulin level and HOMA-IR index were carried out. The method of immunoassay (ELISA) revealed MMP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 xml:space="preserve">9, </w:t>
      </w:r>
      <w:r>
        <w:rPr>
          <w:rFonts w:eastAsia="Times New Roman"/>
          <w:sz w:val="16"/>
          <w:szCs w:val="16"/>
        </w:rPr>
        <w:t>MCP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1, IL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8 and IL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12.</w:t>
      </w:r>
    </w:p>
    <w:p w:rsidR="00514387" w:rsidRDefault="00514387">
      <w:pPr>
        <w:spacing w:line="232" w:lineRule="exact"/>
        <w:rPr>
          <w:sz w:val="20"/>
          <w:szCs w:val="20"/>
        </w:rPr>
      </w:pPr>
    </w:p>
    <w:p w:rsidR="00514387" w:rsidRDefault="00695BB3">
      <w:pPr>
        <w:spacing w:line="219" w:lineRule="exact"/>
        <w:ind w:firstLine="17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Results</w:t>
      </w:r>
      <w:r>
        <w:rPr>
          <w:rFonts w:eastAsia="Times New Roman"/>
          <w:sz w:val="16"/>
          <w:szCs w:val="16"/>
        </w:rPr>
        <w:t>. It was found out that in 20 (100%) patients from group I the obstructive type of disturbance was diagnosed; in group II there were</w:t>
      </w:r>
      <w:r>
        <w:rPr>
          <w:rFonts w:eastAsia="Times New Roman"/>
          <w:b/>
          <w:bCs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>6 (19.3%) cases with the restrictive type, 13 (41.9%) with the obstructive one and 12 (38.8%</w:t>
      </w:r>
      <w:r>
        <w:rPr>
          <w:rFonts w:eastAsia="Times New Roman"/>
          <w:sz w:val="16"/>
          <w:szCs w:val="16"/>
        </w:rPr>
        <w:t>) with a mixed type of expiratory dysfunction. A statistically significant correlation between FEV</w:t>
      </w:r>
      <w:r>
        <w:rPr>
          <w:rFonts w:eastAsia="Times New Roman"/>
          <w:sz w:val="18"/>
          <w:szCs w:val="18"/>
          <w:vertAlign w:val="subscript"/>
        </w:rPr>
        <w:t>1</w:t>
      </w:r>
      <w:r>
        <w:rPr>
          <w:rFonts w:eastAsia="Times New Roman"/>
          <w:sz w:val="16"/>
          <w:szCs w:val="16"/>
        </w:rPr>
        <w:t xml:space="preserve"> and the level of HbA1c was revealed. The content of IL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8 and IL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12 was increased in pa-tients from group II by 30.6 and 33.2 times, respectively, versus gro</w:t>
      </w:r>
      <w:r>
        <w:rPr>
          <w:rFonts w:eastAsia="Times New Roman"/>
          <w:sz w:val="16"/>
          <w:szCs w:val="16"/>
        </w:rPr>
        <w:t>up I. A relationship was found between MCP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1 and MMP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9 (r = 0.73, p &lt; 0.05), patients from group II demonstrated a direct relationship between MCP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1 and total FEV</w:t>
      </w:r>
      <w:r>
        <w:rPr>
          <w:rFonts w:eastAsia="Times New Roman"/>
          <w:sz w:val="18"/>
          <w:szCs w:val="18"/>
          <w:vertAlign w:val="subscript"/>
        </w:rPr>
        <w:t>1</w:t>
      </w:r>
      <w:r>
        <w:rPr>
          <w:rFonts w:eastAsia="Times New Roman"/>
          <w:sz w:val="16"/>
          <w:szCs w:val="16"/>
        </w:rPr>
        <w:t xml:space="preserve"> (r = 0.51, p &lt; 0.05).</w:t>
      </w:r>
    </w:p>
    <w:p w:rsidR="00514387" w:rsidRDefault="00514387">
      <w:pPr>
        <w:spacing w:line="9" w:lineRule="exact"/>
        <w:rPr>
          <w:sz w:val="20"/>
          <w:szCs w:val="20"/>
        </w:rPr>
      </w:pPr>
    </w:p>
    <w:p w:rsidR="00514387" w:rsidRDefault="00695BB3">
      <w:pPr>
        <w:spacing w:line="211" w:lineRule="exact"/>
        <w:ind w:firstLine="17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Conclusions</w:t>
      </w:r>
      <w:r>
        <w:rPr>
          <w:rFonts w:eastAsia="Times New Roman"/>
          <w:sz w:val="16"/>
          <w:szCs w:val="16"/>
        </w:rPr>
        <w:t>. It has been revealed that the presence of signs of extra</w:t>
      </w:r>
      <w:r>
        <w:rPr>
          <w:rFonts w:eastAsia="Times New Roman"/>
          <w:sz w:val="16"/>
          <w:szCs w:val="16"/>
        </w:rPr>
        <w:t xml:space="preserve"> weight and obesity in patients with BA and DM2T leads to a deterio-ration of the respiratory function of the lungs, and external respiratory dysfunctions are observed in the form of lower values of FEV</w:t>
      </w:r>
      <w:r>
        <w:rPr>
          <w:rFonts w:eastAsia="Times New Roman"/>
          <w:sz w:val="18"/>
          <w:szCs w:val="18"/>
          <w:vertAlign w:val="subscript"/>
        </w:rPr>
        <w:t>1</w:t>
      </w:r>
      <w:r>
        <w:rPr>
          <w:rFonts w:eastAsia="Times New Roman"/>
          <w:sz w:val="16"/>
          <w:szCs w:val="16"/>
        </w:rPr>
        <w:t>/FVC, FEV</w:t>
      </w:r>
      <w:r>
        <w:rPr>
          <w:rFonts w:eastAsia="Times New Roman"/>
          <w:sz w:val="18"/>
          <w:szCs w:val="18"/>
          <w:vertAlign w:val="subscript"/>
        </w:rPr>
        <w:t>1</w:t>
      </w:r>
      <w:r>
        <w:rPr>
          <w:rFonts w:eastAsia="Times New Roman"/>
          <w:sz w:val="16"/>
          <w:szCs w:val="16"/>
        </w:rPr>
        <w:t>. Relationships between the level of proinf</w:t>
      </w:r>
      <w:r>
        <w:rPr>
          <w:rFonts w:eastAsia="Times New Roman"/>
          <w:sz w:val="16"/>
          <w:szCs w:val="16"/>
        </w:rPr>
        <w:t>lammatory cytokines (IL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8, IL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12) and that of MMP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9 and MCP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1 were revealed. The con-sideration of BA and DM2T as a chronic autoimmune inflammation creates the basis for a more thorough study of the common links in the pathogenesis of BA and DM2T.</w:t>
      </w:r>
    </w:p>
    <w:p w:rsidR="00514387" w:rsidRDefault="00514387">
      <w:pPr>
        <w:spacing w:line="8" w:lineRule="exact"/>
        <w:rPr>
          <w:sz w:val="20"/>
          <w:szCs w:val="20"/>
        </w:rPr>
      </w:pPr>
    </w:p>
    <w:p w:rsidR="00514387" w:rsidRDefault="00695BB3">
      <w:pPr>
        <w:spacing w:line="215" w:lineRule="exact"/>
        <w:ind w:left="18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Key wor</w:t>
      </w:r>
      <w:r>
        <w:rPr>
          <w:rFonts w:eastAsia="Times New Roman"/>
          <w:b/>
          <w:bCs/>
          <w:sz w:val="16"/>
          <w:szCs w:val="16"/>
        </w:rPr>
        <w:t xml:space="preserve">ds: </w:t>
      </w:r>
      <w:r>
        <w:rPr>
          <w:rFonts w:eastAsia="Times New Roman"/>
          <w:sz w:val="16"/>
          <w:szCs w:val="16"/>
        </w:rPr>
        <w:t>bronchial asthma, diabetes mellitus type 2, cytokines, matrix metalloproteinase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9, monocyte chemoattractant protein</w:t>
      </w:r>
      <w:r>
        <w:rPr>
          <w:rFonts w:ascii="Arial Unicode MS" w:eastAsia="Arial Unicode MS" w:hAnsi="Arial Unicode MS" w:cs="Arial Unicode MS"/>
          <w:sz w:val="16"/>
          <w:szCs w:val="16"/>
        </w:rPr>
        <w:t>‑</w:t>
      </w:r>
      <w:r>
        <w:rPr>
          <w:rFonts w:eastAsia="Times New Roman"/>
          <w:sz w:val="16"/>
          <w:szCs w:val="16"/>
        </w:rPr>
        <w:t>1.</w:t>
      </w:r>
    </w:p>
    <w:p w:rsidR="00514387" w:rsidRDefault="00514387">
      <w:pPr>
        <w:spacing w:line="263" w:lineRule="exact"/>
        <w:rPr>
          <w:sz w:val="20"/>
          <w:szCs w:val="20"/>
        </w:rPr>
      </w:pPr>
    </w:p>
    <w:p w:rsidR="00514387" w:rsidRDefault="00695BB3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Theoretical and practical J. «Asthma and Allergy», 2018, 1</w:t>
      </w:r>
    </w:p>
    <w:p w:rsidR="00514387" w:rsidRDefault="00514387">
      <w:pPr>
        <w:spacing w:line="36" w:lineRule="exact"/>
        <w:rPr>
          <w:sz w:val="20"/>
          <w:szCs w:val="20"/>
        </w:rPr>
      </w:pPr>
    </w:p>
    <w:p w:rsidR="00514387" w:rsidRDefault="00695BB3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G.V. Yeryomenko,PhD, Associate Professor</w:t>
      </w:r>
    </w:p>
    <w:p w:rsidR="00514387" w:rsidRDefault="00514387">
      <w:pPr>
        <w:spacing w:line="36" w:lineRule="exact"/>
        <w:rPr>
          <w:sz w:val="20"/>
          <w:szCs w:val="20"/>
        </w:rPr>
      </w:pPr>
    </w:p>
    <w:p w:rsidR="00514387" w:rsidRDefault="00695BB3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 xml:space="preserve">Kharkiv National Medical </w:t>
      </w:r>
      <w:r>
        <w:rPr>
          <w:rFonts w:eastAsia="Times New Roman"/>
          <w:i/>
          <w:iCs/>
          <w:sz w:val="16"/>
          <w:szCs w:val="16"/>
        </w:rPr>
        <w:t>University</w:t>
      </w:r>
    </w:p>
    <w:p w:rsidR="00514387" w:rsidRDefault="00514387">
      <w:pPr>
        <w:spacing w:line="36" w:lineRule="exact"/>
        <w:rPr>
          <w:sz w:val="20"/>
          <w:szCs w:val="20"/>
        </w:rPr>
      </w:pPr>
    </w:p>
    <w:p w:rsidR="00514387" w:rsidRDefault="00695BB3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4, Nauky Avenue, Kharkiv, 61022, Ukraine</w:t>
      </w:r>
    </w:p>
    <w:p w:rsidR="00514387" w:rsidRDefault="00514387">
      <w:pPr>
        <w:spacing w:line="46" w:lineRule="exact"/>
        <w:rPr>
          <w:sz w:val="20"/>
          <w:szCs w:val="20"/>
        </w:rPr>
      </w:pPr>
    </w:p>
    <w:p w:rsidR="00514387" w:rsidRDefault="00695BB3">
      <w:pPr>
        <w:ind w:left="6120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tel.: +38 (066) 648-52-13; e-mail: galyna0512@ukr.net</w:t>
      </w: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200" w:lineRule="exact"/>
        <w:rPr>
          <w:sz w:val="20"/>
          <w:szCs w:val="20"/>
        </w:rPr>
      </w:pPr>
    </w:p>
    <w:p w:rsidR="00514387" w:rsidRDefault="00514387">
      <w:pPr>
        <w:spacing w:line="376" w:lineRule="exact"/>
        <w:rPr>
          <w:sz w:val="20"/>
          <w:szCs w:val="20"/>
        </w:rPr>
      </w:pPr>
    </w:p>
    <w:p w:rsidR="00514387" w:rsidRDefault="00695BB3">
      <w:pPr>
        <w:ind w:left="92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 xml:space="preserve">АСТМА ТА АЛЕРГІЯ, № 1 </w:t>
      </w:r>
      <w:r>
        <w:rPr>
          <w:rFonts w:ascii="Arial" w:eastAsia="Arial" w:hAnsi="Arial" w:cs="Arial"/>
          <w:sz w:val="16"/>
          <w:szCs w:val="16"/>
        </w:rPr>
        <w:t>•</w:t>
      </w:r>
      <w:r>
        <w:rPr>
          <w:rFonts w:ascii="Arial" w:eastAsia="Arial" w:hAnsi="Arial" w:cs="Arial"/>
          <w:sz w:val="24"/>
          <w:szCs w:val="24"/>
        </w:rPr>
        <w:t xml:space="preserve"> 2018</w:t>
      </w:r>
    </w:p>
    <w:p w:rsidR="00514387" w:rsidRDefault="0051438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77" o:spid="_x0000_s1102" style="position:absolute;z-index:251674112;visibility:visible;mso-wrap-distance-left:0;mso-wrap-distance-right:0" from="263.8pt,-9.1pt" to="482.05pt,-9.1pt" o:allowincell="f" strokeweight=".46981mm"/>
        </w:pict>
      </w:r>
      <w:r>
        <w:rPr>
          <w:sz w:val="20"/>
          <w:szCs w:val="20"/>
        </w:rPr>
        <w:pict>
          <v:line id="Shape 78" o:spid="_x0000_s1103" style="position:absolute;z-index:251675136;visibility:visible;mso-wrap-distance-left:0;mso-wrap-distance-right:0" from="263.8pt,-6.75pt" to="482.05pt,-6.75pt" o:allowincell="f" strokecolor="white" strokeweight="6pt"/>
        </w:pict>
      </w:r>
      <w:r>
        <w:rPr>
          <w:sz w:val="20"/>
          <w:szCs w:val="20"/>
        </w:rPr>
        <w:pict>
          <v:line id="Shape 79" o:spid="_x0000_s1104" style="position:absolute;z-index:251676160;visibility:visible;mso-wrap-distance-left:0;mso-wrap-distance-right:0" from="263.8pt,-6.75pt" to="482.05pt,-6.75pt" o:allowincell="f" strokeweight=".60536mm"/>
        </w:pict>
      </w:r>
      <w:r>
        <w:rPr>
          <w:sz w:val="20"/>
          <w:szCs w:val="20"/>
        </w:rPr>
        <w:pict>
          <v:line id="Shape 80" o:spid="_x0000_s1105" style="position:absolute;z-index:251677184;visibility:visible;mso-wrap-distance-left:0;mso-wrap-distance-right:0" from=".15pt,-9.1pt" to="31.35pt,-9.1pt" o:allowincell="f" strokeweight=".46981mm"/>
        </w:pict>
      </w:r>
      <w:r>
        <w:rPr>
          <w:sz w:val="20"/>
          <w:szCs w:val="20"/>
        </w:rPr>
        <w:pict>
          <v:line id="Shape 81" o:spid="_x0000_s1106" style="position:absolute;z-index:251678208;visibility:visible;mso-wrap-distance-left:0;mso-wrap-distance-right:0" from=".15pt,-6.75pt" to="31.35pt,-6.75pt" o:allowincell="f" strokecolor="white" strokeweight="6pt"/>
        </w:pict>
      </w:r>
      <w:r>
        <w:rPr>
          <w:sz w:val="20"/>
          <w:szCs w:val="20"/>
        </w:rPr>
        <w:pict>
          <v:line id="Shape 82" o:spid="_x0000_s1107" style="position:absolute;z-index:251679232;visibility:visible;mso-wrap-distance-left:0;mso-wrap-distance-right:0" from=".15pt,-6.75pt" to="31.35pt,-6.75pt" o:allowincell="f" strokeweight=".60536mm"/>
        </w:pict>
      </w:r>
      <w:r>
        <w:rPr>
          <w:sz w:val="20"/>
          <w:szCs w:val="20"/>
        </w:rPr>
        <w:pict>
          <v:line id="Shape 83" o:spid="_x0000_s1108" style="position:absolute;z-index:251680256;visibility:visible;mso-wrap-distance-left:0;mso-wrap-distance-right:0" from=".15pt,-4.2pt" to="31.35pt,-4.2pt" o:allowincell="f" strokeweight=".30269mm"/>
        </w:pict>
      </w:r>
      <w:r>
        <w:rPr>
          <w:sz w:val="20"/>
          <w:szCs w:val="20"/>
        </w:rPr>
        <w:pict>
          <v:line id="Shape 84" o:spid="_x0000_s1109" style="position:absolute;z-index:251681280;visibility:visible;mso-wrap-distance-left:0;mso-wrap-distance-right:0" from="263.8pt,-4.2pt" to="482.05pt,-4.2pt" o:allowincell="f" strokeweight=".30269mm"/>
        </w:pict>
      </w:r>
      <w:r>
        <w:rPr>
          <w:sz w:val="20"/>
          <w:szCs w:val="20"/>
        </w:rPr>
        <w:pict>
          <v:rect id="Shape 85" o:spid="_x0000_s1110" style="position:absolute;margin-left:31.4pt;margin-top:-11.7pt;width:232.4pt;height:22.9pt;z-index:-251619840;visibility:visible;mso-wrap-distance-left:0;mso-wrap-distance-right:0" o:allowincell="f" stroked="f"/>
        </w:pict>
      </w:r>
    </w:p>
    <w:p w:rsidR="00514387" w:rsidRDefault="00514387">
      <w:pPr>
        <w:sectPr w:rsidR="00514387">
          <w:pgSz w:w="11900" w:h="16838"/>
          <w:pgMar w:top="491" w:right="966" w:bottom="0" w:left="1300" w:header="0" w:footer="0" w:gutter="0"/>
          <w:cols w:space="720" w:equalWidth="0">
            <w:col w:w="9640"/>
          </w:cols>
        </w:sectPr>
      </w:pPr>
    </w:p>
    <w:p w:rsidR="00514387" w:rsidRDefault="00514387">
      <w:pPr>
        <w:spacing w:line="54" w:lineRule="exact"/>
        <w:rPr>
          <w:sz w:val="20"/>
          <w:szCs w:val="20"/>
        </w:rPr>
      </w:pPr>
    </w:p>
    <w:p w:rsidR="00514387" w:rsidRDefault="00695BB3">
      <w:pPr>
        <w:ind w:left="920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ISSN 2307-3373</w:t>
      </w:r>
    </w:p>
    <w:sectPr w:rsidR="00514387" w:rsidSect="00514387">
      <w:type w:val="continuous"/>
      <w:pgSz w:w="11900" w:h="16838"/>
      <w:pgMar w:top="491" w:right="966" w:bottom="0" w:left="1300" w:header="0" w:footer="0" w:gutter="0"/>
      <w:cols w:space="720" w:equalWidth="0">
        <w:col w:w="96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231B"/>
    <w:multiLevelType w:val="hybridMultilevel"/>
    <w:tmpl w:val="5CE67C92"/>
    <w:lvl w:ilvl="0" w:tplc="8760DFE8">
      <w:start w:val="9"/>
      <w:numFmt w:val="decimal"/>
      <w:lvlText w:val="%1."/>
      <w:lvlJc w:val="left"/>
    </w:lvl>
    <w:lvl w:ilvl="1" w:tplc="79A4F4F4">
      <w:numFmt w:val="decimal"/>
      <w:lvlText w:val=""/>
      <w:lvlJc w:val="left"/>
    </w:lvl>
    <w:lvl w:ilvl="2" w:tplc="BC36D65E">
      <w:numFmt w:val="decimal"/>
      <w:lvlText w:val=""/>
      <w:lvlJc w:val="left"/>
    </w:lvl>
    <w:lvl w:ilvl="3" w:tplc="8C46CBD8">
      <w:numFmt w:val="decimal"/>
      <w:lvlText w:val=""/>
      <w:lvlJc w:val="left"/>
    </w:lvl>
    <w:lvl w:ilvl="4" w:tplc="AB242A1C">
      <w:numFmt w:val="decimal"/>
      <w:lvlText w:val=""/>
      <w:lvlJc w:val="left"/>
    </w:lvl>
    <w:lvl w:ilvl="5" w:tplc="D39238CC">
      <w:numFmt w:val="decimal"/>
      <w:lvlText w:val=""/>
      <w:lvlJc w:val="left"/>
    </w:lvl>
    <w:lvl w:ilvl="6" w:tplc="75EE8C60">
      <w:numFmt w:val="decimal"/>
      <w:lvlText w:val=""/>
      <w:lvlJc w:val="left"/>
    </w:lvl>
    <w:lvl w:ilvl="7" w:tplc="A7281B72">
      <w:numFmt w:val="decimal"/>
      <w:lvlText w:val=""/>
      <w:lvlJc w:val="left"/>
    </w:lvl>
    <w:lvl w:ilvl="8" w:tplc="46941706">
      <w:numFmt w:val="decimal"/>
      <w:lvlText w:val=""/>
      <w:lvlJc w:val="left"/>
    </w:lvl>
  </w:abstractNum>
  <w:abstractNum w:abstractNumId="1">
    <w:nsid w:val="12200854"/>
    <w:multiLevelType w:val="hybridMultilevel"/>
    <w:tmpl w:val="FD60FABE"/>
    <w:lvl w:ilvl="0" w:tplc="CEC295FA">
      <w:start w:val="1"/>
      <w:numFmt w:val="decimal"/>
      <w:lvlText w:val="%1."/>
      <w:lvlJc w:val="left"/>
    </w:lvl>
    <w:lvl w:ilvl="1" w:tplc="0486E4FE">
      <w:numFmt w:val="decimal"/>
      <w:lvlText w:val=""/>
      <w:lvlJc w:val="left"/>
    </w:lvl>
    <w:lvl w:ilvl="2" w:tplc="5F300EBC">
      <w:numFmt w:val="decimal"/>
      <w:lvlText w:val=""/>
      <w:lvlJc w:val="left"/>
    </w:lvl>
    <w:lvl w:ilvl="3" w:tplc="87821B32">
      <w:numFmt w:val="decimal"/>
      <w:lvlText w:val=""/>
      <w:lvlJc w:val="left"/>
    </w:lvl>
    <w:lvl w:ilvl="4" w:tplc="ABD47558">
      <w:numFmt w:val="decimal"/>
      <w:lvlText w:val=""/>
      <w:lvlJc w:val="left"/>
    </w:lvl>
    <w:lvl w:ilvl="5" w:tplc="390003D8">
      <w:numFmt w:val="decimal"/>
      <w:lvlText w:val=""/>
      <w:lvlJc w:val="left"/>
    </w:lvl>
    <w:lvl w:ilvl="6" w:tplc="B87CE3FA">
      <w:numFmt w:val="decimal"/>
      <w:lvlText w:val=""/>
      <w:lvlJc w:val="left"/>
    </w:lvl>
    <w:lvl w:ilvl="7" w:tplc="93DCFE88">
      <w:numFmt w:val="decimal"/>
      <w:lvlText w:val=""/>
      <w:lvlJc w:val="left"/>
    </w:lvl>
    <w:lvl w:ilvl="8" w:tplc="717888EC">
      <w:numFmt w:val="decimal"/>
      <w:lvlText w:val=""/>
      <w:lvlJc w:val="left"/>
    </w:lvl>
  </w:abstractNum>
  <w:abstractNum w:abstractNumId="2">
    <w:nsid w:val="1F16E9E8"/>
    <w:multiLevelType w:val="hybridMultilevel"/>
    <w:tmpl w:val="A2E4A41E"/>
    <w:lvl w:ilvl="0" w:tplc="C4F2FC8A">
      <w:start w:val="1"/>
      <w:numFmt w:val="bullet"/>
      <w:lvlText w:val="у"/>
      <w:lvlJc w:val="left"/>
    </w:lvl>
    <w:lvl w:ilvl="1" w:tplc="E7928480">
      <w:numFmt w:val="decimal"/>
      <w:lvlText w:val=""/>
      <w:lvlJc w:val="left"/>
    </w:lvl>
    <w:lvl w:ilvl="2" w:tplc="C9E4E130">
      <w:numFmt w:val="decimal"/>
      <w:lvlText w:val=""/>
      <w:lvlJc w:val="left"/>
    </w:lvl>
    <w:lvl w:ilvl="3" w:tplc="7F36CA78">
      <w:numFmt w:val="decimal"/>
      <w:lvlText w:val=""/>
      <w:lvlJc w:val="left"/>
    </w:lvl>
    <w:lvl w:ilvl="4" w:tplc="025CC432">
      <w:numFmt w:val="decimal"/>
      <w:lvlText w:val=""/>
      <w:lvlJc w:val="left"/>
    </w:lvl>
    <w:lvl w:ilvl="5" w:tplc="5D2E457C">
      <w:numFmt w:val="decimal"/>
      <w:lvlText w:val=""/>
      <w:lvlJc w:val="left"/>
    </w:lvl>
    <w:lvl w:ilvl="6" w:tplc="07886522">
      <w:numFmt w:val="decimal"/>
      <w:lvlText w:val=""/>
      <w:lvlJc w:val="left"/>
    </w:lvl>
    <w:lvl w:ilvl="7" w:tplc="1F102AC2">
      <w:numFmt w:val="decimal"/>
      <w:lvlText w:val=""/>
      <w:lvlJc w:val="left"/>
    </w:lvl>
    <w:lvl w:ilvl="8" w:tplc="D990EC02">
      <w:numFmt w:val="decimal"/>
      <w:lvlText w:val=""/>
      <w:lvlJc w:val="left"/>
    </w:lvl>
  </w:abstractNum>
  <w:abstractNum w:abstractNumId="3">
    <w:nsid w:val="2EB141F2"/>
    <w:multiLevelType w:val="hybridMultilevel"/>
    <w:tmpl w:val="EA7E7078"/>
    <w:lvl w:ilvl="0" w:tplc="3EF00668">
      <w:start w:val="1"/>
      <w:numFmt w:val="bullet"/>
      <w:lvlText w:val="©"/>
      <w:lvlJc w:val="left"/>
    </w:lvl>
    <w:lvl w:ilvl="1" w:tplc="45C04004">
      <w:numFmt w:val="decimal"/>
      <w:lvlText w:val=""/>
      <w:lvlJc w:val="left"/>
    </w:lvl>
    <w:lvl w:ilvl="2" w:tplc="61BE20B6">
      <w:numFmt w:val="decimal"/>
      <w:lvlText w:val=""/>
      <w:lvlJc w:val="left"/>
    </w:lvl>
    <w:lvl w:ilvl="3" w:tplc="6F629DC6">
      <w:numFmt w:val="decimal"/>
      <w:lvlText w:val=""/>
      <w:lvlJc w:val="left"/>
    </w:lvl>
    <w:lvl w:ilvl="4" w:tplc="374A7D60">
      <w:numFmt w:val="decimal"/>
      <w:lvlText w:val=""/>
      <w:lvlJc w:val="left"/>
    </w:lvl>
    <w:lvl w:ilvl="5" w:tplc="2FBCB904">
      <w:numFmt w:val="decimal"/>
      <w:lvlText w:val=""/>
      <w:lvlJc w:val="left"/>
    </w:lvl>
    <w:lvl w:ilvl="6" w:tplc="6936DAF8">
      <w:numFmt w:val="decimal"/>
      <w:lvlText w:val=""/>
      <w:lvlJc w:val="left"/>
    </w:lvl>
    <w:lvl w:ilvl="7" w:tplc="123CD4FC">
      <w:numFmt w:val="decimal"/>
      <w:lvlText w:val=""/>
      <w:lvlJc w:val="left"/>
    </w:lvl>
    <w:lvl w:ilvl="8" w:tplc="7ACAF26C">
      <w:numFmt w:val="decimal"/>
      <w:lvlText w:val=""/>
      <w:lvlJc w:val="left"/>
    </w:lvl>
  </w:abstractNum>
  <w:abstractNum w:abstractNumId="4">
    <w:nsid w:val="41B71EFB"/>
    <w:multiLevelType w:val="hybridMultilevel"/>
    <w:tmpl w:val="BBCC23EC"/>
    <w:lvl w:ilvl="0" w:tplc="74FA1908">
      <w:start w:val="1"/>
      <w:numFmt w:val="bullet"/>
      <w:lvlText w:val="у"/>
      <w:lvlJc w:val="left"/>
    </w:lvl>
    <w:lvl w:ilvl="1" w:tplc="D228CDE2">
      <w:numFmt w:val="decimal"/>
      <w:lvlText w:val=""/>
      <w:lvlJc w:val="left"/>
    </w:lvl>
    <w:lvl w:ilvl="2" w:tplc="DAA4651C">
      <w:numFmt w:val="decimal"/>
      <w:lvlText w:val=""/>
      <w:lvlJc w:val="left"/>
    </w:lvl>
    <w:lvl w:ilvl="3" w:tplc="56B007CE">
      <w:numFmt w:val="decimal"/>
      <w:lvlText w:val=""/>
      <w:lvlJc w:val="left"/>
    </w:lvl>
    <w:lvl w:ilvl="4" w:tplc="D1BC962C">
      <w:numFmt w:val="decimal"/>
      <w:lvlText w:val=""/>
      <w:lvlJc w:val="left"/>
    </w:lvl>
    <w:lvl w:ilvl="5" w:tplc="C1320F8C">
      <w:numFmt w:val="decimal"/>
      <w:lvlText w:val=""/>
      <w:lvlJc w:val="left"/>
    </w:lvl>
    <w:lvl w:ilvl="6" w:tplc="BA5CD2AC">
      <w:numFmt w:val="decimal"/>
      <w:lvlText w:val=""/>
      <w:lvlJc w:val="left"/>
    </w:lvl>
    <w:lvl w:ilvl="7" w:tplc="A412F44C">
      <w:numFmt w:val="decimal"/>
      <w:lvlText w:val=""/>
      <w:lvlJc w:val="left"/>
    </w:lvl>
    <w:lvl w:ilvl="8" w:tplc="D05250C0">
      <w:numFmt w:val="decimal"/>
      <w:lvlText w:val=""/>
      <w:lvlJc w:val="left"/>
    </w:lvl>
  </w:abstractNum>
  <w:abstractNum w:abstractNumId="5">
    <w:nsid w:val="4DB127F8"/>
    <w:multiLevelType w:val="hybridMultilevel"/>
    <w:tmpl w:val="5756F74E"/>
    <w:lvl w:ilvl="0" w:tplc="313AE3EA">
      <w:start w:val="9"/>
      <w:numFmt w:val="decimal"/>
      <w:lvlText w:val="%1."/>
      <w:lvlJc w:val="left"/>
    </w:lvl>
    <w:lvl w:ilvl="1" w:tplc="08867666">
      <w:numFmt w:val="decimal"/>
      <w:lvlText w:val=""/>
      <w:lvlJc w:val="left"/>
    </w:lvl>
    <w:lvl w:ilvl="2" w:tplc="B2749EA6">
      <w:numFmt w:val="decimal"/>
      <w:lvlText w:val=""/>
      <w:lvlJc w:val="left"/>
    </w:lvl>
    <w:lvl w:ilvl="3" w:tplc="B5587480">
      <w:numFmt w:val="decimal"/>
      <w:lvlText w:val=""/>
      <w:lvlJc w:val="left"/>
    </w:lvl>
    <w:lvl w:ilvl="4" w:tplc="E40C5A1C">
      <w:numFmt w:val="decimal"/>
      <w:lvlText w:val=""/>
      <w:lvlJc w:val="left"/>
    </w:lvl>
    <w:lvl w:ilvl="5" w:tplc="6712BE26">
      <w:numFmt w:val="decimal"/>
      <w:lvlText w:val=""/>
      <w:lvlJc w:val="left"/>
    </w:lvl>
    <w:lvl w:ilvl="6" w:tplc="5BD45870">
      <w:numFmt w:val="decimal"/>
      <w:lvlText w:val=""/>
      <w:lvlJc w:val="left"/>
    </w:lvl>
    <w:lvl w:ilvl="7" w:tplc="2494A642">
      <w:numFmt w:val="decimal"/>
      <w:lvlText w:val=""/>
      <w:lvlJc w:val="left"/>
    </w:lvl>
    <w:lvl w:ilvl="8" w:tplc="A26EE944">
      <w:numFmt w:val="decimal"/>
      <w:lvlText w:val=""/>
      <w:lvlJc w:val="left"/>
    </w:lvl>
  </w:abstractNum>
  <w:abstractNum w:abstractNumId="6">
    <w:nsid w:val="507ED7AB"/>
    <w:multiLevelType w:val="hybridMultilevel"/>
    <w:tmpl w:val="4BC67170"/>
    <w:lvl w:ilvl="0" w:tplc="57BA0D8E">
      <w:start w:val="1"/>
      <w:numFmt w:val="bullet"/>
      <w:lvlText w:val="а"/>
      <w:lvlJc w:val="left"/>
    </w:lvl>
    <w:lvl w:ilvl="1" w:tplc="6E38DD90">
      <w:numFmt w:val="decimal"/>
      <w:lvlText w:val=""/>
      <w:lvlJc w:val="left"/>
    </w:lvl>
    <w:lvl w:ilvl="2" w:tplc="69F8DACC">
      <w:numFmt w:val="decimal"/>
      <w:lvlText w:val=""/>
      <w:lvlJc w:val="left"/>
    </w:lvl>
    <w:lvl w:ilvl="3" w:tplc="813A2B58">
      <w:numFmt w:val="decimal"/>
      <w:lvlText w:val=""/>
      <w:lvlJc w:val="left"/>
    </w:lvl>
    <w:lvl w:ilvl="4" w:tplc="3FDE9AD0">
      <w:numFmt w:val="decimal"/>
      <w:lvlText w:val=""/>
      <w:lvlJc w:val="left"/>
    </w:lvl>
    <w:lvl w:ilvl="5" w:tplc="A22C057A">
      <w:numFmt w:val="decimal"/>
      <w:lvlText w:val=""/>
      <w:lvlJc w:val="left"/>
    </w:lvl>
    <w:lvl w:ilvl="6" w:tplc="6B0ADD1C">
      <w:numFmt w:val="decimal"/>
      <w:lvlText w:val=""/>
      <w:lvlJc w:val="left"/>
    </w:lvl>
    <w:lvl w:ilvl="7" w:tplc="34F02DB2">
      <w:numFmt w:val="decimal"/>
      <w:lvlText w:val=""/>
      <w:lvlJc w:val="left"/>
    </w:lvl>
    <w:lvl w:ilvl="8" w:tplc="50DEAAE6">
      <w:numFmt w:val="decimal"/>
      <w:lvlText w:val=""/>
      <w:lvlJc w:val="left"/>
    </w:lvl>
  </w:abstractNum>
  <w:abstractNum w:abstractNumId="7">
    <w:nsid w:val="515F007C"/>
    <w:multiLevelType w:val="hybridMultilevel"/>
    <w:tmpl w:val="212631FA"/>
    <w:lvl w:ilvl="0" w:tplc="A3B02B5C">
      <w:start w:val="1"/>
      <w:numFmt w:val="bullet"/>
      <w:lvlText w:val="й"/>
      <w:lvlJc w:val="left"/>
    </w:lvl>
    <w:lvl w:ilvl="1" w:tplc="C0AAC856">
      <w:start w:val="1"/>
      <w:numFmt w:val="decimal"/>
      <w:lvlText w:val="%2."/>
      <w:lvlJc w:val="left"/>
    </w:lvl>
    <w:lvl w:ilvl="2" w:tplc="063C6EA4">
      <w:numFmt w:val="decimal"/>
      <w:lvlText w:val=""/>
      <w:lvlJc w:val="left"/>
    </w:lvl>
    <w:lvl w:ilvl="3" w:tplc="15F233DC">
      <w:numFmt w:val="decimal"/>
      <w:lvlText w:val=""/>
      <w:lvlJc w:val="left"/>
    </w:lvl>
    <w:lvl w:ilvl="4" w:tplc="07C43086">
      <w:numFmt w:val="decimal"/>
      <w:lvlText w:val=""/>
      <w:lvlJc w:val="left"/>
    </w:lvl>
    <w:lvl w:ilvl="5" w:tplc="DFB83E4C">
      <w:numFmt w:val="decimal"/>
      <w:lvlText w:val=""/>
      <w:lvlJc w:val="left"/>
    </w:lvl>
    <w:lvl w:ilvl="6" w:tplc="48B837B6">
      <w:numFmt w:val="decimal"/>
      <w:lvlText w:val=""/>
      <w:lvlJc w:val="left"/>
    </w:lvl>
    <w:lvl w:ilvl="7" w:tplc="B2669006">
      <w:numFmt w:val="decimal"/>
      <w:lvlText w:val=""/>
      <w:lvlJc w:val="left"/>
    </w:lvl>
    <w:lvl w:ilvl="8" w:tplc="C34A8B90">
      <w:numFmt w:val="decimal"/>
      <w:lvlText w:val=""/>
      <w:lvlJc w:val="left"/>
    </w:lvl>
  </w:abstractNum>
  <w:abstractNum w:abstractNumId="8">
    <w:nsid w:val="5BD062C2"/>
    <w:multiLevelType w:val="hybridMultilevel"/>
    <w:tmpl w:val="8C60E6F0"/>
    <w:lvl w:ilvl="0" w:tplc="1E82CA20">
      <w:start w:val="1"/>
      <w:numFmt w:val="bullet"/>
      <w:lvlText w:val="й"/>
      <w:lvlJc w:val="left"/>
    </w:lvl>
    <w:lvl w:ilvl="1" w:tplc="A364A3AA">
      <w:start w:val="2"/>
      <w:numFmt w:val="decimal"/>
      <w:lvlText w:val="%2."/>
      <w:lvlJc w:val="left"/>
    </w:lvl>
    <w:lvl w:ilvl="2" w:tplc="239EBB40">
      <w:numFmt w:val="decimal"/>
      <w:lvlText w:val=""/>
      <w:lvlJc w:val="left"/>
    </w:lvl>
    <w:lvl w:ilvl="3" w:tplc="174C2A00">
      <w:numFmt w:val="decimal"/>
      <w:lvlText w:val=""/>
      <w:lvlJc w:val="left"/>
    </w:lvl>
    <w:lvl w:ilvl="4" w:tplc="898EB264">
      <w:numFmt w:val="decimal"/>
      <w:lvlText w:val=""/>
      <w:lvlJc w:val="left"/>
    </w:lvl>
    <w:lvl w:ilvl="5" w:tplc="30EE719E">
      <w:numFmt w:val="decimal"/>
      <w:lvlText w:val=""/>
      <w:lvlJc w:val="left"/>
    </w:lvl>
    <w:lvl w:ilvl="6" w:tplc="471A1E6E">
      <w:numFmt w:val="decimal"/>
      <w:lvlText w:val=""/>
      <w:lvlJc w:val="left"/>
    </w:lvl>
    <w:lvl w:ilvl="7" w:tplc="EA58C574">
      <w:numFmt w:val="decimal"/>
      <w:lvlText w:val=""/>
      <w:lvlJc w:val="left"/>
    </w:lvl>
    <w:lvl w:ilvl="8" w:tplc="98D00F22">
      <w:numFmt w:val="decimal"/>
      <w:lvlText w:val=""/>
      <w:lvlJc w:val="left"/>
    </w:lvl>
  </w:abstractNum>
  <w:abstractNum w:abstractNumId="9">
    <w:nsid w:val="7545E146"/>
    <w:multiLevelType w:val="hybridMultilevel"/>
    <w:tmpl w:val="61B0FC5C"/>
    <w:lvl w:ilvl="0" w:tplc="E3D8854C">
      <w:start w:val="1"/>
      <w:numFmt w:val="decimal"/>
      <w:lvlText w:val="%1."/>
      <w:lvlJc w:val="left"/>
    </w:lvl>
    <w:lvl w:ilvl="1" w:tplc="2DA465C4">
      <w:numFmt w:val="decimal"/>
      <w:lvlText w:val=""/>
      <w:lvlJc w:val="left"/>
    </w:lvl>
    <w:lvl w:ilvl="2" w:tplc="6CCC641C">
      <w:numFmt w:val="decimal"/>
      <w:lvlText w:val=""/>
      <w:lvlJc w:val="left"/>
    </w:lvl>
    <w:lvl w:ilvl="3" w:tplc="1A602056">
      <w:numFmt w:val="decimal"/>
      <w:lvlText w:val=""/>
      <w:lvlJc w:val="left"/>
    </w:lvl>
    <w:lvl w:ilvl="4" w:tplc="0780F7EA">
      <w:numFmt w:val="decimal"/>
      <w:lvlText w:val=""/>
      <w:lvlJc w:val="left"/>
    </w:lvl>
    <w:lvl w:ilvl="5" w:tplc="8DA0AD86">
      <w:numFmt w:val="decimal"/>
      <w:lvlText w:val=""/>
      <w:lvlJc w:val="left"/>
    </w:lvl>
    <w:lvl w:ilvl="6" w:tplc="83DADC12">
      <w:numFmt w:val="decimal"/>
      <w:lvlText w:val=""/>
      <w:lvlJc w:val="left"/>
    </w:lvl>
    <w:lvl w:ilvl="7" w:tplc="1BE8F560">
      <w:numFmt w:val="decimal"/>
      <w:lvlText w:val=""/>
      <w:lvlJc w:val="left"/>
    </w:lvl>
    <w:lvl w:ilvl="8" w:tplc="E44CFC7E">
      <w:numFmt w:val="decimal"/>
      <w:lvlText w:val=""/>
      <w:lvlJc w:val="left"/>
    </w:lvl>
  </w:abstractNum>
  <w:abstractNum w:abstractNumId="10">
    <w:nsid w:val="79E2A9E3"/>
    <w:multiLevelType w:val="hybridMultilevel"/>
    <w:tmpl w:val="623ACA8E"/>
    <w:lvl w:ilvl="0" w:tplc="5170BACC">
      <w:start w:val="1"/>
      <w:numFmt w:val="bullet"/>
      <w:lvlText w:val="ІІ"/>
      <w:lvlJc w:val="left"/>
    </w:lvl>
    <w:lvl w:ilvl="1" w:tplc="B7B2D24E">
      <w:numFmt w:val="decimal"/>
      <w:lvlText w:val=""/>
      <w:lvlJc w:val="left"/>
    </w:lvl>
    <w:lvl w:ilvl="2" w:tplc="987A1E02">
      <w:numFmt w:val="decimal"/>
      <w:lvlText w:val=""/>
      <w:lvlJc w:val="left"/>
    </w:lvl>
    <w:lvl w:ilvl="3" w:tplc="952AFA14">
      <w:numFmt w:val="decimal"/>
      <w:lvlText w:val=""/>
      <w:lvlJc w:val="left"/>
    </w:lvl>
    <w:lvl w:ilvl="4" w:tplc="8CEE26A6">
      <w:numFmt w:val="decimal"/>
      <w:lvlText w:val=""/>
      <w:lvlJc w:val="left"/>
    </w:lvl>
    <w:lvl w:ilvl="5" w:tplc="09A68096">
      <w:numFmt w:val="decimal"/>
      <w:lvlText w:val=""/>
      <w:lvlJc w:val="left"/>
    </w:lvl>
    <w:lvl w:ilvl="6" w:tplc="5D38CACA">
      <w:numFmt w:val="decimal"/>
      <w:lvlText w:val=""/>
      <w:lvlJc w:val="left"/>
    </w:lvl>
    <w:lvl w:ilvl="7" w:tplc="65DE5826">
      <w:numFmt w:val="decimal"/>
      <w:lvlText w:val=""/>
      <w:lvlJc w:val="left"/>
    </w:lvl>
    <w:lvl w:ilvl="8" w:tplc="2F9A6F5A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0"/>
  </w:num>
  <w:num w:numId="5">
    <w:abstractNumId w:val="9"/>
  </w:num>
  <w:num w:numId="6">
    <w:abstractNumId w:val="7"/>
  </w:num>
  <w:num w:numId="7">
    <w:abstractNumId w:val="8"/>
  </w:num>
  <w:num w:numId="8">
    <w:abstractNumId w:val="1"/>
  </w:num>
  <w:num w:numId="9">
    <w:abstractNumId w:val="5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14387"/>
    <w:rsid w:val="00514387"/>
    <w:rsid w:val="00695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B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5B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4728</Words>
  <Characters>26955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2018-11-10T20:15:00Z</dcterms:created>
  <dcterms:modified xsi:type="dcterms:W3CDTF">2018-11-10T20:15:00Z</dcterms:modified>
</cp:coreProperties>
</file>