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79" w:rsidRPr="00001CE4" w:rsidRDefault="00A55279" w:rsidP="00001C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1CE4">
        <w:rPr>
          <w:rFonts w:ascii="Times New Roman" w:hAnsi="Times New Roman" w:cs="Times New Roman"/>
          <w:b/>
          <w:sz w:val="28"/>
          <w:szCs w:val="28"/>
          <w:lang w:val="ru-RU"/>
        </w:rPr>
        <w:t>ПАЛ</w:t>
      </w:r>
      <w:r w:rsidR="003F418C">
        <w:rPr>
          <w:rFonts w:ascii="Times New Roman" w:hAnsi="Times New Roman" w:cs="Times New Roman"/>
          <w:b/>
          <w:sz w:val="28"/>
          <w:szCs w:val="28"/>
          <w:lang w:val="ru-RU"/>
        </w:rPr>
        <w:t>ЛИ</w:t>
      </w:r>
      <w:r w:rsidRPr="00001CE4">
        <w:rPr>
          <w:rFonts w:ascii="Times New Roman" w:hAnsi="Times New Roman" w:cs="Times New Roman"/>
          <w:b/>
          <w:sz w:val="28"/>
          <w:szCs w:val="28"/>
          <w:lang w:val="ru-RU"/>
        </w:rPr>
        <w:t>АТИВНАЯ ПОМОЩЬ В ПРАКТИКЕ СЕМЕЙНОГО ВРАЧА</w:t>
      </w:r>
    </w:p>
    <w:p w:rsidR="00001CE4" w:rsidRDefault="00001CE4" w:rsidP="00001C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Пасиешвили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Л.М.</w:t>
      </w:r>
    </w:p>
    <w:p w:rsidR="00001CE4" w:rsidRDefault="00001CE4" w:rsidP="00001C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Харьковский национальный медицинский университет, Украина</w:t>
      </w:r>
    </w:p>
    <w:p w:rsidR="008B554E" w:rsidRDefault="00001CE4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Семейная медицин</w:t>
      </w:r>
      <w:r w:rsidR="00024B4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Украине получила свой толчок к  развитию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20-25 лет. Ее внедрение идет постепенно и трудно, что обусловлено непривычностью такого обслуживания населения,</w:t>
      </w:r>
      <w:r w:rsidR="00024B4E">
        <w:rPr>
          <w:rFonts w:ascii="Times New Roman" w:hAnsi="Times New Roman" w:cs="Times New Roman"/>
          <w:sz w:val="28"/>
          <w:szCs w:val="28"/>
          <w:lang w:val="ru-RU"/>
        </w:rPr>
        <w:t xml:space="preserve"> когда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D12B7">
        <w:rPr>
          <w:rFonts w:ascii="Times New Roman" w:hAnsi="Times New Roman" w:cs="Times New Roman"/>
          <w:sz w:val="28"/>
          <w:szCs w:val="28"/>
          <w:lang w:val="ru-RU"/>
        </w:rPr>
        <w:t>развернут</w:t>
      </w:r>
      <w:r w:rsidR="00024B4E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5D1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поликлиническ</w:t>
      </w:r>
      <w:r w:rsidR="00024B4E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службы</w:t>
      </w:r>
      <w:r w:rsidR="00024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6574">
        <w:rPr>
          <w:rFonts w:ascii="Times New Roman" w:hAnsi="Times New Roman" w:cs="Times New Roman"/>
          <w:sz w:val="28"/>
          <w:szCs w:val="28"/>
          <w:lang w:val="ru-RU"/>
        </w:rPr>
        <w:t>заменяется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</w:t>
      </w:r>
      <w:r w:rsidR="0024657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24B4E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</w:t>
      </w:r>
      <w:r w:rsidR="00246574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="00024B4E">
        <w:rPr>
          <w:rFonts w:ascii="Times New Roman" w:hAnsi="Times New Roman" w:cs="Times New Roman"/>
          <w:sz w:val="28"/>
          <w:szCs w:val="28"/>
          <w:lang w:val="ru-RU"/>
        </w:rPr>
        <w:t xml:space="preserve"> каждого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6574">
        <w:rPr>
          <w:rFonts w:ascii="Times New Roman" w:hAnsi="Times New Roman" w:cs="Times New Roman"/>
          <w:sz w:val="28"/>
          <w:szCs w:val="28"/>
          <w:lang w:val="ru-RU"/>
        </w:rPr>
        <w:t>пациента</w:t>
      </w:r>
      <w:r w:rsidR="005D12B7">
        <w:rPr>
          <w:rFonts w:ascii="Times New Roman" w:hAnsi="Times New Roman" w:cs="Times New Roman"/>
          <w:sz w:val="28"/>
          <w:szCs w:val="28"/>
          <w:lang w:val="ru-RU"/>
        </w:rPr>
        <w:t xml:space="preserve"> едины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врачом. Менталитет нашего пациента трудно </w:t>
      </w:r>
      <w:r w:rsidR="00246574">
        <w:rPr>
          <w:rFonts w:ascii="Times New Roman" w:hAnsi="Times New Roman" w:cs="Times New Roman"/>
          <w:sz w:val="28"/>
          <w:szCs w:val="28"/>
          <w:lang w:val="ru-RU"/>
        </w:rPr>
        <w:t>изменить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тоже время и врачи, особенно имеющие длительный стаж поликлинической работы в качестве участкового </w:t>
      </w:r>
      <w:r w:rsidR="00246574">
        <w:rPr>
          <w:rFonts w:ascii="Times New Roman" w:hAnsi="Times New Roman" w:cs="Times New Roman"/>
          <w:sz w:val="28"/>
          <w:szCs w:val="28"/>
          <w:lang w:val="ru-RU"/>
        </w:rPr>
        <w:t>терапевта</w:t>
      </w:r>
      <w:r>
        <w:rPr>
          <w:rFonts w:ascii="Times New Roman" w:hAnsi="Times New Roman" w:cs="Times New Roman"/>
          <w:sz w:val="28"/>
          <w:szCs w:val="28"/>
          <w:lang w:val="ru-RU"/>
        </w:rPr>
        <w:t>, трудно привыкают к новой профессии</w:t>
      </w:r>
      <w:r w:rsidR="0046458E">
        <w:rPr>
          <w:rFonts w:ascii="Times New Roman" w:hAnsi="Times New Roman" w:cs="Times New Roman"/>
          <w:sz w:val="28"/>
          <w:szCs w:val="28"/>
          <w:lang w:val="ru-RU"/>
        </w:rPr>
        <w:t>, обязывающей оказывать помощь пациенту по многим направлениям медицины</w:t>
      </w:r>
      <w:r>
        <w:rPr>
          <w:rFonts w:ascii="Times New Roman" w:hAnsi="Times New Roman" w:cs="Times New Roman"/>
          <w:sz w:val="28"/>
          <w:szCs w:val="28"/>
          <w:lang w:val="ru-RU"/>
        </w:rPr>
        <w:t>. Стоящие перед семейным врачом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задачи, в частности, направленные на профилактическую медицину, которая в последние годы потеряла свое значение, требуют нового осмысления и решения иных проблем. Одним из таких направлений в работе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пал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sz w:val="28"/>
          <w:szCs w:val="28"/>
          <w:lang w:val="ru-RU"/>
        </w:rPr>
        <w:t>ативная помощь тяжелобольным или неизлечимым пациентам на дому.</w:t>
      </w:r>
      <w:r w:rsidR="005D12B7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такого направления обусловлено довольно большим количеством </w:t>
      </w:r>
      <w:r w:rsidR="00FB211A">
        <w:rPr>
          <w:rFonts w:ascii="Times New Roman" w:hAnsi="Times New Roman" w:cs="Times New Roman"/>
          <w:sz w:val="28"/>
          <w:szCs w:val="28"/>
          <w:lang w:val="ru-RU"/>
        </w:rPr>
        <w:t>такого контингента пациентов</w:t>
      </w:r>
      <w:r w:rsidR="005D12B7">
        <w:rPr>
          <w:rFonts w:ascii="Times New Roman" w:hAnsi="Times New Roman" w:cs="Times New Roman"/>
          <w:sz w:val="28"/>
          <w:szCs w:val="28"/>
          <w:lang w:val="ru-RU"/>
        </w:rPr>
        <w:t>, постоянно нуждающихся не только в обслуживании, но и  психологической, духовной и социальной поддержке.</w:t>
      </w:r>
    </w:p>
    <w:p w:rsidR="008B554E" w:rsidRDefault="008B554E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Наибольшие проблемы стоят перед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наличие таких заболеваний среди детей. И до сих пор остается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дискутабельным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вопросы о том, нужно ли говорить детям о наличии у них неизлечимого заболевания, как вести себя родным и близким в такой ситуации, как отвлечь их от такой проблемы, на чем акцентировать внимание в последние месяцы их жизни? Пал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иативная помощь детей является наиболее открытым и нерешенным вопросом, т.к. в большей степени на таком этапе должны решаться вопросы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доброжелательного, терпеливого, заинтересованного общения, нежели вопросы лечения. В таком случае, к сожалению, объем помощи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сводится только к назначению симптоматической терапии</w:t>
      </w:r>
      <w:r w:rsidR="007533A2">
        <w:rPr>
          <w:rFonts w:ascii="Times New Roman" w:hAnsi="Times New Roman" w:cs="Times New Roman"/>
          <w:sz w:val="28"/>
          <w:szCs w:val="28"/>
          <w:lang w:val="ru-RU"/>
        </w:rPr>
        <w:t xml:space="preserve">, но даже его общение с маленьким пациентом требует психологической подготовки. В медицинской литературе при такой ситуации введено понятие для оценки состояния врача, </w:t>
      </w:r>
      <w:r w:rsidR="00FB211A">
        <w:rPr>
          <w:rFonts w:ascii="Times New Roman" w:hAnsi="Times New Roman" w:cs="Times New Roman"/>
          <w:sz w:val="28"/>
          <w:szCs w:val="28"/>
          <w:lang w:val="ru-RU"/>
        </w:rPr>
        <w:t xml:space="preserve">работающего с неизлечимым ребенком, </w:t>
      </w:r>
      <w:r w:rsidR="007533A2">
        <w:rPr>
          <w:rFonts w:ascii="Times New Roman" w:hAnsi="Times New Roman" w:cs="Times New Roman"/>
          <w:sz w:val="28"/>
          <w:szCs w:val="28"/>
          <w:lang w:val="ru-RU"/>
        </w:rPr>
        <w:t>как «синдром выгорания».</w:t>
      </w:r>
    </w:p>
    <w:p w:rsidR="007533A2" w:rsidRDefault="007533A2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Несколько лет тому назад, доцент нашей кафедры И.П.Пасечник провела анкетирование  врачей педиатрической службы, которые по ряду причин столкнулись с детской смертью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>Одним из пунктов анкеты был вопрос о способах реабилитации врача после такой ситуации</w:t>
      </w:r>
      <w:proofErr w:type="gramStart"/>
      <w:r w:rsidR="00F956F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956F7">
        <w:rPr>
          <w:rFonts w:ascii="Times New Roman" w:hAnsi="Times New Roman" w:cs="Times New Roman"/>
          <w:sz w:val="28"/>
          <w:szCs w:val="28"/>
          <w:lang w:val="ru-RU"/>
        </w:rPr>
        <w:t xml:space="preserve"> Было обращено внимание, что 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проводил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самостоятельную реабилитацию, которая заключалась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  усилении общения с членами своей семьи, особенно детьми, или  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 xml:space="preserve">однократном приеме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алкоголя, притупляющего боль от сложившейся ситуации.  </w:t>
      </w:r>
      <w:r w:rsidR="00B25899"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у нас нет правила обращения к психоаналитику для разрешения любой неординарной ситуации, как это  заведено в большинстве </w:t>
      </w:r>
      <w:r w:rsidR="00B2589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стран, и поэтому в их роли выступают друзья, члены семьи или расслабляющее и притупляющее действие алкоголя. </w:t>
      </w:r>
    </w:p>
    <w:p w:rsidR="00A62F42" w:rsidRDefault="008B554E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Несколько другое направление приобретает пал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sz w:val="28"/>
          <w:szCs w:val="28"/>
          <w:lang w:val="ru-RU"/>
        </w:rPr>
        <w:t>ативная помощь при  лечении  взрослых пациентов.</w:t>
      </w:r>
      <w:r w:rsidR="007533A2">
        <w:rPr>
          <w:rFonts w:ascii="Times New Roman" w:hAnsi="Times New Roman" w:cs="Times New Roman"/>
          <w:sz w:val="28"/>
          <w:szCs w:val="28"/>
          <w:lang w:val="ru-RU"/>
        </w:rPr>
        <w:t xml:space="preserve"> Одни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7533A2">
        <w:rPr>
          <w:rFonts w:ascii="Times New Roman" w:hAnsi="Times New Roman" w:cs="Times New Roman"/>
          <w:sz w:val="28"/>
          <w:szCs w:val="28"/>
          <w:lang w:val="ru-RU"/>
        </w:rPr>
        <w:t xml:space="preserve"> из первых вопросов, на который </w:t>
      </w:r>
      <w:proofErr w:type="gramStart"/>
      <w:r w:rsidR="007533A2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7533A2">
        <w:rPr>
          <w:rFonts w:ascii="Times New Roman" w:hAnsi="Times New Roman" w:cs="Times New Roman"/>
          <w:sz w:val="28"/>
          <w:szCs w:val="28"/>
          <w:lang w:val="ru-RU"/>
        </w:rPr>
        <w:t xml:space="preserve"> должен получить ответ</w:t>
      </w:r>
      <w:r w:rsidR="00B25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  <w:r w:rsidR="00B25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25899">
        <w:rPr>
          <w:rFonts w:ascii="Times New Roman" w:hAnsi="Times New Roman" w:cs="Times New Roman"/>
          <w:sz w:val="28"/>
          <w:szCs w:val="28"/>
          <w:lang w:val="ru-RU"/>
        </w:rPr>
        <w:t>нает ли пациент о своей болезни</w:t>
      </w:r>
      <w:r w:rsidR="00457D45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B25899">
        <w:rPr>
          <w:rFonts w:ascii="Times New Roman" w:hAnsi="Times New Roman" w:cs="Times New Roman"/>
          <w:sz w:val="28"/>
          <w:szCs w:val="28"/>
          <w:lang w:val="ru-RU"/>
        </w:rPr>
        <w:t>то является поддержкой тако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B25899">
        <w:rPr>
          <w:rFonts w:ascii="Times New Roman" w:hAnsi="Times New Roman" w:cs="Times New Roman"/>
          <w:sz w:val="28"/>
          <w:szCs w:val="28"/>
          <w:lang w:val="ru-RU"/>
        </w:rPr>
        <w:t xml:space="preserve"> больно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457D45">
        <w:rPr>
          <w:rFonts w:ascii="Times New Roman" w:hAnsi="Times New Roman" w:cs="Times New Roman"/>
          <w:sz w:val="28"/>
          <w:szCs w:val="28"/>
          <w:lang w:val="ru-RU"/>
        </w:rPr>
        <w:t xml:space="preserve">то будет с ним рядом в последние моменты его жизни и какой объем помощи он может обеспечить </w:t>
      </w:r>
      <w:proofErr w:type="gramStart"/>
      <w:r w:rsidR="00457D45">
        <w:rPr>
          <w:rFonts w:ascii="Times New Roman" w:hAnsi="Times New Roman" w:cs="Times New Roman"/>
          <w:sz w:val="28"/>
          <w:szCs w:val="28"/>
          <w:lang w:val="ru-RU"/>
        </w:rPr>
        <w:t>умирающему</w:t>
      </w:r>
      <w:proofErr w:type="gramEnd"/>
      <w:r w:rsidR="00A62F4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886D3D" w:rsidRDefault="00F956F7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>К сожалению, научить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семейного врача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 xml:space="preserve"> поведению в каждом конкретном случае невозможно. И это связано не только с тем, что нет общих правил ведения таких больных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>емейный врач, являясь, прежде всего личностью, имеет свои психологические особенности, свое отношение к ситуации, возникшей у пациента</w:t>
      </w:r>
      <w:r>
        <w:rPr>
          <w:rFonts w:ascii="Times New Roman" w:hAnsi="Times New Roman" w:cs="Times New Roman"/>
          <w:sz w:val="28"/>
          <w:szCs w:val="28"/>
          <w:lang w:val="ru-RU"/>
        </w:rPr>
        <w:t>; в тоже время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 xml:space="preserve"> возможн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 xml:space="preserve"> наслоением своей профессиональной или семейной ситуации, которые повлияют на установление адекватного общения с больным. </w:t>
      </w:r>
      <w:r w:rsidR="00B25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>Научить такого врача  к сопереживанию,  внимательному отношению и  коммуника</w:t>
      </w:r>
      <w:r>
        <w:rPr>
          <w:rFonts w:ascii="Times New Roman" w:hAnsi="Times New Roman" w:cs="Times New Roman"/>
          <w:sz w:val="28"/>
          <w:szCs w:val="28"/>
          <w:lang w:val="ru-RU"/>
        </w:rPr>
        <w:t>бельности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 xml:space="preserve"> с таким пациентом практически невозможно. В тоже время, </w:t>
      </w:r>
      <w:r w:rsidR="00753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>основными вопросами философии пал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>ативной медицины</w:t>
      </w:r>
      <w:r w:rsidR="00886D3D">
        <w:rPr>
          <w:rFonts w:ascii="Times New Roman" w:hAnsi="Times New Roman" w:cs="Times New Roman"/>
          <w:sz w:val="28"/>
          <w:szCs w:val="28"/>
          <w:lang w:val="ru-RU"/>
        </w:rPr>
        <w:t xml:space="preserve">, на которых следует акцентировать внимание при подготовке </w:t>
      </w:r>
      <w:proofErr w:type="gramStart"/>
      <w:r w:rsidR="00886D3D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="00886D3D">
        <w:rPr>
          <w:rFonts w:ascii="Times New Roman" w:hAnsi="Times New Roman" w:cs="Times New Roman"/>
          <w:sz w:val="28"/>
          <w:szCs w:val="28"/>
          <w:lang w:val="ru-RU"/>
        </w:rPr>
        <w:t xml:space="preserve"> являются:  возможность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установления </w:t>
      </w:r>
      <w:r w:rsidR="00886D3D">
        <w:rPr>
          <w:rFonts w:ascii="Times New Roman" w:hAnsi="Times New Roman" w:cs="Times New Roman"/>
          <w:sz w:val="28"/>
          <w:szCs w:val="28"/>
          <w:lang w:val="ru-RU"/>
        </w:rPr>
        <w:t>полно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88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доверия</w:t>
      </w:r>
      <w:r w:rsidR="00886D3D">
        <w:rPr>
          <w:rFonts w:ascii="Times New Roman" w:hAnsi="Times New Roman" w:cs="Times New Roman"/>
          <w:sz w:val="28"/>
          <w:szCs w:val="28"/>
          <w:lang w:val="ru-RU"/>
        </w:rPr>
        <w:t xml:space="preserve"> с пациентом и членами его семьи, правдивость в общении с пациентом, возможность создания полноценных условий жизни до последнего момента.</w:t>
      </w:r>
    </w:p>
    <w:p w:rsidR="003F418C" w:rsidRDefault="0056540E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 xml:space="preserve">Все вышеизложенное является шагом к базовым процессам в предоставлении  наблюдения. 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 xml:space="preserve"> Так, в в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>ыпущенно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 xml:space="preserve"> учебно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 xml:space="preserve"> пособи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 xml:space="preserve"> для преподавателей «Паллиативная помощь: просвещение по вопросам паллиативного наблюдения и наблюдения в конце жизни»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6F7">
        <w:rPr>
          <w:rFonts w:ascii="Times New Roman" w:hAnsi="Times New Roman" w:cs="Times New Roman"/>
          <w:sz w:val="28"/>
          <w:szCs w:val="28"/>
          <w:lang w:val="ru-RU"/>
        </w:rPr>
        <w:t xml:space="preserve">(2013) 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представлены базовые шаги в процессе  предоставления  помощи неизлечимым хроническим больным. 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 xml:space="preserve">Так, одним из первых направлений такой работы является 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>характеристик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 xml:space="preserve"> пациента, его окружения (семьи) и возможность решения возникшей проблемы. Попутно решается вопрос  о том, что знает и что хочет знать пациент, границы конфиденциальности. Одним из направлений такого общени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 xml:space="preserve"> есть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</w:t>
      </w:r>
      <w:r w:rsidR="003F418C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решения, где оговариваются цели наблюдения, приоритеты лечения, возможность его использования: выделение лица, которое может вместо пациента принимать решение и возможность официальной передачи прав на принятие медицинских решений. </w:t>
      </w:r>
      <w:r w:rsidR="001947B1">
        <w:rPr>
          <w:rFonts w:ascii="Times New Roman" w:hAnsi="Times New Roman" w:cs="Times New Roman"/>
          <w:sz w:val="28"/>
          <w:szCs w:val="28"/>
          <w:lang w:val="ru-RU"/>
        </w:rPr>
        <w:t>Одновременно рассматриваются вопросы планирования наблюдения, его организация и определение лица, опекающего такого пациента. Предоставление наблюдения включает основные принципы специфической терапии и возможность прогнозирования или купирования негативных проявлений такого лечения. И в тоже время, оценивается  возможность  клинического эффекта и понимания проводимых мероприятий.</w:t>
      </w:r>
    </w:p>
    <w:p w:rsidR="00886D3D" w:rsidRDefault="001947B1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86D3D">
        <w:rPr>
          <w:rFonts w:ascii="Times New Roman" w:hAnsi="Times New Roman" w:cs="Times New Roman"/>
          <w:sz w:val="28"/>
          <w:szCs w:val="28"/>
          <w:lang w:val="ru-RU"/>
        </w:rPr>
        <w:t xml:space="preserve">В тоже время в компетенции </w:t>
      </w:r>
      <w:proofErr w:type="gramStart"/>
      <w:r w:rsidR="00886D3D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886D3D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проблема купирования хронической боли. И хотя причины ее возникновения различны, но на этапе прогрессирования неизлечимого заболевания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ее причины не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является приоритетным направлением</w:t>
      </w:r>
      <w:r w:rsidR="00813287">
        <w:rPr>
          <w:rFonts w:ascii="Times New Roman" w:hAnsi="Times New Roman" w:cs="Times New Roman"/>
          <w:sz w:val="28"/>
          <w:szCs w:val="28"/>
          <w:lang w:val="ru-RU"/>
        </w:rPr>
        <w:t>; однако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D3D">
        <w:rPr>
          <w:rFonts w:ascii="Times New Roman" w:hAnsi="Times New Roman" w:cs="Times New Roman"/>
          <w:sz w:val="28"/>
          <w:szCs w:val="28"/>
          <w:lang w:val="ru-RU"/>
        </w:rPr>
        <w:t>она должна быть купирована всеми доступными средствами. В таком случае  разработаны программы и «Протоколы купирования хронической боли», которые широко внедряются в повседневную практику</w:t>
      </w:r>
      <w:r w:rsidR="00813287">
        <w:rPr>
          <w:rFonts w:ascii="Times New Roman" w:hAnsi="Times New Roman" w:cs="Times New Roman"/>
          <w:sz w:val="28"/>
          <w:szCs w:val="28"/>
          <w:lang w:val="ru-RU"/>
        </w:rPr>
        <w:t xml:space="preserve"> врача общей практики – семейного врача</w:t>
      </w:r>
      <w:r w:rsidR="00886D3D">
        <w:rPr>
          <w:rFonts w:ascii="Times New Roman" w:hAnsi="Times New Roman" w:cs="Times New Roman"/>
          <w:sz w:val="28"/>
          <w:szCs w:val="28"/>
          <w:lang w:val="ru-RU"/>
        </w:rPr>
        <w:t xml:space="preserve">. Ступенчатый подход к купированию боли дает возможность </w:t>
      </w:r>
      <w:proofErr w:type="gramStart"/>
      <w:r w:rsidR="00886D3D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886D3D">
        <w:rPr>
          <w:rFonts w:ascii="Times New Roman" w:hAnsi="Times New Roman" w:cs="Times New Roman"/>
          <w:sz w:val="28"/>
          <w:szCs w:val="28"/>
          <w:lang w:val="ru-RU"/>
        </w:rPr>
        <w:t xml:space="preserve"> контролировать ее на всех этапах заболевания.</w:t>
      </w:r>
      <w:r w:rsidR="00813287">
        <w:rPr>
          <w:rFonts w:ascii="Times New Roman" w:hAnsi="Times New Roman" w:cs="Times New Roman"/>
          <w:sz w:val="28"/>
          <w:szCs w:val="28"/>
          <w:lang w:val="ru-RU"/>
        </w:rPr>
        <w:t xml:space="preserve"> При этом мы нацеливаем  таких врачей на обязательность таких мероприятий, недопустимость сохранения боли, которая оказывает негативное влияние на качество жизни. </w:t>
      </w:r>
    </w:p>
    <w:p w:rsidR="00F535A5" w:rsidRDefault="00886D3D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Сложности возникают при возникновении таких заболеваний у одиноких пациентов, когда поддержка семьи и ближайших родственников невозможна и единственн</w:t>
      </w:r>
      <w:r w:rsidR="00561AE3">
        <w:rPr>
          <w:rFonts w:ascii="Times New Roman" w:hAnsi="Times New Roman" w:cs="Times New Roman"/>
          <w:sz w:val="28"/>
          <w:szCs w:val="28"/>
          <w:lang w:val="ru-RU"/>
        </w:rPr>
        <w:t xml:space="preserve">ой поддержкой становится СВ. В таком случае  семейный врач должен обеспечить работу представителей социальной службы, с </w:t>
      </w:r>
      <w:r w:rsidR="00F535A5">
        <w:rPr>
          <w:rFonts w:ascii="Times New Roman" w:hAnsi="Times New Roman" w:cs="Times New Roman"/>
          <w:sz w:val="28"/>
          <w:szCs w:val="28"/>
          <w:lang w:val="ru-RU"/>
        </w:rPr>
        <w:t xml:space="preserve">которыми </w:t>
      </w:r>
      <w:r w:rsidR="00813287">
        <w:rPr>
          <w:rFonts w:ascii="Times New Roman" w:hAnsi="Times New Roman" w:cs="Times New Roman"/>
          <w:sz w:val="28"/>
          <w:szCs w:val="28"/>
          <w:lang w:val="ru-RU"/>
        </w:rPr>
        <w:t xml:space="preserve">обязан </w:t>
      </w:r>
      <w:r w:rsidR="00F535A5">
        <w:rPr>
          <w:rFonts w:ascii="Times New Roman" w:hAnsi="Times New Roman" w:cs="Times New Roman"/>
          <w:sz w:val="28"/>
          <w:szCs w:val="28"/>
          <w:lang w:val="ru-RU"/>
        </w:rPr>
        <w:t>поддерживать тесный контакт.</w:t>
      </w:r>
    </w:p>
    <w:p w:rsidR="00001CE4" w:rsidRDefault="00F535A5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Все эти проблемы, наряду с повседневной  работой </w:t>
      </w:r>
      <w:proofErr w:type="gramStart"/>
      <w:r w:rsidR="00813287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требуют не только большого количества времени, но и душевного тепла, возможности сопереживать, и даже на последнем этапе жизни больного исповедовать ценность </w:t>
      </w:r>
      <w:r w:rsidR="00A62F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жизни, уменьшать страдания</w:t>
      </w:r>
      <w:r w:rsidR="0081328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ускорять неминуемый исход.</w:t>
      </w: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BE4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АВТОРЕ</w:t>
      </w:r>
    </w:p>
    <w:p w:rsidR="00396828" w:rsidRDefault="00396828" w:rsidP="00BE4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6828" w:rsidRDefault="00396828" w:rsidP="00BE4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Ind w:w="-567" w:type="dxa"/>
        <w:tblLook w:val="04A0"/>
      </w:tblPr>
      <w:tblGrid>
        <w:gridCol w:w="4785"/>
        <w:gridCol w:w="4786"/>
      </w:tblGrid>
      <w:tr w:rsidR="00396828" w:rsidTr="004E65CC">
        <w:tc>
          <w:tcPr>
            <w:tcW w:w="4785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Пасиешвили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Михайловна</w:t>
            </w:r>
          </w:p>
        </w:tc>
      </w:tr>
      <w:tr w:rsidR="00396828" w:rsidTr="004E65CC">
        <w:tc>
          <w:tcPr>
            <w:tcW w:w="4785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4786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Харьковский национальный медицинский университет, Украина</w:t>
            </w:r>
          </w:p>
        </w:tc>
      </w:tr>
      <w:tr w:rsidR="00396828" w:rsidTr="004E65CC">
        <w:tc>
          <w:tcPr>
            <w:tcW w:w="4785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4786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кафедрой общей практики – семейной медицины и внутренних болезней</w:t>
            </w:r>
          </w:p>
        </w:tc>
      </w:tr>
      <w:tr w:rsidR="00396828" w:rsidTr="004E65CC">
        <w:tc>
          <w:tcPr>
            <w:tcW w:w="4785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</w:t>
            </w:r>
          </w:p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медицинских наук, профессор</w:t>
            </w:r>
          </w:p>
        </w:tc>
      </w:tr>
      <w:tr w:rsidR="00396828" w:rsidTr="004E65CC">
        <w:tc>
          <w:tcPr>
            <w:tcW w:w="4785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Служебный адрес</w:t>
            </w:r>
          </w:p>
        </w:tc>
        <w:tc>
          <w:tcPr>
            <w:tcW w:w="4786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Украина,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арьков, 61157, улица Текстильная,4, «Университетская клиника ХНМУ»</w:t>
            </w:r>
          </w:p>
        </w:tc>
      </w:tr>
      <w:tr w:rsidR="00396828" w:rsidTr="004E65CC">
        <w:tc>
          <w:tcPr>
            <w:tcW w:w="4785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О50-911-7000</w:t>
            </w:r>
          </w:p>
        </w:tc>
      </w:tr>
      <w:tr w:rsidR="00396828" w:rsidTr="004E65CC">
        <w:tc>
          <w:tcPr>
            <w:tcW w:w="4785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396828" w:rsidRP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96828" w:rsidRPr="00005F37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pasiyeshvili@gmail.com</w:t>
            </w:r>
          </w:p>
        </w:tc>
      </w:tr>
      <w:tr w:rsidR="00396828" w:rsidTr="004E65CC">
        <w:tc>
          <w:tcPr>
            <w:tcW w:w="4785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конференции</w:t>
            </w:r>
          </w:p>
          <w:p w:rsidR="00396828" w:rsidRPr="00005F37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86" w:type="dxa"/>
          </w:tcPr>
          <w:p w:rsidR="00396828" w:rsidRDefault="00396828" w:rsidP="004E65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тезисов</w:t>
            </w:r>
          </w:p>
        </w:tc>
      </w:tr>
    </w:tbl>
    <w:p w:rsidR="00396828" w:rsidRPr="00C907B5" w:rsidRDefault="00396828" w:rsidP="0039682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6828" w:rsidRDefault="00396828" w:rsidP="00BE4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BE4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1AC" w:rsidRDefault="00BE41AC" w:rsidP="008B5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41AC" w:rsidSect="002B6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73" w:rsidRDefault="00A52D73" w:rsidP="00A55279">
      <w:pPr>
        <w:spacing w:after="0" w:line="240" w:lineRule="auto"/>
      </w:pPr>
      <w:r>
        <w:separator/>
      </w:r>
    </w:p>
  </w:endnote>
  <w:endnote w:type="continuationSeparator" w:id="0">
    <w:p w:rsidR="00A52D73" w:rsidRDefault="00A52D73" w:rsidP="00A5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9" w:rsidRDefault="00A552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9" w:rsidRDefault="00A552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9" w:rsidRDefault="00A552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73" w:rsidRDefault="00A52D73" w:rsidP="00A55279">
      <w:pPr>
        <w:spacing w:after="0" w:line="240" w:lineRule="auto"/>
      </w:pPr>
      <w:r>
        <w:separator/>
      </w:r>
    </w:p>
  </w:footnote>
  <w:footnote w:type="continuationSeparator" w:id="0">
    <w:p w:rsidR="00A52D73" w:rsidRDefault="00A52D73" w:rsidP="00A5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9" w:rsidRDefault="00A552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9" w:rsidRDefault="00A552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79" w:rsidRDefault="00A552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189"/>
    <w:rsid w:val="00001CE4"/>
    <w:rsid w:val="00024B4E"/>
    <w:rsid w:val="001947B1"/>
    <w:rsid w:val="001D7D37"/>
    <w:rsid w:val="00246574"/>
    <w:rsid w:val="002843EB"/>
    <w:rsid w:val="002A602C"/>
    <w:rsid w:val="002B636B"/>
    <w:rsid w:val="002E596E"/>
    <w:rsid w:val="00396828"/>
    <w:rsid w:val="003C7597"/>
    <w:rsid w:val="003F418C"/>
    <w:rsid w:val="00457D45"/>
    <w:rsid w:val="0046458E"/>
    <w:rsid w:val="00561AE3"/>
    <w:rsid w:val="0056540E"/>
    <w:rsid w:val="005C5189"/>
    <w:rsid w:val="005D12B7"/>
    <w:rsid w:val="007533A2"/>
    <w:rsid w:val="00813287"/>
    <w:rsid w:val="00827BBE"/>
    <w:rsid w:val="00886D3D"/>
    <w:rsid w:val="00894868"/>
    <w:rsid w:val="008B554E"/>
    <w:rsid w:val="00921AEB"/>
    <w:rsid w:val="00A52D73"/>
    <w:rsid w:val="00A55279"/>
    <w:rsid w:val="00A62F42"/>
    <w:rsid w:val="00B25899"/>
    <w:rsid w:val="00BE41AC"/>
    <w:rsid w:val="00C91977"/>
    <w:rsid w:val="00DE616B"/>
    <w:rsid w:val="00E47AEB"/>
    <w:rsid w:val="00F535A5"/>
    <w:rsid w:val="00F60072"/>
    <w:rsid w:val="00F956F7"/>
    <w:rsid w:val="00FB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279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A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5279"/>
    <w:rPr>
      <w:lang w:val="uk-UA"/>
    </w:rPr>
  </w:style>
  <w:style w:type="table" w:styleId="a7">
    <w:name w:val="Table Grid"/>
    <w:basedOn w:val="a1"/>
    <w:uiPriority w:val="59"/>
    <w:rsid w:val="0039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2017-11-27T09:46:00Z</dcterms:created>
  <dcterms:modified xsi:type="dcterms:W3CDTF">2017-11-29T10:42:00Z</dcterms:modified>
</cp:coreProperties>
</file>