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71" w:rsidRPr="002D6150" w:rsidRDefault="00447AB7" w:rsidP="00447A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6150">
        <w:rPr>
          <w:rFonts w:ascii="Times New Roman" w:hAnsi="Times New Roman" w:cs="Times New Roman"/>
          <w:b/>
          <w:sz w:val="28"/>
          <w:szCs w:val="28"/>
          <w:lang w:val="en-US"/>
        </w:rPr>
        <w:t>REDOX-STATUS OF PATIENTS WITH ISOLATED PSORIASIS AND ASSOCIATED WITH HYPERTENSION PS</w:t>
      </w:r>
      <w:bookmarkStart w:id="0" w:name="_GoBack"/>
      <w:bookmarkEnd w:id="0"/>
      <w:r w:rsidRPr="002D6150">
        <w:rPr>
          <w:rFonts w:ascii="Times New Roman" w:hAnsi="Times New Roman" w:cs="Times New Roman"/>
          <w:b/>
          <w:sz w:val="28"/>
          <w:szCs w:val="28"/>
          <w:lang w:val="en-US"/>
        </w:rPr>
        <w:t>ORIASIS.</w:t>
      </w:r>
    </w:p>
    <w:p w:rsidR="002033EB" w:rsidRDefault="00447AB7" w:rsidP="00447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BILOVOL A.M., TKACHENKO S.G.</w:t>
      </w:r>
    </w:p>
    <w:p w:rsidR="002033EB" w:rsidRDefault="002033EB" w:rsidP="00447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</w:p>
    <w:p w:rsidR="009B30DF" w:rsidRDefault="009B30DF" w:rsidP="00447A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B30DF">
        <w:rPr>
          <w:rFonts w:ascii="Times New Roman" w:hAnsi="Times New Roman"/>
          <w:b/>
          <w:sz w:val="28"/>
          <w:szCs w:val="28"/>
          <w:lang w:val="en-US"/>
        </w:rPr>
        <w:t xml:space="preserve">Objectives: </w:t>
      </w:r>
      <w:r w:rsidRPr="009B30DF">
        <w:rPr>
          <w:rFonts w:ascii="Times New Roman" w:hAnsi="Times New Roman"/>
          <w:sz w:val="28"/>
          <w:szCs w:val="28"/>
          <w:lang w:val="en-US"/>
        </w:rPr>
        <w:t xml:space="preserve">study indicators of redox-status in the blood of patients with isolated psoriasis </w:t>
      </w:r>
      <w:r w:rsidR="00E43D1F">
        <w:rPr>
          <w:rFonts w:ascii="Times New Roman" w:hAnsi="Times New Roman"/>
          <w:sz w:val="28"/>
          <w:szCs w:val="28"/>
          <w:lang w:val="en-US"/>
        </w:rPr>
        <w:t xml:space="preserve">(IP) </w:t>
      </w:r>
      <w:r w:rsidRPr="009B30DF">
        <w:rPr>
          <w:rFonts w:ascii="Times New Roman" w:hAnsi="Times New Roman"/>
          <w:sz w:val="28"/>
          <w:szCs w:val="28"/>
          <w:lang w:val="en-US"/>
        </w:rPr>
        <w:t>and psoriasis associated with hypertension</w:t>
      </w:r>
      <w:r w:rsidR="00E43D1F">
        <w:rPr>
          <w:rFonts w:ascii="Times New Roman" w:hAnsi="Times New Roman"/>
          <w:sz w:val="28"/>
          <w:szCs w:val="28"/>
          <w:lang w:val="en-US"/>
        </w:rPr>
        <w:t xml:space="preserve"> (PAH)</w:t>
      </w:r>
      <w:r w:rsidRPr="009B30DF">
        <w:rPr>
          <w:rFonts w:ascii="Times New Roman" w:hAnsi="Times New Roman"/>
          <w:sz w:val="28"/>
          <w:szCs w:val="28"/>
          <w:lang w:val="en-US"/>
        </w:rPr>
        <w:t>.</w:t>
      </w:r>
    </w:p>
    <w:p w:rsidR="00E43D1F" w:rsidRDefault="00D62F08" w:rsidP="00447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63C1">
        <w:rPr>
          <w:rFonts w:ascii="Times New Roman" w:hAnsi="Times New Roman"/>
          <w:b/>
          <w:sz w:val="28"/>
          <w:szCs w:val="28"/>
          <w:lang w:val="en-US"/>
        </w:rPr>
        <w:t xml:space="preserve">Materials </w:t>
      </w:r>
      <w:r w:rsidRPr="001663C1">
        <w:rPr>
          <w:rFonts w:ascii="Times New Roman" w:hAnsi="Times New Roman" w:cs="Times New Roman"/>
          <w:b/>
          <w:sz w:val="28"/>
          <w:szCs w:val="28"/>
          <w:lang w:val="en-US"/>
        </w:rPr>
        <w:t>&amp;</w:t>
      </w:r>
      <w:r w:rsidR="000976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663C1">
        <w:rPr>
          <w:rFonts w:ascii="Times New Roman" w:hAnsi="Times New Roman" w:cs="Times New Roman"/>
          <w:b/>
          <w:sz w:val="28"/>
          <w:szCs w:val="28"/>
          <w:lang w:val="en-US"/>
        </w:rPr>
        <w:t>Methods.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30D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9B30D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20EA">
        <w:rPr>
          <w:rFonts w:ascii="Times New Roman" w:hAnsi="Times New Roman" w:cs="Times New Roman"/>
          <w:sz w:val="28"/>
          <w:szCs w:val="28"/>
          <w:lang w:val="en-US"/>
        </w:rPr>
        <w:t>bservated</w:t>
      </w:r>
      <w:proofErr w:type="spellEnd"/>
      <w:r w:rsidR="00A220EA">
        <w:rPr>
          <w:rFonts w:ascii="Times New Roman" w:hAnsi="Times New Roman" w:cs="Times New Roman"/>
          <w:sz w:val="28"/>
          <w:szCs w:val="28"/>
          <w:lang w:val="en-US"/>
        </w:rPr>
        <w:t xml:space="preserve"> patients were separated on 2 groups: 1 group 75 patients with non-associated psoriasis; 2-nd group </w:t>
      </w:r>
      <w:r w:rsidR="00753D58">
        <w:rPr>
          <w:rFonts w:ascii="Times New Roman" w:hAnsi="Times New Roman" w:cs="Times New Roman"/>
          <w:sz w:val="28"/>
          <w:szCs w:val="28"/>
          <w:lang w:val="en-US"/>
        </w:rPr>
        <w:t>– 49 patients with association o</w:t>
      </w:r>
      <w:r w:rsidR="00A220EA">
        <w:rPr>
          <w:rFonts w:ascii="Times New Roman" w:hAnsi="Times New Roman" w:cs="Times New Roman"/>
          <w:sz w:val="28"/>
          <w:szCs w:val="28"/>
          <w:lang w:val="en-US"/>
        </w:rPr>
        <w:t xml:space="preserve">f psoriasis and hypertension. </w:t>
      </w:r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>The peroxide oxidation of lipids was evaluat</w:t>
      </w:r>
      <w:r w:rsidR="00097685">
        <w:rPr>
          <w:rFonts w:ascii="Times New Roman" w:hAnsi="Times New Roman" w:cs="Times New Roman"/>
          <w:sz w:val="28"/>
          <w:szCs w:val="28"/>
          <w:lang w:val="en-US"/>
        </w:rPr>
        <w:t>ed by spectrophotometric method</w:t>
      </w:r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 xml:space="preserve"> by </w:t>
      </w:r>
      <w:r w:rsidR="000976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>he content of diene conjugates</w:t>
      </w:r>
      <w:r w:rsidR="007A7996">
        <w:rPr>
          <w:rFonts w:ascii="Times New Roman" w:hAnsi="Times New Roman" w:cs="Times New Roman"/>
          <w:sz w:val="28"/>
          <w:szCs w:val="28"/>
          <w:lang w:val="en-US"/>
        </w:rPr>
        <w:t xml:space="preserve"> (DC)</w:t>
      </w:r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192F5C">
        <w:rPr>
          <w:rFonts w:ascii="Times New Roman" w:hAnsi="Times New Roman" w:cs="Times New Roman"/>
          <w:sz w:val="28"/>
          <w:szCs w:val="28"/>
          <w:lang w:val="en-US"/>
        </w:rPr>
        <w:t xml:space="preserve">malonic </w:t>
      </w:r>
      <w:proofErr w:type="spellStart"/>
      <w:r w:rsidR="00192F5C">
        <w:rPr>
          <w:rFonts w:ascii="Times New Roman" w:hAnsi="Times New Roman" w:cs="Times New Roman"/>
          <w:sz w:val="28"/>
          <w:szCs w:val="28"/>
          <w:lang w:val="en-US"/>
        </w:rPr>
        <w:t>dialdehyde</w:t>
      </w:r>
      <w:proofErr w:type="spellEnd"/>
      <w:r w:rsidR="007A7996">
        <w:rPr>
          <w:rFonts w:ascii="Times New Roman" w:hAnsi="Times New Roman" w:cs="Times New Roman"/>
          <w:sz w:val="28"/>
          <w:szCs w:val="28"/>
          <w:lang w:val="en-US"/>
        </w:rPr>
        <w:t xml:space="preserve"> (MDA)</w:t>
      </w:r>
      <w:r w:rsidR="00192F5C">
        <w:rPr>
          <w:rFonts w:ascii="Times New Roman" w:hAnsi="Times New Roman" w:cs="Times New Roman"/>
          <w:sz w:val="28"/>
          <w:szCs w:val="28"/>
          <w:lang w:val="en-US"/>
        </w:rPr>
        <w:t xml:space="preserve"> in the serum</w:t>
      </w:r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 xml:space="preserve">. The activity of superoxide dismutase (SOD) of erythrocytes was determined from the degree of inhibition of the reduction of </w:t>
      </w:r>
      <w:proofErr w:type="spellStart"/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>nitrosine</w:t>
      </w:r>
      <w:proofErr w:type="spellEnd"/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 xml:space="preserve"> tetraz</w:t>
      </w:r>
      <w:r w:rsidR="007A7996">
        <w:rPr>
          <w:rFonts w:ascii="Times New Roman" w:hAnsi="Times New Roman" w:cs="Times New Roman"/>
          <w:sz w:val="28"/>
          <w:szCs w:val="28"/>
          <w:lang w:val="en-US"/>
        </w:rPr>
        <w:t>olium; glutathione peroxidase (G</w:t>
      </w:r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 xml:space="preserve">PO) in red blood cells </w:t>
      </w:r>
      <w:r w:rsidR="00E43D1F">
        <w:rPr>
          <w:rFonts w:ascii="Times New Roman" w:hAnsi="Times New Roman" w:cs="Times New Roman"/>
          <w:sz w:val="28"/>
          <w:szCs w:val="28"/>
          <w:lang w:val="en-US"/>
        </w:rPr>
        <w:t xml:space="preserve">- by the method of </w:t>
      </w:r>
      <w:proofErr w:type="spellStart"/>
      <w:r w:rsidR="00E43D1F">
        <w:rPr>
          <w:rFonts w:ascii="Times New Roman" w:hAnsi="Times New Roman" w:cs="Times New Roman"/>
          <w:sz w:val="28"/>
          <w:szCs w:val="28"/>
          <w:lang w:val="en-US"/>
        </w:rPr>
        <w:t>Moina</w:t>
      </w:r>
      <w:proofErr w:type="spellEnd"/>
      <w:r w:rsidR="00E43D1F">
        <w:rPr>
          <w:rFonts w:ascii="Times New Roman" w:hAnsi="Times New Roman" w:cs="Times New Roman"/>
          <w:sz w:val="28"/>
          <w:szCs w:val="28"/>
          <w:lang w:val="en-US"/>
        </w:rPr>
        <w:t xml:space="preserve"> et al.</w:t>
      </w:r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 xml:space="preserve">, serum </w:t>
      </w:r>
      <w:proofErr w:type="spellStart"/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>ciruloplasmin</w:t>
      </w:r>
      <w:proofErr w:type="spellEnd"/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7996">
        <w:rPr>
          <w:rFonts w:ascii="Times New Roman" w:hAnsi="Times New Roman" w:cs="Times New Roman"/>
          <w:sz w:val="28"/>
          <w:szCs w:val="28"/>
          <w:lang w:val="en-US"/>
        </w:rPr>
        <w:t>(SC)</w:t>
      </w:r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 xml:space="preserve">- by the </w:t>
      </w:r>
      <w:proofErr w:type="spellStart"/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>Ravin</w:t>
      </w:r>
      <w:proofErr w:type="spellEnd"/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E43D1F">
        <w:rPr>
          <w:rFonts w:ascii="Times New Roman" w:hAnsi="Times New Roman" w:cs="Times New Roman"/>
          <w:sz w:val="28"/>
          <w:szCs w:val="28"/>
          <w:lang w:val="en-US"/>
        </w:rPr>
        <w:t xml:space="preserve">ethod in </w:t>
      </w:r>
      <w:proofErr w:type="spellStart"/>
      <w:r w:rsidR="00E43D1F">
        <w:rPr>
          <w:rFonts w:ascii="Times New Roman" w:hAnsi="Times New Roman" w:cs="Times New Roman"/>
          <w:sz w:val="28"/>
          <w:szCs w:val="28"/>
          <w:lang w:val="en-US"/>
        </w:rPr>
        <w:t>Moshkov's</w:t>
      </w:r>
      <w:proofErr w:type="spellEnd"/>
      <w:r w:rsidR="00E43D1F">
        <w:rPr>
          <w:rFonts w:ascii="Times New Roman" w:hAnsi="Times New Roman" w:cs="Times New Roman"/>
          <w:sz w:val="28"/>
          <w:szCs w:val="28"/>
          <w:lang w:val="en-US"/>
        </w:rPr>
        <w:t xml:space="preserve"> modification,</w:t>
      </w:r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3D1F">
        <w:rPr>
          <w:rFonts w:ascii="Times New Roman" w:hAnsi="Times New Roman" w:cs="Times New Roman"/>
          <w:sz w:val="28"/>
          <w:szCs w:val="28"/>
          <w:lang w:val="en-US"/>
        </w:rPr>
        <w:t>sulfhydryl (SH</w:t>
      </w:r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>) groups of oxide-modified proteins and reduced glutathione</w:t>
      </w:r>
      <w:r w:rsidR="007A7996">
        <w:rPr>
          <w:rFonts w:ascii="Times New Roman" w:hAnsi="Times New Roman" w:cs="Times New Roman"/>
          <w:sz w:val="28"/>
          <w:szCs w:val="28"/>
          <w:lang w:val="en-US"/>
        </w:rPr>
        <w:t xml:space="preserve"> (RG)</w:t>
      </w:r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 xml:space="preserve"> in blood </w:t>
      </w:r>
      <w:proofErr w:type="spellStart"/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>hemolysate</w:t>
      </w:r>
      <w:proofErr w:type="spellEnd"/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3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>using the Elman reagent</w:t>
      </w:r>
      <w:r w:rsidR="00E43D1F">
        <w:rPr>
          <w:rFonts w:ascii="Times New Roman" w:hAnsi="Times New Roman" w:cs="Times New Roman"/>
          <w:sz w:val="28"/>
          <w:szCs w:val="28"/>
          <w:lang w:val="en-US"/>
        </w:rPr>
        <w:t>, the</w:t>
      </w:r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 xml:space="preserve"> activity of blood catalase</w:t>
      </w:r>
      <w:r w:rsidR="00047E37">
        <w:rPr>
          <w:rFonts w:ascii="Times New Roman" w:hAnsi="Times New Roman" w:cs="Times New Roman"/>
          <w:sz w:val="28"/>
          <w:szCs w:val="28"/>
          <w:lang w:val="en-US"/>
        </w:rPr>
        <w:t xml:space="preserve"> (BC) </w:t>
      </w:r>
      <w:r w:rsidR="00E43D1F">
        <w:rPr>
          <w:rFonts w:ascii="Times New Roman" w:hAnsi="Times New Roman" w:cs="Times New Roman"/>
          <w:sz w:val="28"/>
          <w:szCs w:val="28"/>
          <w:lang w:val="en-US"/>
        </w:rPr>
        <w:t xml:space="preserve"> - by</w:t>
      </w:r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 xml:space="preserve"> a color reaction with ammonium </w:t>
      </w:r>
      <w:proofErr w:type="spellStart"/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>molybdate</w:t>
      </w:r>
      <w:proofErr w:type="spellEnd"/>
      <w:r w:rsidR="00753D58" w:rsidRPr="00753D58">
        <w:rPr>
          <w:rFonts w:ascii="Times New Roman" w:hAnsi="Times New Roman" w:cs="Times New Roman"/>
          <w:sz w:val="28"/>
          <w:szCs w:val="28"/>
          <w:lang w:val="en-US"/>
        </w:rPr>
        <w:t>, in which hydrogen peroxide forms a stab</w:t>
      </w:r>
      <w:r w:rsidR="00E43D1F">
        <w:rPr>
          <w:rFonts w:ascii="Times New Roman" w:hAnsi="Times New Roman" w:cs="Times New Roman"/>
          <w:sz w:val="28"/>
          <w:szCs w:val="28"/>
          <w:lang w:val="en-US"/>
        </w:rPr>
        <w:t xml:space="preserve">le complex with molybdenum salt </w:t>
      </w:r>
      <w:r w:rsidR="00E43D1F" w:rsidRPr="00753D58">
        <w:rPr>
          <w:rFonts w:ascii="Times New Roman" w:hAnsi="Times New Roman" w:cs="Times New Roman"/>
          <w:sz w:val="28"/>
          <w:szCs w:val="28"/>
          <w:lang w:val="en-US"/>
        </w:rPr>
        <w:t>by spectrophotometric method</w:t>
      </w:r>
      <w:r w:rsidR="0009768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43D1F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135098" w:rsidRDefault="001663C1" w:rsidP="00447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63C1">
        <w:rPr>
          <w:rFonts w:ascii="Times New Roman" w:hAnsi="Times New Roman" w:cs="Times New Roman"/>
          <w:b/>
          <w:sz w:val="28"/>
          <w:szCs w:val="28"/>
          <w:lang w:val="en-US"/>
        </w:rPr>
        <w:t>Results and discussion.</w:t>
      </w:r>
      <w:r w:rsidR="00192F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A7996" w:rsidRPr="007A7996">
        <w:rPr>
          <w:rFonts w:ascii="Times New Roman" w:hAnsi="Times New Roman" w:cs="Times New Roman"/>
          <w:sz w:val="28"/>
          <w:szCs w:val="28"/>
          <w:lang w:val="en-US"/>
        </w:rPr>
        <w:t xml:space="preserve">The DC was increased on 101,7 % in cases of </w:t>
      </w:r>
      <w:r w:rsidR="00E43D1F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7A7996" w:rsidRPr="007A7996">
        <w:rPr>
          <w:rFonts w:ascii="Times New Roman" w:hAnsi="Times New Roman" w:cs="Times New Roman"/>
          <w:sz w:val="28"/>
          <w:szCs w:val="28"/>
          <w:lang w:val="en-US"/>
        </w:rPr>
        <w:t xml:space="preserve"> and on 154,76 % in cases of </w:t>
      </w:r>
      <w:r w:rsidR="00E43D1F">
        <w:rPr>
          <w:rFonts w:ascii="Times New Roman" w:hAnsi="Times New Roman" w:cs="Times New Roman"/>
          <w:sz w:val="28"/>
          <w:szCs w:val="28"/>
          <w:lang w:val="en-US"/>
        </w:rPr>
        <w:t>PAH</w:t>
      </w:r>
      <w:r w:rsidR="007A7996" w:rsidRPr="007A7996">
        <w:rPr>
          <w:rFonts w:ascii="Times New Roman" w:hAnsi="Times New Roman" w:cs="Times New Roman"/>
          <w:sz w:val="28"/>
          <w:szCs w:val="28"/>
          <w:lang w:val="en-US"/>
        </w:rPr>
        <w:t>; MDA was increased on 68,9 % and 122,2 % accordingly.</w:t>
      </w:r>
      <w:r w:rsidR="0088798B" w:rsidRPr="0088798B">
        <w:rPr>
          <w:lang w:val="en-US"/>
        </w:rPr>
        <w:t xml:space="preserve"> </w:t>
      </w:r>
      <w:r w:rsidR="00E43D1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A29D1" w:rsidRPr="001A29D1">
        <w:rPr>
          <w:rFonts w:ascii="Times New Roman" w:hAnsi="Times New Roman" w:cs="Times New Roman"/>
          <w:sz w:val="28"/>
          <w:szCs w:val="28"/>
          <w:lang w:val="en-US"/>
        </w:rPr>
        <w:t xml:space="preserve"> activity of SOD was reliable increased on 20,2 % in patients with </w:t>
      </w:r>
      <w:r w:rsidR="00E43D1F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1A29D1" w:rsidRPr="001A29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29D1" w:rsidRPr="0009768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097685" w:rsidRPr="0009768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A29D1" w:rsidRPr="001A29D1">
        <w:rPr>
          <w:rFonts w:ascii="Times New Roman" w:hAnsi="Times New Roman" w:cs="Times New Roman"/>
          <w:sz w:val="28"/>
          <w:szCs w:val="28"/>
          <w:lang w:val="en-US"/>
        </w:rPr>
        <w:t xml:space="preserve"> control group</w:t>
      </w:r>
      <w:r w:rsidR="00E43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29D1" w:rsidRPr="001A29D1">
        <w:rPr>
          <w:rFonts w:ascii="Times New Roman" w:hAnsi="Times New Roman" w:cs="Times New Roman"/>
          <w:sz w:val="28"/>
          <w:szCs w:val="28"/>
          <w:lang w:val="en-US"/>
        </w:rPr>
        <w:t xml:space="preserve">and reliable decreased on 23,4 % in </w:t>
      </w:r>
      <w:r w:rsidR="00E43D1F">
        <w:rPr>
          <w:rFonts w:ascii="Times New Roman" w:hAnsi="Times New Roman" w:cs="Times New Roman"/>
          <w:sz w:val="28"/>
          <w:szCs w:val="28"/>
          <w:lang w:val="en-US"/>
        </w:rPr>
        <w:t>PAH</w:t>
      </w:r>
      <w:r w:rsidR="001A29D1" w:rsidRPr="001A29D1">
        <w:rPr>
          <w:rFonts w:ascii="Times New Roman" w:hAnsi="Times New Roman" w:cs="Times New Roman"/>
          <w:sz w:val="28"/>
          <w:szCs w:val="28"/>
          <w:lang w:val="en-US"/>
        </w:rPr>
        <w:t xml:space="preserve"> patients </w:t>
      </w:r>
      <w:r w:rsidR="001A29D1" w:rsidRPr="0009768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097685" w:rsidRPr="0009768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A29D1" w:rsidRPr="001A29D1">
        <w:rPr>
          <w:rFonts w:ascii="Times New Roman" w:hAnsi="Times New Roman" w:cs="Times New Roman"/>
          <w:sz w:val="28"/>
          <w:szCs w:val="28"/>
          <w:lang w:val="en-US"/>
        </w:rPr>
        <w:t xml:space="preserve"> control group.</w:t>
      </w:r>
      <w:r w:rsidR="0028422E" w:rsidRPr="0028422E">
        <w:rPr>
          <w:lang w:val="en-US"/>
        </w:rPr>
        <w:t xml:space="preserve"> </w:t>
      </w:r>
      <w:r w:rsidR="0028422E" w:rsidRPr="0028422E">
        <w:rPr>
          <w:rFonts w:ascii="Times New Roman" w:hAnsi="Times New Roman" w:cs="Times New Roman"/>
          <w:sz w:val="28"/>
          <w:szCs w:val="28"/>
          <w:lang w:val="en-US"/>
        </w:rPr>
        <w:t xml:space="preserve">CP was reliable increased on 14,6 % in blood of </w:t>
      </w:r>
      <w:r w:rsidR="00E43D1F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28422E" w:rsidRPr="00284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8422E" w:rsidRPr="0028422E">
        <w:rPr>
          <w:rFonts w:ascii="Times New Roman" w:hAnsi="Times New Roman" w:cs="Times New Roman"/>
          <w:sz w:val="28"/>
          <w:szCs w:val="28"/>
          <w:lang w:val="en-US"/>
        </w:rPr>
        <w:t>patients</w:t>
      </w:r>
      <w:proofErr w:type="gramEnd"/>
      <w:r w:rsidR="0028422E" w:rsidRPr="00284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22E" w:rsidRPr="0009768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097685" w:rsidRPr="0009768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28422E" w:rsidRPr="0028422E">
        <w:rPr>
          <w:rFonts w:ascii="Times New Roman" w:hAnsi="Times New Roman" w:cs="Times New Roman"/>
          <w:sz w:val="28"/>
          <w:szCs w:val="28"/>
          <w:lang w:val="en-US"/>
        </w:rPr>
        <w:t xml:space="preserve"> healthy persons and was reliable decreased on 19,1 % in cases </w:t>
      </w:r>
      <w:r w:rsidR="00E64033">
        <w:rPr>
          <w:rFonts w:ascii="Times New Roman" w:hAnsi="Times New Roman" w:cs="Times New Roman"/>
          <w:sz w:val="28"/>
          <w:szCs w:val="28"/>
          <w:lang w:val="en-US"/>
        </w:rPr>
        <w:t xml:space="preserve">PAH </w:t>
      </w:r>
      <w:r w:rsidR="0028422E" w:rsidRPr="0009768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097685" w:rsidRPr="0009768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28422E" w:rsidRPr="0028422E">
        <w:rPr>
          <w:rFonts w:ascii="Times New Roman" w:hAnsi="Times New Roman" w:cs="Times New Roman"/>
          <w:sz w:val="28"/>
          <w:szCs w:val="28"/>
          <w:lang w:val="en-US"/>
        </w:rPr>
        <w:t xml:space="preserve"> healthy persons.</w:t>
      </w:r>
      <w:r w:rsidR="004A0957">
        <w:rPr>
          <w:rFonts w:ascii="Times New Roman" w:hAnsi="Times New Roman" w:cs="Times New Roman"/>
          <w:sz w:val="28"/>
          <w:szCs w:val="28"/>
          <w:lang w:val="en-US"/>
        </w:rPr>
        <w:t xml:space="preserve"> We have detected </w:t>
      </w:r>
      <w:r w:rsidR="004A0957" w:rsidRPr="0028422E">
        <w:rPr>
          <w:rFonts w:ascii="Times New Roman" w:hAnsi="Times New Roman" w:cs="Times New Roman"/>
          <w:sz w:val="28"/>
          <w:szCs w:val="28"/>
          <w:lang w:val="en-US"/>
        </w:rPr>
        <w:t>reliable</w:t>
      </w:r>
      <w:r w:rsidR="004A0957">
        <w:rPr>
          <w:rFonts w:ascii="Times New Roman" w:hAnsi="Times New Roman" w:cs="Times New Roman"/>
          <w:sz w:val="28"/>
          <w:szCs w:val="28"/>
          <w:lang w:val="en-US"/>
        </w:rPr>
        <w:t xml:space="preserve"> deficiency of BC in both examined groups: on 33,7 % in 1-st group and on 54,1 % on 2-nd group. The </w:t>
      </w:r>
      <w:r w:rsidR="00BC6792">
        <w:rPr>
          <w:rFonts w:ascii="Times New Roman" w:hAnsi="Times New Roman" w:cs="Times New Roman"/>
          <w:sz w:val="28"/>
          <w:szCs w:val="28"/>
          <w:lang w:val="en-US"/>
        </w:rPr>
        <w:t xml:space="preserve">similar dynamic was registered for GPO: deficient of enzyme in group of </w:t>
      </w:r>
      <w:r w:rsidR="00E64033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BC6792">
        <w:rPr>
          <w:rFonts w:ascii="Times New Roman" w:hAnsi="Times New Roman" w:cs="Times New Roman"/>
          <w:sz w:val="28"/>
          <w:szCs w:val="28"/>
          <w:lang w:val="en-US"/>
        </w:rPr>
        <w:t xml:space="preserve"> was 31,5 %; deficient </w:t>
      </w:r>
      <w:r w:rsidR="00845DDE">
        <w:rPr>
          <w:rFonts w:ascii="Times New Roman" w:hAnsi="Times New Roman" w:cs="Times New Roman"/>
          <w:sz w:val="28"/>
          <w:szCs w:val="28"/>
          <w:lang w:val="en-US"/>
        </w:rPr>
        <w:t xml:space="preserve">of enzyme </w:t>
      </w:r>
      <w:r w:rsidR="00BC6792">
        <w:rPr>
          <w:rFonts w:ascii="Times New Roman" w:hAnsi="Times New Roman" w:cs="Times New Roman"/>
          <w:sz w:val="28"/>
          <w:szCs w:val="28"/>
          <w:lang w:val="en-US"/>
        </w:rPr>
        <w:t xml:space="preserve">in group of </w:t>
      </w:r>
      <w:r w:rsidR="00E64033">
        <w:rPr>
          <w:rFonts w:ascii="Times New Roman" w:hAnsi="Times New Roman" w:cs="Times New Roman"/>
          <w:sz w:val="28"/>
          <w:szCs w:val="28"/>
          <w:lang w:val="en-US"/>
        </w:rPr>
        <w:t>PAH</w:t>
      </w:r>
      <w:r w:rsidR="00BC6792">
        <w:rPr>
          <w:rFonts w:ascii="Times New Roman" w:hAnsi="Times New Roman" w:cs="Times New Roman"/>
          <w:sz w:val="28"/>
          <w:szCs w:val="28"/>
          <w:lang w:val="en-US"/>
        </w:rPr>
        <w:t xml:space="preserve"> was 49,2 %.</w:t>
      </w:r>
      <w:r w:rsidR="00845DDE">
        <w:rPr>
          <w:rFonts w:ascii="Times New Roman" w:hAnsi="Times New Roman" w:cs="Times New Roman"/>
          <w:sz w:val="28"/>
          <w:szCs w:val="28"/>
          <w:lang w:val="en-US"/>
        </w:rPr>
        <w:t xml:space="preserve"> The content of RG in blood of patients with </w:t>
      </w:r>
      <w:r w:rsidR="00E64033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845DDE">
        <w:rPr>
          <w:rFonts w:ascii="Times New Roman" w:hAnsi="Times New Roman" w:cs="Times New Roman"/>
          <w:sz w:val="28"/>
          <w:szCs w:val="28"/>
          <w:lang w:val="en-US"/>
        </w:rPr>
        <w:t xml:space="preserve"> have been decreased on 13,4 %; in blood of patients with </w:t>
      </w:r>
      <w:r w:rsidR="00E64033">
        <w:rPr>
          <w:rFonts w:ascii="Times New Roman" w:hAnsi="Times New Roman" w:cs="Times New Roman"/>
          <w:sz w:val="28"/>
          <w:szCs w:val="28"/>
          <w:lang w:val="en-US"/>
        </w:rPr>
        <w:t>PAH</w:t>
      </w:r>
      <w:r w:rsidR="00845DDE">
        <w:rPr>
          <w:rFonts w:ascii="Times New Roman" w:hAnsi="Times New Roman" w:cs="Times New Roman"/>
          <w:sz w:val="28"/>
          <w:szCs w:val="28"/>
          <w:lang w:val="en-US"/>
        </w:rPr>
        <w:t>– on 24,7 %.</w:t>
      </w:r>
      <w:r w:rsidR="004C2954">
        <w:rPr>
          <w:rFonts w:ascii="Times New Roman" w:hAnsi="Times New Roman" w:cs="Times New Roman"/>
          <w:sz w:val="28"/>
          <w:szCs w:val="28"/>
          <w:lang w:val="en-US"/>
        </w:rPr>
        <w:t xml:space="preserve"> The deficient of SH-groups was detected in both examined groups: on 27,1 % in 1-st group and on 38,1 % in 2-nd group.</w:t>
      </w:r>
    </w:p>
    <w:p w:rsidR="004C2954" w:rsidRPr="004C2954" w:rsidRDefault="004C2954" w:rsidP="00447AB7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4C2954">
        <w:rPr>
          <w:rFonts w:ascii="Times New Roman" w:hAnsi="Times New Roman" w:cs="Times New Roman"/>
          <w:b/>
          <w:sz w:val="28"/>
          <w:szCs w:val="28"/>
          <w:lang w:val="en-US"/>
        </w:rPr>
        <w:t>Conclusion.</w:t>
      </w:r>
      <w:r w:rsidRPr="004C2954">
        <w:rPr>
          <w:lang w:val="en-US"/>
        </w:rPr>
        <w:t xml:space="preserve"> </w:t>
      </w:r>
      <w:r w:rsidRPr="004C2954">
        <w:rPr>
          <w:rFonts w:ascii="Times New Roman" w:hAnsi="Times New Roman" w:cs="Times New Roman"/>
          <w:sz w:val="28"/>
          <w:szCs w:val="28"/>
          <w:lang w:val="en-US"/>
        </w:rPr>
        <w:t xml:space="preserve">Thus, we found significant changes in the redox-status in patients with </w:t>
      </w:r>
      <w:r w:rsidR="00E64033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4C2954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E64033">
        <w:rPr>
          <w:rFonts w:ascii="Times New Roman" w:hAnsi="Times New Roman" w:cs="Times New Roman"/>
          <w:sz w:val="28"/>
          <w:szCs w:val="28"/>
          <w:lang w:val="en-US"/>
        </w:rPr>
        <w:t>PAH</w:t>
      </w:r>
      <w:r w:rsidRPr="004C2954">
        <w:rPr>
          <w:rFonts w:ascii="Times New Roman" w:hAnsi="Times New Roman" w:cs="Times New Roman"/>
          <w:sz w:val="28"/>
          <w:szCs w:val="28"/>
          <w:lang w:val="en-US"/>
        </w:rPr>
        <w:t>. At the same time, the changes have reflected the intensification of oxidative processes with overload and exhaustion of the antioxidant system. These changes were more pronounced in psoriasis associated with hypertension.</w:t>
      </w:r>
    </w:p>
    <w:p w:rsidR="00447AB7" w:rsidRPr="00097685" w:rsidRDefault="00447AB7" w:rsidP="00447AB7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7AB7" w:rsidRDefault="00447AB7" w:rsidP="00447AB7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B30DF">
        <w:rPr>
          <w:rFonts w:ascii="Times New Roman" w:hAnsi="Times New Roman"/>
          <w:sz w:val="28"/>
          <w:szCs w:val="28"/>
          <w:lang w:val="en-US"/>
        </w:rPr>
        <w:t>Cont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9B30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30DF">
        <w:rPr>
          <w:rFonts w:ascii="Times New Roman" w:hAnsi="Times New Roman"/>
          <w:sz w:val="28"/>
          <w:szCs w:val="28"/>
          <w:lang w:val="en-US"/>
        </w:rPr>
        <w:t>Tkachenko</w:t>
      </w:r>
      <w:proofErr w:type="spellEnd"/>
      <w:r w:rsidRPr="009B30D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30DF">
        <w:rPr>
          <w:rFonts w:ascii="Times New Roman" w:hAnsi="Times New Roman"/>
          <w:sz w:val="28"/>
          <w:szCs w:val="28"/>
          <w:lang w:val="en-US"/>
        </w:rPr>
        <w:t>Svitlana</w:t>
      </w:r>
      <w:proofErr w:type="spellEnd"/>
      <w:r w:rsidRPr="009B30D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30DF">
        <w:rPr>
          <w:rFonts w:ascii="Times New Roman" w:hAnsi="Times New Roman"/>
          <w:sz w:val="28"/>
          <w:szCs w:val="28"/>
          <w:lang w:val="en-US"/>
        </w:rPr>
        <w:t>Kharkiv</w:t>
      </w:r>
      <w:proofErr w:type="spellEnd"/>
      <w:r w:rsidRPr="009B30D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30DF">
        <w:rPr>
          <w:rFonts w:ascii="Times New Roman" w:hAnsi="Times New Roman"/>
          <w:sz w:val="28"/>
          <w:szCs w:val="28"/>
          <w:lang w:val="en-US"/>
        </w:rPr>
        <w:t>Kharkiv</w:t>
      </w:r>
      <w:proofErr w:type="spellEnd"/>
      <w:r w:rsidRPr="009B30DF">
        <w:rPr>
          <w:rFonts w:ascii="Times New Roman" w:hAnsi="Times New Roman"/>
          <w:sz w:val="28"/>
          <w:szCs w:val="28"/>
          <w:lang w:val="en-US"/>
        </w:rPr>
        <w:t xml:space="preserve"> national medical university,</w:t>
      </w:r>
      <w:r w:rsidRPr="009B30D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15F54" w:rsidRPr="00815F54">
        <w:fldChar w:fldCharType="begin"/>
      </w:r>
      <w:r w:rsidR="00815F54" w:rsidRPr="00815F54">
        <w:rPr>
          <w:lang w:val="en-US"/>
        </w:rPr>
        <w:instrText xml:space="preserve"> HYPERLINK "mailto:tkachenkosve@gmail.com" </w:instrText>
      </w:r>
      <w:r w:rsidR="00815F54" w:rsidRPr="00815F54">
        <w:fldChar w:fldCharType="separate"/>
      </w:r>
      <w:r w:rsidRPr="00815F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tkachenkosve@gmail.com</w:t>
      </w:r>
      <w:r w:rsidR="00815F54" w:rsidRPr="00815F54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fldChar w:fldCharType="end"/>
      </w:r>
      <w:r w:rsidRPr="00815F54">
        <w:rPr>
          <w:rFonts w:ascii="Times New Roman" w:hAnsi="Times New Roman"/>
          <w:sz w:val="28"/>
          <w:szCs w:val="28"/>
          <w:lang w:val="en-US"/>
        </w:rPr>
        <w:t xml:space="preserve">  +</w:t>
      </w:r>
      <w:r w:rsidRPr="009B30DF">
        <w:rPr>
          <w:rFonts w:ascii="Times New Roman" w:hAnsi="Times New Roman"/>
          <w:sz w:val="28"/>
          <w:szCs w:val="28"/>
          <w:lang w:val="en-US"/>
        </w:rPr>
        <w:t xml:space="preserve">38 </w:t>
      </w:r>
      <w:r w:rsidRPr="009B30DF">
        <w:rPr>
          <w:rFonts w:ascii="Times New Roman" w:hAnsi="Times New Roman"/>
          <w:sz w:val="28"/>
          <w:szCs w:val="28"/>
          <w:lang w:val="uk-UA"/>
        </w:rPr>
        <w:t>(067) 1223703</w:t>
      </w:r>
    </w:p>
    <w:p w:rsidR="00A545E3" w:rsidRDefault="00A545E3" w:rsidP="00A545E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Контактное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лицо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Ткаченко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Светлана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Геннадиевна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Харьковский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национальный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медицинский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61002,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Куликовский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спуск 15, кафедра дерматологи, венерологи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медицинской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косметологии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Харьков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A545E3">
        <w:t xml:space="preserve"> </w:t>
      </w:r>
      <w:hyperlink r:id="rId4" w:history="1">
        <w:r w:rsidRPr="00815F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tkachenkosve</w:t>
        </w:r>
        <w:r w:rsidRPr="00815F54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815F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15F5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815F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A545E3">
        <w:rPr>
          <w:rFonts w:ascii="Times New Roman" w:hAnsi="Times New Roman"/>
          <w:sz w:val="28"/>
          <w:szCs w:val="28"/>
        </w:rPr>
        <w:t xml:space="preserve">  +38 </w:t>
      </w:r>
      <w:r w:rsidRPr="009B30DF">
        <w:rPr>
          <w:rFonts w:ascii="Times New Roman" w:hAnsi="Times New Roman"/>
          <w:sz w:val="28"/>
          <w:szCs w:val="28"/>
          <w:lang w:val="uk-UA"/>
        </w:rPr>
        <w:t>(067) 1223703</w:t>
      </w:r>
    </w:p>
    <w:p w:rsidR="00A545E3" w:rsidRPr="00A545E3" w:rsidRDefault="00A545E3" w:rsidP="00447AB7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098" w:rsidRPr="00A545E3" w:rsidRDefault="00135098" w:rsidP="00447AB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033EB" w:rsidRPr="00135098" w:rsidRDefault="002033EB" w:rsidP="00447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33EB" w:rsidRPr="00135098" w:rsidSect="00514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2D71"/>
    <w:rsid w:val="00047E37"/>
    <w:rsid w:val="00097685"/>
    <w:rsid w:val="00135098"/>
    <w:rsid w:val="001663C1"/>
    <w:rsid w:val="00192F5C"/>
    <w:rsid w:val="001A29D1"/>
    <w:rsid w:val="002033EB"/>
    <w:rsid w:val="00221ACC"/>
    <w:rsid w:val="0024022A"/>
    <w:rsid w:val="0028422E"/>
    <w:rsid w:val="002A2D71"/>
    <w:rsid w:val="002D6150"/>
    <w:rsid w:val="00447AB7"/>
    <w:rsid w:val="004A0957"/>
    <w:rsid w:val="004C2954"/>
    <w:rsid w:val="005147EE"/>
    <w:rsid w:val="006744BE"/>
    <w:rsid w:val="00753D58"/>
    <w:rsid w:val="007A7996"/>
    <w:rsid w:val="00815F54"/>
    <w:rsid w:val="00823015"/>
    <w:rsid w:val="00845DDE"/>
    <w:rsid w:val="0086304A"/>
    <w:rsid w:val="0088798B"/>
    <w:rsid w:val="008A1451"/>
    <w:rsid w:val="009B30DF"/>
    <w:rsid w:val="00A220EA"/>
    <w:rsid w:val="00A545E3"/>
    <w:rsid w:val="00AD179A"/>
    <w:rsid w:val="00BC6792"/>
    <w:rsid w:val="00CE0DF7"/>
    <w:rsid w:val="00D4613F"/>
    <w:rsid w:val="00D62F08"/>
    <w:rsid w:val="00DE3EA9"/>
    <w:rsid w:val="00E43D1F"/>
    <w:rsid w:val="00E64033"/>
    <w:rsid w:val="00F94593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0012D-A292-4E0B-A7E7-46B574BE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33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33E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kachenkosv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Admin</cp:lastModifiedBy>
  <cp:revision>24</cp:revision>
  <dcterms:created xsi:type="dcterms:W3CDTF">2018-05-04T06:50:00Z</dcterms:created>
  <dcterms:modified xsi:type="dcterms:W3CDTF">2018-06-15T14:23:00Z</dcterms:modified>
</cp:coreProperties>
</file>