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E5" w:rsidRPr="00DB33E5" w:rsidRDefault="00DB33E5" w:rsidP="00DB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proofErr w:type="spellStart"/>
      <w:r w:rsidRPr="00DB33E5">
        <w:rPr>
          <w:rFonts w:ascii="Times New Roman" w:eastAsia="TimesNewRoman,Bold" w:hAnsi="Times New Roman" w:cs="Times New Roman"/>
          <w:bCs/>
          <w:sz w:val="28"/>
          <w:szCs w:val="28"/>
        </w:rPr>
        <w:t>Андрусенко</w:t>
      </w:r>
      <w:proofErr w:type="spellEnd"/>
      <w:r w:rsidRPr="00DB33E5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Д</w:t>
      </w:r>
      <w:r w:rsidRPr="00DB33E5">
        <w:rPr>
          <w:rFonts w:ascii="Times New Roman" w:hAnsi="Times New Roman" w:cs="Times New Roman"/>
          <w:bCs/>
          <w:sz w:val="28"/>
          <w:szCs w:val="28"/>
        </w:rPr>
        <w:t>.</w:t>
      </w:r>
      <w:r w:rsidRPr="00DB33E5">
        <w:rPr>
          <w:rFonts w:ascii="Times New Roman" w:eastAsia="TimesNewRoman,Bold" w:hAnsi="Times New Roman" w:cs="Times New Roman"/>
          <w:bCs/>
          <w:sz w:val="28"/>
          <w:szCs w:val="28"/>
        </w:rPr>
        <w:t>О</w:t>
      </w:r>
      <w:r w:rsidRPr="00DB33E5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DB33E5">
        <w:rPr>
          <w:rFonts w:ascii="Times New Roman" w:eastAsia="TimesNewRoman,Bold" w:hAnsi="Times New Roman" w:cs="Times New Roman"/>
          <w:bCs/>
          <w:sz w:val="28"/>
          <w:szCs w:val="28"/>
        </w:rPr>
        <w:t>Малявко</w:t>
      </w:r>
      <w:proofErr w:type="spellEnd"/>
      <w:r w:rsidRPr="00DB33E5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А</w:t>
      </w:r>
      <w:r w:rsidRPr="00DB33E5">
        <w:rPr>
          <w:rFonts w:ascii="Times New Roman" w:hAnsi="Times New Roman" w:cs="Times New Roman"/>
          <w:bCs/>
          <w:sz w:val="28"/>
          <w:szCs w:val="28"/>
        </w:rPr>
        <w:t>.</w:t>
      </w:r>
      <w:r w:rsidRPr="00DB33E5">
        <w:rPr>
          <w:rFonts w:ascii="Times New Roman" w:eastAsia="TimesNewRoman,Bold" w:hAnsi="Times New Roman" w:cs="Times New Roman"/>
          <w:bCs/>
          <w:sz w:val="28"/>
          <w:szCs w:val="28"/>
        </w:rPr>
        <w:t>О</w:t>
      </w:r>
      <w:r w:rsidRPr="00DB33E5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DB33E5">
        <w:rPr>
          <w:rFonts w:ascii="Times New Roman" w:eastAsia="TimesNewRoman,Bold" w:hAnsi="Times New Roman" w:cs="Times New Roman"/>
          <w:bCs/>
          <w:sz w:val="28"/>
          <w:szCs w:val="28"/>
        </w:rPr>
        <w:t>Древаль</w:t>
      </w:r>
      <w:proofErr w:type="spellEnd"/>
      <w:r w:rsidRPr="00DB33E5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М</w:t>
      </w:r>
      <w:r w:rsidRPr="00DB33E5">
        <w:rPr>
          <w:rFonts w:ascii="Times New Roman" w:hAnsi="Times New Roman" w:cs="Times New Roman"/>
          <w:bCs/>
          <w:sz w:val="28"/>
          <w:szCs w:val="28"/>
        </w:rPr>
        <w:t>.</w:t>
      </w:r>
      <w:r w:rsidRPr="00DB33E5">
        <w:rPr>
          <w:rFonts w:ascii="Times New Roman" w:eastAsia="TimesNewRoman,Bold" w:hAnsi="Times New Roman" w:cs="Times New Roman"/>
          <w:bCs/>
          <w:sz w:val="28"/>
          <w:szCs w:val="28"/>
        </w:rPr>
        <w:t>В</w:t>
      </w:r>
      <w:r w:rsidRPr="00DB33E5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End w:id="0"/>
    </w:p>
    <w:p w:rsidR="00DB33E5" w:rsidRPr="00DB33E5" w:rsidRDefault="00DB33E5" w:rsidP="00DB3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B33E5">
        <w:rPr>
          <w:rFonts w:ascii="Times New Roman" w:hAnsi="Times New Roman" w:cs="Times New Roman"/>
          <w:caps/>
          <w:sz w:val="28"/>
          <w:szCs w:val="28"/>
        </w:rPr>
        <w:t>Особливості</w:t>
      </w:r>
      <w:r w:rsidRPr="00DB33E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B33E5">
        <w:rPr>
          <w:rFonts w:ascii="Times New Roman" w:hAnsi="Times New Roman" w:cs="Times New Roman"/>
          <w:caps/>
          <w:sz w:val="28"/>
          <w:szCs w:val="28"/>
        </w:rPr>
        <w:t>організації клінічної лабораторної діагностики у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B33E5">
        <w:rPr>
          <w:rFonts w:ascii="Times New Roman" w:hAnsi="Times New Roman" w:cs="Times New Roman"/>
          <w:caps/>
          <w:sz w:val="28"/>
          <w:szCs w:val="28"/>
        </w:rPr>
        <w:t xml:space="preserve">військовослужбовців </w:t>
      </w:r>
      <w:proofErr w:type="gramStart"/>
      <w:r w:rsidRPr="00DB33E5">
        <w:rPr>
          <w:rFonts w:ascii="Times New Roman" w:hAnsi="Times New Roman" w:cs="Times New Roman"/>
          <w:caps/>
          <w:sz w:val="28"/>
          <w:szCs w:val="28"/>
        </w:rPr>
        <w:t>п</w:t>
      </w:r>
      <w:proofErr w:type="gramEnd"/>
      <w:r w:rsidRPr="00DB33E5">
        <w:rPr>
          <w:rFonts w:ascii="Times New Roman" w:hAnsi="Times New Roman" w:cs="Times New Roman"/>
          <w:caps/>
          <w:sz w:val="28"/>
          <w:szCs w:val="28"/>
        </w:rPr>
        <w:t>ід час періодичних медичних оглядів</w:t>
      </w:r>
    </w:p>
    <w:p w:rsidR="00DB33E5" w:rsidRDefault="00DB33E5" w:rsidP="00DB3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3E5" w:rsidRPr="00DB33E5" w:rsidRDefault="00DB33E5" w:rsidP="00DB3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3E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DB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потребуюсь особливого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лікувально-профілактичних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>.</w:t>
      </w:r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DB33E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B33E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клініко-лабораторної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r w:rsidRPr="00DB33E5">
        <w:rPr>
          <w:rFonts w:ascii="Times New Roman" w:hAnsi="Times New Roman" w:cs="Times New Roman"/>
          <w:sz w:val="28"/>
          <w:szCs w:val="28"/>
        </w:rPr>
        <w:t xml:space="preserve">становить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клініко-лабораторні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біоматеріалів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ендогенних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екзогенних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>.</w:t>
      </w:r>
    </w:p>
    <w:p w:rsidR="00DB33E5" w:rsidRPr="00DB33E5" w:rsidRDefault="00DB33E5" w:rsidP="00DB3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забирають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як кров, сеча, кал та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. Кров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пальцю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3E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B33E5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вени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чином, для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за</w:t>
      </w:r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вени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гемоглобіну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форменних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осідання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еритроциті</w:t>
      </w:r>
      <w:proofErr w:type="gramStart"/>
      <w:r w:rsidRPr="00DB33E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B3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r w:rsidRPr="00DB33E5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r w:rsidRPr="00DB33E5">
        <w:rPr>
          <w:rFonts w:ascii="Times New Roman" w:hAnsi="Times New Roman" w:cs="Times New Roman"/>
          <w:sz w:val="28"/>
          <w:szCs w:val="28"/>
        </w:rPr>
        <w:t xml:space="preserve">заходи для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скорішого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бійця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>.</w:t>
      </w:r>
    </w:p>
    <w:p w:rsidR="00DB33E5" w:rsidRPr="00DB33E5" w:rsidRDefault="00DB33E5" w:rsidP="00DB3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Військова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діагностична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роспорядженні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3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33E5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реактиви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r w:rsidRPr="00DB33E5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реактиви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факт і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отруйними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сильнодіючими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складу, і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диференціювати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використаної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противником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бактеріологічної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>.</w:t>
      </w:r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r w:rsidRPr="00DB33E5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реактивів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lastRenderedPageBreak/>
        <w:t>використані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та</w:t>
      </w:r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персонал,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3E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B33E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>.</w:t>
      </w:r>
    </w:p>
    <w:p w:rsidR="00DB33E5" w:rsidRPr="00DB33E5" w:rsidRDefault="00DB33E5" w:rsidP="00DB3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E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цивільної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клініко-діагностичної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військова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3E5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DB33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мобільною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Реактиви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3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33E5">
        <w:rPr>
          <w:rFonts w:ascii="Times New Roman" w:hAnsi="Times New Roman" w:cs="Times New Roman"/>
          <w:sz w:val="28"/>
          <w:szCs w:val="28"/>
        </w:rPr>
        <w:t>ідчас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лабораторної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зберігатися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r w:rsidRPr="00DB33E5">
        <w:rPr>
          <w:rFonts w:ascii="Times New Roman" w:hAnsi="Times New Roman" w:cs="Times New Roman"/>
          <w:sz w:val="28"/>
          <w:szCs w:val="28"/>
        </w:rPr>
        <w:t xml:space="preserve">порядку та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>.</w:t>
      </w:r>
    </w:p>
    <w:p w:rsidR="00DB33E5" w:rsidRPr="00DB33E5" w:rsidRDefault="00DB33E5" w:rsidP="00DB3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Клінічну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лабораторну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діагностику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лаборанти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тлумачити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діагностичних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3E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B33E5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своєчасна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>.</w:t>
      </w:r>
    </w:p>
    <w:p w:rsidR="001B144C" w:rsidRPr="00DB33E5" w:rsidRDefault="00DB33E5" w:rsidP="00DB3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B33E5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недоторканності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r w:rsidRPr="00DB33E5">
        <w:rPr>
          <w:rFonts w:ascii="Times New Roman" w:hAnsi="Times New Roman" w:cs="Times New Roman"/>
          <w:sz w:val="28"/>
          <w:szCs w:val="28"/>
        </w:rPr>
        <w:t xml:space="preserve">повинна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та точно, не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3E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 xml:space="preserve"> раз на </w:t>
      </w:r>
      <w:proofErr w:type="spellStart"/>
      <w:proofErr w:type="gramStart"/>
      <w:r w:rsidRPr="00DB33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33E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B33E5">
        <w:rPr>
          <w:rFonts w:ascii="Times New Roman" w:hAnsi="Times New Roman" w:cs="Times New Roman"/>
          <w:sz w:val="28"/>
          <w:szCs w:val="28"/>
        </w:rPr>
        <w:t>.</w:t>
      </w:r>
    </w:p>
    <w:sectPr w:rsidR="001B144C" w:rsidRPr="00D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E5"/>
    <w:rsid w:val="001B144C"/>
    <w:rsid w:val="00D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2018-06-13T11:53:00Z</dcterms:created>
  <dcterms:modified xsi:type="dcterms:W3CDTF">2018-06-13T11:57:00Z</dcterms:modified>
</cp:coreProperties>
</file>