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A" w:rsidRDefault="00864236">
      <w:pPr>
        <w:pStyle w:val="20"/>
        <w:framePr w:w="6422" w:h="9346" w:hRule="exact" w:wrap="none" w:vAnchor="page" w:hAnchor="page" w:x="2744" w:y="3722"/>
        <w:shd w:val="clear" w:color="auto" w:fill="auto"/>
      </w:pPr>
      <w:r>
        <w:t>ОБЩЕБИОЛОГИЧЕСКОЕ ОБОСНОВАНИЕ ИСПОЛЬЗОВАНИЯ АНТИГОМОТОКСИЧЕСКИХ ПРЕПАРАТОВ (ЛИМФОМИОЗО</w:t>
      </w:r>
      <w:r w:rsidR="00E511F4">
        <w:t>Т-</w:t>
      </w:r>
      <w:r>
        <w:t>Н, ТРАУМЕЛЬ С) ПРИ ЛЕЧЕНИИ ОСТРЫХ ГНОЙНО- ВОСПАЛИТЕЛЬНЫХ ПРОЦЕССОВ ЧЕЛЮСТНО-ЛИЦЕВОЙ</w:t>
      </w:r>
    </w:p>
    <w:p w:rsidR="003B7D8A" w:rsidRDefault="00864236">
      <w:pPr>
        <w:pStyle w:val="1"/>
        <w:framePr w:w="6422" w:h="9346" w:hRule="exact" w:wrap="none" w:vAnchor="page" w:hAnchor="page" w:x="2744" w:y="3722"/>
        <w:shd w:val="clear" w:color="auto" w:fill="auto"/>
      </w:pPr>
      <w:r>
        <w:rPr>
          <w:rStyle w:val="0pt"/>
        </w:rPr>
        <w:t xml:space="preserve">ОБЛАСТИ </w:t>
      </w:r>
      <w:proofErr w:type="spellStart"/>
      <w:r>
        <w:t>Рузин</w:t>
      </w:r>
      <w:proofErr w:type="spellEnd"/>
      <w:r>
        <w:t xml:space="preserve"> Г.П., </w:t>
      </w:r>
      <w:proofErr w:type="gramStart"/>
      <w:r>
        <w:t>Грецких</w:t>
      </w:r>
      <w:proofErr w:type="gramEnd"/>
      <w:r>
        <w:t xml:space="preserve"> Е.В.</w:t>
      </w:r>
    </w:p>
    <w:p w:rsidR="003B7D8A" w:rsidRDefault="00864236">
      <w:pPr>
        <w:pStyle w:val="1"/>
        <w:framePr w:w="6422" w:h="9346" w:hRule="exact" w:wrap="none" w:vAnchor="page" w:hAnchor="page" w:x="2744" w:y="3722"/>
        <w:shd w:val="clear" w:color="auto" w:fill="auto"/>
        <w:spacing w:after="180"/>
      </w:pPr>
      <w:r>
        <w:t>Харьковский национальный медицинский университет</w:t>
      </w:r>
    </w:p>
    <w:p w:rsidR="003B7D8A" w:rsidRDefault="00864236">
      <w:pPr>
        <w:pStyle w:val="1"/>
        <w:framePr w:w="6422" w:h="9346" w:hRule="exact" w:wrap="none" w:vAnchor="page" w:hAnchor="page" w:x="2744" w:y="3722"/>
        <w:shd w:val="clear" w:color="auto" w:fill="auto"/>
        <w:ind w:left="20" w:right="20" w:firstLine="460"/>
        <w:jc w:val="both"/>
      </w:pPr>
      <w:r>
        <w:t xml:space="preserve">Принимая во внимание появление за последние годы на фармацевтическом рынке большого количества новых препаратов, расширяющих возможности выбора индивидуальной терапии с учётом имеющейся патологии и соматического состояния пациента, проблема профилактики и </w:t>
      </w:r>
      <w:proofErr w:type="gramStart"/>
      <w:r>
        <w:t>лечения</w:t>
      </w:r>
      <w:proofErr w:type="gramEnd"/>
      <w:r>
        <w:t xml:space="preserve"> острых гнойно-воспалительных процессов челюстно-лицевой области (ЧЛО) остаётся актуальной, несмотря на значительное расширение арсенала используемых с этой целью лекарственных препаратов, средств.</w:t>
      </w:r>
    </w:p>
    <w:p w:rsidR="003B7D8A" w:rsidRDefault="00864236">
      <w:pPr>
        <w:pStyle w:val="1"/>
        <w:framePr w:w="6422" w:h="9346" w:hRule="exact" w:wrap="none" w:vAnchor="page" w:hAnchor="page" w:x="2744" w:y="3722"/>
        <w:shd w:val="clear" w:color="auto" w:fill="auto"/>
        <w:ind w:left="20" w:right="20" w:firstLine="460"/>
        <w:jc w:val="both"/>
      </w:pPr>
      <w:r>
        <w:t>Новым перспективным направлением, основанным на при</w:t>
      </w:r>
      <w:r>
        <w:t xml:space="preserve">нципах многоцелевого физиологического воздействия на компенсаторные звенья организма, является </w:t>
      </w:r>
      <w:proofErr w:type="spellStart"/>
      <w:r>
        <w:t>антигомотоксическая</w:t>
      </w:r>
      <w:proofErr w:type="spellEnd"/>
      <w:r>
        <w:t xml:space="preserve"> терапия (АГТТ), созданная на основе теории </w:t>
      </w:r>
      <w:proofErr w:type="spellStart"/>
      <w:r>
        <w:t>гомотоксикоза</w:t>
      </w:r>
      <w:proofErr w:type="spellEnd"/>
      <w:r>
        <w:t xml:space="preserve">, и направленная на активацию </w:t>
      </w:r>
      <w:proofErr w:type="spellStart"/>
      <w:r>
        <w:t>саногенеза</w:t>
      </w:r>
      <w:proofErr w:type="spellEnd"/>
      <w:r>
        <w:t>, «элиминацию токсинов и регуляцию окислитель</w:t>
      </w:r>
      <w:r>
        <w:t xml:space="preserve">но-восстановительного равновесия», повышение иммунобиологической реактивности организма, что способствует достижению стойких клинических результатов. В состав </w:t>
      </w:r>
      <w:proofErr w:type="spellStart"/>
      <w:r>
        <w:t>антигомотоксических</w:t>
      </w:r>
      <w:proofErr w:type="spellEnd"/>
      <w:r>
        <w:t xml:space="preserve"> комплексов, выпускаемых немецкой фирмой </w:t>
      </w:r>
      <w:proofErr w:type="gramStart"/>
      <w:r>
        <w:t>«-</w:t>
      </w:r>
      <w:proofErr w:type="gramEnd"/>
      <w:r>
        <w:t>Нее1» («</w:t>
      </w:r>
      <w:proofErr w:type="spellStart"/>
      <w:r>
        <w:t>Биологише</w:t>
      </w:r>
      <w:proofErr w:type="spellEnd"/>
      <w:r>
        <w:t xml:space="preserve"> </w:t>
      </w:r>
      <w:proofErr w:type="spellStart"/>
      <w:r>
        <w:t>Хайльмитгель</w:t>
      </w:r>
      <w:proofErr w:type="spellEnd"/>
      <w:r>
        <w:t xml:space="preserve"> </w:t>
      </w:r>
      <w:proofErr w:type="spellStart"/>
      <w:r>
        <w:t>Хеел</w:t>
      </w:r>
      <w:r>
        <w:t>ь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>»), наряду с гомеопатическими средствами, повышающими защитные силы организма (реакционные средства), и улучшающими функции определенных органов (</w:t>
      </w:r>
      <w:proofErr w:type="spellStart"/>
      <w:r>
        <w:t>органотропные</w:t>
      </w:r>
      <w:proofErr w:type="spellEnd"/>
      <w:r>
        <w:t xml:space="preserve"> препараты), входят компоненты, активирующие иммунологические механизмы, и нормализующие фу</w:t>
      </w:r>
      <w:r>
        <w:t>нкцию определенных органов, стимулирующие их регенерацию (</w:t>
      </w:r>
      <w:proofErr w:type="spellStart"/>
      <w:r>
        <w:t>суис-органные</w:t>
      </w:r>
      <w:proofErr w:type="spellEnd"/>
      <w:r>
        <w:t xml:space="preserve"> препараты), запускающие заблокированные регуляционные системы и активизирующие специфическую иммунологическую защиту (</w:t>
      </w:r>
      <w:proofErr w:type="spellStart"/>
      <w:r>
        <w:t>нозоды</w:t>
      </w:r>
      <w:proofErr w:type="spellEnd"/>
      <w:r>
        <w:t>), восстанавливающие равновесие в биохимических реакциях, ак</w:t>
      </w:r>
      <w:r>
        <w:t>тивирующие и регулирующие различные этапы клеточного обмена (катализаторы).</w:t>
      </w:r>
    </w:p>
    <w:p w:rsidR="003B7D8A" w:rsidRDefault="00864236">
      <w:pPr>
        <w:pStyle w:val="1"/>
        <w:framePr w:w="6422" w:h="9346" w:hRule="exact" w:wrap="none" w:vAnchor="page" w:hAnchor="page" w:x="2744" w:y="3722"/>
        <w:shd w:val="clear" w:color="auto" w:fill="auto"/>
        <w:ind w:left="20" w:right="20" w:firstLine="460"/>
        <w:jc w:val="both"/>
      </w:pPr>
      <w:r>
        <w:rPr>
          <w:rStyle w:val="0pt"/>
        </w:rPr>
        <w:t xml:space="preserve">Целью </w:t>
      </w:r>
      <w:r>
        <w:t xml:space="preserve">нашего исследования было повышение эффективности комплексного лечения пациентов с флегмонами челюстно-лицевой области путём применения </w:t>
      </w:r>
      <w:proofErr w:type="spellStart"/>
      <w:r>
        <w:t>антигомотоксических</w:t>
      </w:r>
      <w:proofErr w:type="spellEnd"/>
      <w:r>
        <w:t xml:space="preserve"> средств на до- и </w:t>
      </w:r>
      <w:proofErr w:type="gramStart"/>
      <w:r>
        <w:t>по</w:t>
      </w:r>
      <w:r>
        <w:t>сле</w:t>
      </w:r>
      <w:r>
        <w:softHyphen/>
        <w:t>операционном</w:t>
      </w:r>
      <w:proofErr w:type="gramEnd"/>
      <w:r>
        <w:t xml:space="preserve"> этапах.</w:t>
      </w:r>
    </w:p>
    <w:p w:rsidR="003B7D8A" w:rsidRDefault="00864236">
      <w:pPr>
        <w:pStyle w:val="1"/>
        <w:framePr w:w="6422" w:h="9346" w:hRule="exact" w:wrap="none" w:vAnchor="page" w:hAnchor="page" w:x="2744" w:y="3722"/>
        <w:shd w:val="clear" w:color="auto" w:fill="auto"/>
        <w:ind w:left="20" w:right="20" w:firstLine="460"/>
        <w:jc w:val="both"/>
      </w:pPr>
      <w:r>
        <w:rPr>
          <w:rStyle w:val="0pt"/>
        </w:rPr>
        <w:t xml:space="preserve">Материалы и методы. </w:t>
      </w:r>
      <w:r>
        <w:t xml:space="preserve">Клинически исследовалось течение </w:t>
      </w:r>
      <w:r>
        <w:rPr>
          <w:rStyle w:val="0pt"/>
        </w:rPr>
        <w:t xml:space="preserve">и </w:t>
      </w:r>
      <w:r>
        <w:t>заживление гнойных ран мягких тканей ЧЛО в трех группах больных по 30 пациентов, в возрасте от 18 до 60 лет без сопутствующей соматической патологии. Первая группа (контрольная</w:t>
      </w:r>
      <w:r>
        <w:t>) - с общепринятыми методами лечения. Вторая - группа (основная группа), в которой использовался «</w:t>
      </w:r>
      <w:proofErr w:type="spellStart"/>
      <w:r>
        <w:t>Лимфомиозот</w:t>
      </w:r>
      <w:proofErr w:type="spellEnd"/>
      <w:r>
        <w:t xml:space="preserve"> Н» в комплексе, не содержащем антибиотики. Третья -</w:t>
      </w:r>
    </w:p>
    <w:p w:rsidR="003B7D8A" w:rsidRDefault="00864236">
      <w:pPr>
        <w:pStyle w:val="a6"/>
        <w:framePr w:wrap="none" w:vAnchor="page" w:hAnchor="page" w:x="5797" w:y="13192"/>
        <w:shd w:val="clear" w:color="auto" w:fill="auto"/>
        <w:spacing w:line="140" w:lineRule="exact"/>
        <w:ind w:left="20"/>
      </w:pPr>
      <w:r>
        <w:t>173</w:t>
      </w:r>
    </w:p>
    <w:p w:rsidR="003B7D8A" w:rsidRDefault="003B7D8A">
      <w:pPr>
        <w:rPr>
          <w:sz w:val="2"/>
          <w:szCs w:val="2"/>
        </w:rPr>
        <w:sectPr w:rsidR="003B7D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ind w:left="20" w:right="20"/>
        <w:jc w:val="both"/>
      </w:pPr>
      <w:r>
        <w:lastRenderedPageBreak/>
        <w:t>группа (группа сравнения), в которой использовался «</w:t>
      </w:r>
      <w:proofErr w:type="spellStart"/>
      <w:r>
        <w:t>Траумель</w:t>
      </w:r>
      <w:proofErr w:type="spellEnd"/>
      <w:proofErr w:type="gramStart"/>
      <w:r>
        <w:t xml:space="preserve"> С</w:t>
      </w:r>
      <w:proofErr w:type="gramEnd"/>
      <w:r>
        <w:t xml:space="preserve">» </w:t>
      </w:r>
      <w:r>
        <w:rPr>
          <w:vertAlign w:val="subscript"/>
        </w:rPr>
        <w:t>в</w:t>
      </w:r>
      <w:r>
        <w:t xml:space="preserve"> ко</w:t>
      </w:r>
      <w:r>
        <w:t>мплексе, не содержащем антибиотики. Пациентам всех групп проводилось вскрытие флегмоны. В этот же день в исследуемых группах начиналось внутривенное введение предложенных препаратов, первое введение производилось непосредственно перед хирургическим вмешате</w:t>
      </w:r>
      <w:r>
        <w:t xml:space="preserve">льством, а затем по 1 ампуле 1 раз в сутки, </w:t>
      </w:r>
      <w:proofErr w:type="gramStart"/>
      <w:r>
        <w:t>в</w:t>
      </w:r>
      <w:proofErr w:type="gramEnd"/>
      <w:r>
        <w:t xml:space="preserve">/в, 5-7 дней. Иммунный статус пациентов оценивался по </w:t>
      </w:r>
      <w:proofErr w:type="spellStart"/>
      <w:r>
        <w:t>иммунограммам</w:t>
      </w:r>
      <w:proofErr w:type="spellEnd"/>
      <w:r>
        <w:t xml:space="preserve"> 1-11 уровня.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tabs>
          <w:tab w:val="left" w:pos="1490"/>
          <w:tab w:val="right" w:pos="4025"/>
          <w:tab w:val="right" w:pos="5455"/>
          <w:tab w:val="right" w:pos="6410"/>
        </w:tabs>
        <w:ind w:left="20" w:right="20" w:firstLine="500"/>
        <w:jc w:val="both"/>
      </w:pPr>
      <w:r>
        <w:t xml:space="preserve">Результаты исследования. При анализе показателей фагоцитарной активности нейтрофилов, </w:t>
      </w:r>
      <w:proofErr w:type="spellStart"/>
      <w:r>
        <w:t>НСТ-спонтанного</w:t>
      </w:r>
      <w:proofErr w:type="spellEnd"/>
      <w:r>
        <w:t xml:space="preserve"> теста и показателей титра </w:t>
      </w:r>
      <w:r>
        <w:t xml:space="preserve">(гемолитической активности) комплемента мы установили, что в контрольной группе отмечалось отсутствие положительной динамики, либо резкое снижение активности факторов моноцитарно-макрофагальной системы за </w:t>
      </w:r>
      <w:proofErr w:type="spellStart"/>
      <w:r>
        <w:t>сч&amp;г</w:t>
      </w:r>
      <w:proofErr w:type="spellEnd"/>
      <w:r>
        <w:t xml:space="preserve"> ингибирующего действия </w:t>
      </w:r>
      <w:proofErr w:type="spellStart"/>
      <w:r>
        <w:t>антибиотикотерапии</w:t>
      </w:r>
      <w:proofErr w:type="spellEnd"/>
      <w:r>
        <w:t xml:space="preserve"> на ф</w:t>
      </w:r>
      <w:r>
        <w:t>агоциты в целом. В первой, основной группе на 7 сутки иммунологическая картина демонстрировала сбалансированность показателей клеточного и гуморального</w:t>
      </w:r>
      <w:r>
        <w:tab/>
        <w:t>иммунитета,</w:t>
      </w:r>
      <w:r>
        <w:tab/>
        <w:t>нормализацию</w:t>
      </w:r>
      <w:r>
        <w:tab/>
        <w:t>фагоцитарной</w:t>
      </w:r>
      <w:r>
        <w:tab/>
        <w:t>функции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tabs>
          <w:tab w:val="right" w:pos="4025"/>
          <w:tab w:val="right" w:pos="5455"/>
          <w:tab w:val="right" w:pos="6410"/>
        </w:tabs>
        <w:ind w:left="20"/>
        <w:jc w:val="both"/>
      </w:pPr>
      <w:r>
        <w:t>нейтрофилов. Во второй</w:t>
      </w:r>
      <w:r>
        <w:tab/>
        <w:t>группе, группе</w:t>
      </w:r>
      <w:r>
        <w:tab/>
        <w:t>сравнения на</w:t>
      </w:r>
      <w:r>
        <w:tab/>
        <w:t>7 сутки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ind w:left="20" w:right="20"/>
        <w:jc w:val="both"/>
      </w:pPr>
      <w:r>
        <w:t xml:space="preserve">регистрировалась удовлетворительная фагоцитарная активность нейтрофилов, без выраженной иммунологической недостаточности по </w:t>
      </w:r>
      <w:proofErr w:type="gramStart"/>
      <w:r>
        <w:t>Т-</w:t>
      </w:r>
      <w:proofErr w:type="gramEnd"/>
      <w:r>
        <w:t xml:space="preserve"> клеточному звену иммунитета, но наблюдалось колебание показателей гуморальных факторов.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tabs>
          <w:tab w:val="left" w:pos="1490"/>
          <w:tab w:val="right" w:pos="4025"/>
          <w:tab w:val="right" w:pos="5455"/>
          <w:tab w:val="right" w:pos="6410"/>
        </w:tabs>
        <w:ind w:left="20" w:right="20" w:firstLine="500"/>
        <w:jc w:val="both"/>
      </w:pPr>
      <w:r>
        <w:t>Выводы. Методика комбинированной терапии</w:t>
      </w:r>
      <w:r>
        <w:t xml:space="preserve"> флегмон ЧЛО с использованием</w:t>
      </w:r>
      <w:r>
        <w:tab/>
        <w:t>препаратов</w:t>
      </w:r>
      <w:r>
        <w:tab/>
      </w:r>
      <w:proofErr w:type="spellStart"/>
      <w:r>
        <w:t>лимфомиозот</w:t>
      </w:r>
      <w:proofErr w:type="spellEnd"/>
      <w:r>
        <w:t xml:space="preserve"> Н</w:t>
      </w:r>
      <w:r>
        <w:tab/>
        <w:t xml:space="preserve">и </w:t>
      </w:r>
      <w:proofErr w:type="spellStart"/>
      <w:r>
        <w:t>траумель</w:t>
      </w:r>
      <w:proofErr w:type="spellEnd"/>
      <w:proofErr w:type="gramStart"/>
      <w:r>
        <w:t xml:space="preserve"> С</w:t>
      </w:r>
      <w:proofErr w:type="gramEnd"/>
      <w:r>
        <w:tab/>
        <w:t>повышает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tabs>
          <w:tab w:val="left" w:pos="1490"/>
          <w:tab w:val="right" w:pos="5455"/>
          <w:tab w:val="right" w:pos="6410"/>
        </w:tabs>
        <w:ind w:left="20"/>
        <w:jc w:val="both"/>
      </w:pPr>
      <w:r>
        <w:t>эффективность</w:t>
      </w:r>
      <w:r>
        <w:tab/>
        <w:t xml:space="preserve">лечения, </w:t>
      </w:r>
      <w:proofErr w:type="spellStart"/>
      <w:r>
        <w:t>сокращаег</w:t>
      </w:r>
      <w:proofErr w:type="spellEnd"/>
      <w:r>
        <w:t xml:space="preserve"> сроки</w:t>
      </w:r>
      <w:r>
        <w:tab/>
        <w:t>аллопатической</w:t>
      </w:r>
      <w:r>
        <w:tab/>
        <w:t>терапии,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ind w:left="20" w:right="20"/>
        <w:jc w:val="both"/>
      </w:pPr>
      <w:r>
        <w:t>сокращает сроки заживления операционной раны, предупреждает развитие нарушений иммунобиологической реактивности орга</w:t>
      </w:r>
      <w:r>
        <w:t>низма.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tabs>
          <w:tab w:val="right" w:pos="2962"/>
          <w:tab w:val="left" w:pos="3044"/>
        </w:tabs>
        <w:ind w:left="20" w:right="20" w:firstLine="500"/>
        <w:jc w:val="both"/>
      </w:pPr>
      <w:r>
        <w:t xml:space="preserve">Рекомендации к использованию. </w:t>
      </w:r>
      <w:r>
        <w:rPr>
          <w:rStyle w:val="7pt0pt"/>
        </w:rPr>
        <w:t xml:space="preserve">1. </w:t>
      </w:r>
      <w:r>
        <w:t xml:space="preserve">При флегмонах ЧЛО, </w:t>
      </w:r>
      <w:r>
        <w:rPr>
          <w:rStyle w:val="7pt0pt"/>
        </w:rPr>
        <w:t xml:space="preserve">с </w:t>
      </w:r>
      <w:r>
        <w:t xml:space="preserve">целью повышения </w:t>
      </w:r>
      <w:proofErr w:type="spellStart"/>
      <w:r>
        <w:t>резистентности</w:t>
      </w:r>
      <w:proofErr w:type="spellEnd"/>
      <w:r>
        <w:t xml:space="preserve"> организма, сокращения сроков лечения показано применение </w:t>
      </w:r>
      <w:proofErr w:type="spellStart"/>
      <w:r>
        <w:t>лимфомиозота</w:t>
      </w:r>
      <w:proofErr w:type="spellEnd"/>
      <w:r>
        <w:t xml:space="preserve"> </w:t>
      </w:r>
      <w:r>
        <w:rPr>
          <w:rStyle w:val="7pt0pt"/>
        </w:rPr>
        <w:t xml:space="preserve">Н в </w:t>
      </w:r>
      <w:r>
        <w:t xml:space="preserve">комплексе по следующей схеме: </w:t>
      </w:r>
      <w:r>
        <w:rPr>
          <w:rStyle w:val="7pt0pt"/>
        </w:rPr>
        <w:t xml:space="preserve">1.1 </w:t>
      </w:r>
      <w:r>
        <w:t xml:space="preserve">мл </w:t>
      </w:r>
      <w:r>
        <w:rPr>
          <w:rStyle w:val="7pt0pt"/>
        </w:rPr>
        <w:t xml:space="preserve">1 </w:t>
      </w:r>
      <w:r>
        <w:t>раз в сутки внутривенно, непосредственно, перед хир</w:t>
      </w:r>
      <w:r>
        <w:t xml:space="preserve">ургическим вмешательством </w:t>
      </w:r>
      <w:r>
        <w:rPr>
          <w:rStyle w:val="7pt0pt"/>
        </w:rPr>
        <w:t xml:space="preserve">и </w:t>
      </w:r>
      <w:r>
        <w:t xml:space="preserve">после него, до исчезновения клинических проявлений заболевания </w:t>
      </w:r>
      <w:r>
        <w:rPr>
          <w:rStyle w:val="7pt0pt"/>
        </w:rPr>
        <w:t xml:space="preserve">(5-7 </w:t>
      </w:r>
      <w:r>
        <w:t>дней).</w:t>
      </w:r>
      <w:r>
        <w:tab/>
      </w:r>
      <w:r>
        <w:rPr>
          <w:rStyle w:val="7pt0pt"/>
        </w:rPr>
        <w:t>2.</w:t>
      </w:r>
      <w:r>
        <w:rPr>
          <w:rStyle w:val="7pt0pt"/>
        </w:rPr>
        <w:tab/>
      </w:r>
      <w:r>
        <w:t xml:space="preserve">После вскрытия флегмоны и на </w:t>
      </w:r>
      <w:r>
        <w:rPr>
          <w:rStyle w:val="7pt0pt"/>
        </w:rPr>
        <w:t xml:space="preserve">7 </w:t>
      </w:r>
      <w:r>
        <w:t>сутки</w:t>
      </w:r>
    </w:p>
    <w:p w:rsidR="003B7D8A" w:rsidRDefault="00864236">
      <w:pPr>
        <w:pStyle w:val="1"/>
        <w:framePr w:w="6374" w:h="9187" w:hRule="exact" w:wrap="none" w:vAnchor="page" w:hAnchor="page" w:x="2768" w:y="3599"/>
        <w:shd w:val="clear" w:color="auto" w:fill="auto"/>
        <w:ind w:left="20" w:right="20"/>
        <w:jc w:val="both"/>
      </w:pPr>
      <w:r>
        <w:t xml:space="preserve">после операции также может быть целесообразным взятие </w:t>
      </w:r>
      <w:r>
        <w:rPr>
          <w:rStyle w:val="7pt0pt"/>
        </w:rPr>
        <w:t xml:space="preserve">периферической крови </w:t>
      </w:r>
      <w:r>
        <w:t xml:space="preserve">пациента и проведение </w:t>
      </w:r>
      <w:proofErr w:type="spellStart"/>
      <w:r>
        <w:t>иммунограммы</w:t>
      </w:r>
      <w:proofErr w:type="spellEnd"/>
      <w:r>
        <w:t xml:space="preserve"> </w:t>
      </w:r>
      <w:r>
        <w:rPr>
          <w:rStyle w:val="0pt0"/>
        </w:rPr>
        <w:t>1</w:t>
      </w:r>
      <w:r>
        <w:rPr>
          <w:rStyle w:val="7pt0pt"/>
        </w:rPr>
        <w:t xml:space="preserve">-Н </w:t>
      </w:r>
      <w:r>
        <w:t xml:space="preserve">уровня </w:t>
      </w:r>
      <w:r>
        <w:rPr>
          <w:rStyle w:val="7pt0pt"/>
        </w:rPr>
        <w:t xml:space="preserve">с последующей </w:t>
      </w:r>
      <w:r>
        <w:t xml:space="preserve">оценкой функциональной активности </w:t>
      </w:r>
      <w:proofErr w:type="spellStart"/>
      <w:r>
        <w:t>фагоцитирующих</w:t>
      </w:r>
      <w:proofErr w:type="spellEnd"/>
      <w:r>
        <w:t xml:space="preserve"> нейтрофилов и уровня гемолитической активности комплемента. При этом следует </w:t>
      </w:r>
      <w:r>
        <w:rPr>
          <w:rStyle w:val="0pt1"/>
        </w:rPr>
        <w:t xml:space="preserve">считать </w:t>
      </w:r>
      <w:r>
        <w:t xml:space="preserve">неблагоприятным прогностическим признаком течения </w:t>
      </w:r>
      <w:r>
        <w:rPr>
          <w:rStyle w:val="7pt0pt"/>
        </w:rPr>
        <w:t xml:space="preserve">послеоперационного </w:t>
      </w:r>
      <w:r>
        <w:t xml:space="preserve">периода следующие показатели </w:t>
      </w:r>
      <w:proofErr w:type="spellStart"/>
      <w:r>
        <w:t>иммунограммы</w:t>
      </w:r>
      <w:proofErr w:type="spellEnd"/>
      <w:r>
        <w:t xml:space="preserve">: показатель </w:t>
      </w:r>
      <w:r>
        <w:rPr>
          <w:rStyle w:val="7pt0pt"/>
        </w:rPr>
        <w:t xml:space="preserve">фагоцитарного </w:t>
      </w:r>
      <w:r>
        <w:t xml:space="preserve">индекса после лечения ниже 51±1.6%; фагоцитарное число после лечения выше </w:t>
      </w:r>
      <w:r>
        <w:rPr>
          <w:rStyle w:val="7pt0pt"/>
        </w:rPr>
        <w:t xml:space="preserve">1.4±0.02, </w:t>
      </w:r>
      <w:r>
        <w:t xml:space="preserve">показатель </w:t>
      </w:r>
      <w:proofErr w:type="spellStart"/>
      <w:r>
        <w:t>НСТспонт</w:t>
      </w:r>
      <w:proofErr w:type="gramStart"/>
      <w:r>
        <w:t>.-</w:t>
      </w:r>
      <w:proofErr w:type="gramEnd"/>
      <w:r>
        <w:t>теста</w:t>
      </w:r>
      <w:proofErr w:type="spellEnd"/>
      <w:r>
        <w:t xml:space="preserve"> после лечения свыше </w:t>
      </w:r>
      <w:r>
        <w:rPr>
          <w:rStyle w:val="0pt0"/>
        </w:rPr>
        <w:t>15</w:t>
      </w:r>
      <w:r>
        <w:rPr>
          <w:rStyle w:val="7pt0pt"/>
        </w:rPr>
        <w:t>±</w:t>
      </w:r>
      <w:r>
        <w:rPr>
          <w:rStyle w:val="0pt0"/>
        </w:rPr>
        <w:t>0</w:t>
      </w:r>
      <w:r>
        <w:rPr>
          <w:rStyle w:val="7pt0pt"/>
        </w:rPr>
        <w:t>.</w:t>
      </w:r>
      <w:r>
        <w:rPr>
          <w:rStyle w:val="0pt0"/>
        </w:rPr>
        <w:t>8</w:t>
      </w:r>
      <w:r>
        <w:rPr>
          <w:rStyle w:val="7pt0pt"/>
        </w:rPr>
        <w:t xml:space="preserve">%&gt; </w:t>
      </w:r>
      <w:r>
        <w:t xml:space="preserve">уровень титра комплемента ниже </w:t>
      </w:r>
      <w:r>
        <w:rPr>
          <w:rStyle w:val="7pt0pt"/>
        </w:rPr>
        <w:t xml:space="preserve">59.4±2.0, </w:t>
      </w:r>
      <w:r>
        <w:t xml:space="preserve">что является важным маркеров иммунодепрессии и требует коррекции специфических и </w:t>
      </w:r>
      <w:proofErr w:type="spellStart"/>
      <w:r>
        <w:rPr>
          <w:rStyle w:val="7pt0pt"/>
        </w:rPr>
        <w:t>неспецифическй</w:t>
      </w:r>
      <w:proofErr w:type="spellEnd"/>
      <w:r>
        <w:rPr>
          <w:rStyle w:val="7pt0pt"/>
        </w:rPr>
        <w:t xml:space="preserve">* </w:t>
      </w:r>
      <w:r>
        <w:t>систем защиты организма.</w:t>
      </w:r>
    </w:p>
    <w:p w:rsidR="003B7D8A" w:rsidRDefault="00864236">
      <w:pPr>
        <w:pStyle w:val="a6"/>
        <w:framePr w:wrap="none" w:vAnchor="page" w:hAnchor="page" w:x="5850" w:y="13328"/>
        <w:shd w:val="clear" w:color="auto" w:fill="auto"/>
        <w:spacing w:line="140" w:lineRule="exact"/>
        <w:ind w:left="20"/>
      </w:pPr>
      <w:r>
        <w:t>174</w:t>
      </w:r>
    </w:p>
    <w:p w:rsidR="003B7D8A" w:rsidRDefault="003B7D8A">
      <w:pPr>
        <w:rPr>
          <w:sz w:val="2"/>
          <w:szCs w:val="2"/>
        </w:rPr>
      </w:pPr>
    </w:p>
    <w:sectPr w:rsidR="003B7D8A" w:rsidSect="003B7D8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36" w:rsidRDefault="00864236" w:rsidP="003B7D8A">
      <w:r>
        <w:separator/>
      </w:r>
    </w:p>
  </w:endnote>
  <w:endnote w:type="continuationSeparator" w:id="0">
    <w:p w:rsidR="00864236" w:rsidRDefault="00864236" w:rsidP="003B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36" w:rsidRDefault="00864236"/>
  </w:footnote>
  <w:footnote w:type="continuationSeparator" w:id="0">
    <w:p w:rsidR="00864236" w:rsidRDefault="008642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7D8A"/>
    <w:rsid w:val="003B7D8A"/>
    <w:rsid w:val="00864236"/>
    <w:rsid w:val="00E5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D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D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7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sid w:val="003B7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">
    <w:name w:val="Основной текст + Полужирный;Интервал 0 pt"/>
    <w:basedOn w:val="a4"/>
    <w:rsid w:val="003B7D8A"/>
    <w:rPr>
      <w:b/>
      <w:bCs/>
      <w:color w:val="000000"/>
      <w:spacing w:val="6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3B7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7pt0pt">
    <w:name w:val="Основной текст + 7 pt;Интервал 0 pt"/>
    <w:basedOn w:val="a4"/>
    <w:rsid w:val="003B7D8A"/>
    <w:rPr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0pt0">
    <w:name w:val="Основной текст + Интервал 0 pt"/>
    <w:basedOn w:val="a4"/>
    <w:rsid w:val="003B7D8A"/>
    <w:rPr>
      <w:color w:val="000000"/>
      <w:spacing w:val="3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3B7D8A"/>
    <w:rPr>
      <w:color w:val="000000"/>
      <w:spacing w:val="-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B7D8A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">
    <w:name w:val="Основной текст1"/>
    <w:basedOn w:val="a"/>
    <w:link w:val="a4"/>
    <w:rsid w:val="003B7D8A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3B7D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2012-11-27T11:21:00Z</dcterms:created>
  <dcterms:modified xsi:type="dcterms:W3CDTF">2012-11-27T11:22:00Z</dcterms:modified>
</cp:coreProperties>
</file>