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FB" w:rsidRPr="008004AB" w:rsidRDefault="004F3301" w:rsidP="00482F87">
      <w:pPr>
        <w:pStyle w:val="30"/>
        <w:shd w:val="clear" w:color="auto" w:fill="auto"/>
        <w:spacing w:after="267"/>
        <w:ind w:left="-426" w:right="2185" w:firstLine="993"/>
        <w:rPr>
          <w:sz w:val="28"/>
          <w:szCs w:val="28"/>
        </w:rPr>
      </w:pPr>
      <w:r w:rsidRPr="008004AB">
        <w:rPr>
          <w:sz w:val="28"/>
          <w:szCs w:val="28"/>
        </w:rPr>
        <w:t>Реєстр. № 284/3/16</w:t>
      </w:r>
    </w:p>
    <w:p w:rsidR="001B12FB" w:rsidRPr="008004AB" w:rsidRDefault="004F3301" w:rsidP="00482F87">
      <w:pPr>
        <w:pStyle w:val="40"/>
        <w:numPr>
          <w:ilvl w:val="0"/>
          <w:numId w:val="1"/>
        </w:numPr>
        <w:shd w:val="clear" w:color="auto" w:fill="auto"/>
        <w:tabs>
          <w:tab w:val="left" w:pos="863"/>
        </w:tabs>
        <w:spacing w:before="0"/>
        <w:ind w:left="780" w:right="2185" w:firstLine="993"/>
        <w:rPr>
          <w:sz w:val="28"/>
          <w:szCs w:val="28"/>
        </w:rPr>
      </w:pPr>
      <w:r w:rsidRPr="008004AB">
        <w:rPr>
          <w:sz w:val="28"/>
          <w:szCs w:val="28"/>
        </w:rPr>
        <w:t>СПОСІБ ПРОГНОЗУВАННЯ УШКОДЖЕННЯ ТАЗА У ЖІНОК ПРИ ПОЛОГАХ.</w:t>
      </w:r>
    </w:p>
    <w:p w:rsidR="001B12FB" w:rsidRPr="008004AB" w:rsidRDefault="004F3301" w:rsidP="00482F87">
      <w:pPr>
        <w:pStyle w:val="20"/>
        <w:numPr>
          <w:ilvl w:val="0"/>
          <w:numId w:val="1"/>
        </w:numPr>
        <w:shd w:val="clear" w:color="auto" w:fill="auto"/>
        <w:tabs>
          <w:tab w:val="left" w:pos="863"/>
        </w:tabs>
        <w:ind w:left="780" w:right="2185" w:firstLine="993"/>
        <w:rPr>
          <w:sz w:val="28"/>
          <w:szCs w:val="28"/>
        </w:rPr>
      </w:pPr>
      <w:r w:rsidRPr="008004AB">
        <w:rPr>
          <w:sz w:val="28"/>
          <w:szCs w:val="28"/>
        </w:rPr>
        <w:t>НДР «Рання діагностика запальних захворювань опорно-рухового апарату»,</w:t>
      </w:r>
    </w:p>
    <w:p w:rsidR="001B12FB" w:rsidRPr="008004AB" w:rsidRDefault="004F3301" w:rsidP="00482F87">
      <w:pPr>
        <w:pStyle w:val="20"/>
        <w:shd w:val="clear" w:color="auto" w:fill="auto"/>
        <w:ind w:left="780" w:right="2185" w:firstLine="993"/>
        <w:jc w:val="left"/>
        <w:rPr>
          <w:sz w:val="28"/>
          <w:szCs w:val="28"/>
        </w:rPr>
      </w:pPr>
      <w:r w:rsidRPr="008004AB">
        <w:rPr>
          <w:sz w:val="28"/>
          <w:szCs w:val="28"/>
        </w:rPr>
        <w:t>0114Ш03387.</w:t>
      </w:r>
    </w:p>
    <w:p w:rsidR="001B12FB" w:rsidRPr="008004AB" w:rsidRDefault="004F3301" w:rsidP="00482F87">
      <w:pPr>
        <w:pStyle w:val="20"/>
        <w:numPr>
          <w:ilvl w:val="0"/>
          <w:numId w:val="1"/>
        </w:numPr>
        <w:shd w:val="clear" w:color="auto" w:fill="auto"/>
        <w:tabs>
          <w:tab w:val="left" w:pos="863"/>
        </w:tabs>
        <w:ind w:left="780" w:right="2185" w:firstLine="993"/>
        <w:rPr>
          <w:sz w:val="28"/>
          <w:szCs w:val="28"/>
        </w:rPr>
      </w:pPr>
      <w:r w:rsidRPr="008004AB">
        <w:rPr>
          <w:sz w:val="28"/>
          <w:szCs w:val="28"/>
        </w:rPr>
        <w:t>Ортопедія і травматологія.</w:t>
      </w:r>
    </w:p>
    <w:p w:rsidR="001B12FB" w:rsidRPr="008004AB" w:rsidRDefault="004F3301" w:rsidP="00482F87">
      <w:pPr>
        <w:pStyle w:val="20"/>
        <w:numPr>
          <w:ilvl w:val="0"/>
          <w:numId w:val="1"/>
        </w:numPr>
        <w:shd w:val="clear" w:color="auto" w:fill="auto"/>
        <w:tabs>
          <w:tab w:val="left" w:pos="863"/>
        </w:tabs>
        <w:spacing w:line="375" w:lineRule="exact"/>
        <w:ind w:left="780" w:right="2185" w:firstLine="993"/>
        <w:rPr>
          <w:sz w:val="28"/>
          <w:szCs w:val="28"/>
        </w:rPr>
      </w:pPr>
      <w:r w:rsidRPr="008004AB">
        <w:rPr>
          <w:sz w:val="28"/>
          <w:szCs w:val="28"/>
        </w:rPr>
        <w:t>2+, С.</w:t>
      </w:r>
    </w:p>
    <w:p w:rsidR="001B12FB" w:rsidRPr="008004AB" w:rsidRDefault="004F3301" w:rsidP="00482F87">
      <w:pPr>
        <w:pStyle w:val="20"/>
        <w:numPr>
          <w:ilvl w:val="0"/>
          <w:numId w:val="1"/>
        </w:numPr>
        <w:shd w:val="clear" w:color="auto" w:fill="auto"/>
        <w:tabs>
          <w:tab w:val="left" w:pos="863"/>
        </w:tabs>
        <w:spacing w:line="375" w:lineRule="exact"/>
        <w:ind w:left="780" w:right="2185" w:firstLine="993"/>
        <w:rPr>
          <w:sz w:val="28"/>
          <w:szCs w:val="28"/>
        </w:rPr>
      </w:pPr>
      <w:r w:rsidRPr="008004AB">
        <w:rPr>
          <w:sz w:val="28"/>
          <w:szCs w:val="28"/>
        </w:rPr>
        <w:t>Немає.</w:t>
      </w:r>
    </w:p>
    <w:p w:rsidR="001B12FB" w:rsidRPr="008004AB" w:rsidRDefault="004F3301" w:rsidP="00482F87">
      <w:pPr>
        <w:pStyle w:val="20"/>
        <w:numPr>
          <w:ilvl w:val="0"/>
          <w:numId w:val="1"/>
        </w:numPr>
        <w:shd w:val="clear" w:color="auto" w:fill="auto"/>
        <w:tabs>
          <w:tab w:val="left" w:pos="863"/>
        </w:tabs>
        <w:spacing w:line="375" w:lineRule="exact"/>
        <w:ind w:left="780" w:right="2185" w:firstLine="993"/>
        <w:rPr>
          <w:sz w:val="28"/>
          <w:szCs w:val="28"/>
        </w:rPr>
      </w:pPr>
      <w:r w:rsidRPr="008004AB">
        <w:rPr>
          <w:sz w:val="28"/>
          <w:szCs w:val="28"/>
        </w:rPr>
        <w:t>Прогнозування здійснюють за сукупністю таких результатів обстеження: наявність захворювань сполучної тканини, надмірна маса тіла, хронічні запальні захворювання репродуктивної системи, анатомічні особливості таза, обтяжений акушерський анамнез, гормональний дисбаланс, захворювання ендокринної системи, патологія опорно-рухової системи, обтяжений гіреморбідний фон, великий плід. 2 та більше пологів в анамнезі, хронічні інфекції сечовивідної системи. Результати одержують шляхом доступних методів обстеження вагітної жінки при своєчасній її реєстрації за місцем нагляду і ушкодження таза при пологах прогнозують при виявленні хоча б одної із ознак.</w:t>
      </w:r>
    </w:p>
    <w:p w:rsidR="001B12FB" w:rsidRPr="008004AB" w:rsidRDefault="004F3301" w:rsidP="00482F87">
      <w:pPr>
        <w:pStyle w:val="20"/>
        <w:numPr>
          <w:ilvl w:val="0"/>
          <w:numId w:val="1"/>
        </w:numPr>
        <w:shd w:val="clear" w:color="auto" w:fill="auto"/>
        <w:tabs>
          <w:tab w:val="left" w:pos="863"/>
        </w:tabs>
        <w:spacing w:line="375" w:lineRule="exact"/>
        <w:ind w:left="780" w:right="2185" w:firstLine="993"/>
        <w:rPr>
          <w:sz w:val="28"/>
          <w:szCs w:val="28"/>
        </w:rPr>
      </w:pPr>
      <w:r w:rsidRPr="008004AB">
        <w:rPr>
          <w:sz w:val="28"/>
          <w:szCs w:val="28"/>
        </w:rPr>
        <w:t>Прогнозування ушкодження таза у жінок при пологах здійснюють за сукупністю таких результатів як наявність захворювань сполучної тканини, надмірна маса тіла, хронічні запальні захворювання репродуктивної системи, анатомічні особливості таза, обтяжений акушерський анамнез, гормональний дисбаланс, захворювання ендокринної системи, патологія опорно-рухової системи, обтяжений преморбідний фон, великий плід, 2 та більше пологів в анамнезі, хронічні інфекції сечовивідної системи, які одержують в результаті доступних методів обстеження вагітної жінки при своєчасній її реєстрації за місцем нагляду і ушкодження таза при пологах прогнозують при виявленні хоча б одної із ознак.</w:t>
      </w:r>
    </w:p>
    <w:p w:rsidR="001B12FB" w:rsidRPr="008004AB" w:rsidRDefault="004F3301" w:rsidP="008004AB">
      <w:pPr>
        <w:pStyle w:val="20"/>
        <w:numPr>
          <w:ilvl w:val="0"/>
          <w:numId w:val="1"/>
        </w:numPr>
        <w:shd w:val="clear" w:color="auto" w:fill="auto"/>
        <w:tabs>
          <w:tab w:val="left" w:pos="565"/>
        </w:tabs>
        <w:spacing w:line="375" w:lineRule="exact"/>
        <w:ind w:left="709" w:right="2185" w:firstLine="993"/>
        <w:rPr>
          <w:sz w:val="28"/>
          <w:szCs w:val="28"/>
        </w:rPr>
      </w:pPr>
      <w:r w:rsidRPr="008004AB">
        <w:rPr>
          <w:sz w:val="28"/>
          <w:szCs w:val="28"/>
        </w:rPr>
        <w:t>Медичні - при прогнозуванні ушкодження таза у жінок при пологах враховують стан основних систем організму вагітної, що підвищує точність прогнозу. Соціальні - покращення якості життя у жінок після пологів. Попередження розвитку порушень функції опорно-рухової системи, репродуктивної та нервової систем. Економічні - чутливість способу 74-80 %; специфічність - 59-69 %; ефективність - 70-74,9 %.</w:t>
      </w:r>
    </w:p>
    <w:p w:rsidR="001B12FB" w:rsidRPr="008004AB" w:rsidRDefault="004F3301" w:rsidP="00482F87">
      <w:pPr>
        <w:pStyle w:val="20"/>
        <w:numPr>
          <w:ilvl w:val="0"/>
          <w:numId w:val="1"/>
        </w:numPr>
        <w:shd w:val="clear" w:color="auto" w:fill="auto"/>
        <w:tabs>
          <w:tab w:val="left" w:pos="565"/>
        </w:tabs>
        <w:spacing w:line="383" w:lineRule="exact"/>
        <w:ind w:left="620" w:right="2185" w:firstLine="993"/>
        <w:jc w:val="left"/>
        <w:rPr>
          <w:sz w:val="28"/>
          <w:szCs w:val="28"/>
        </w:rPr>
      </w:pPr>
      <w:r w:rsidRPr="008004AB">
        <w:rPr>
          <w:sz w:val="28"/>
          <w:szCs w:val="28"/>
        </w:rPr>
        <w:t>Обладнання та реактиви для мікробіологічних, гормональних досліджень та для пельвіометрії.</w:t>
      </w:r>
    </w:p>
    <w:p w:rsidR="001B12FB" w:rsidRPr="008004AB" w:rsidRDefault="004F3301" w:rsidP="00482F87">
      <w:pPr>
        <w:pStyle w:val="20"/>
        <w:numPr>
          <w:ilvl w:val="0"/>
          <w:numId w:val="1"/>
        </w:numPr>
        <w:shd w:val="clear" w:color="auto" w:fill="auto"/>
        <w:tabs>
          <w:tab w:val="left" w:pos="565"/>
        </w:tabs>
        <w:spacing w:line="383" w:lineRule="exact"/>
        <w:ind w:right="2185" w:firstLine="993"/>
        <w:rPr>
          <w:sz w:val="28"/>
          <w:szCs w:val="28"/>
        </w:rPr>
      </w:pPr>
      <w:r w:rsidRPr="008004AB">
        <w:rPr>
          <w:sz w:val="28"/>
          <w:szCs w:val="28"/>
        </w:rPr>
        <w:t>Вагітність.</w:t>
      </w:r>
    </w:p>
    <w:p w:rsidR="001B12FB" w:rsidRPr="008004AB" w:rsidRDefault="004F3301" w:rsidP="00482F87">
      <w:pPr>
        <w:pStyle w:val="20"/>
        <w:numPr>
          <w:ilvl w:val="0"/>
          <w:numId w:val="1"/>
        </w:numPr>
        <w:shd w:val="clear" w:color="auto" w:fill="auto"/>
        <w:tabs>
          <w:tab w:val="left" w:pos="565"/>
        </w:tabs>
        <w:spacing w:line="354" w:lineRule="exact"/>
        <w:ind w:right="2185" w:firstLine="993"/>
        <w:rPr>
          <w:sz w:val="28"/>
          <w:szCs w:val="28"/>
        </w:rPr>
      </w:pPr>
      <w:r w:rsidRPr="008004AB">
        <w:rPr>
          <w:sz w:val="28"/>
          <w:szCs w:val="28"/>
        </w:rPr>
        <w:t>Немає.</w:t>
      </w:r>
    </w:p>
    <w:p w:rsidR="001B12FB" w:rsidRPr="008004AB" w:rsidRDefault="004F3301" w:rsidP="00482F87">
      <w:pPr>
        <w:pStyle w:val="20"/>
        <w:numPr>
          <w:ilvl w:val="0"/>
          <w:numId w:val="1"/>
        </w:numPr>
        <w:shd w:val="clear" w:color="auto" w:fill="auto"/>
        <w:tabs>
          <w:tab w:val="left" w:pos="565"/>
        </w:tabs>
        <w:spacing w:line="354" w:lineRule="exact"/>
        <w:ind w:right="2185" w:firstLine="993"/>
        <w:rPr>
          <w:sz w:val="28"/>
          <w:szCs w:val="28"/>
        </w:rPr>
      </w:pPr>
      <w:r w:rsidRPr="008004AB">
        <w:rPr>
          <w:sz w:val="28"/>
          <w:szCs w:val="28"/>
        </w:rPr>
        <w:t>Немає.</w:t>
      </w:r>
    </w:p>
    <w:p w:rsidR="001B12FB" w:rsidRPr="008004AB" w:rsidRDefault="004F3301" w:rsidP="00482F87">
      <w:pPr>
        <w:pStyle w:val="20"/>
        <w:numPr>
          <w:ilvl w:val="0"/>
          <w:numId w:val="1"/>
        </w:numPr>
        <w:shd w:val="clear" w:color="auto" w:fill="auto"/>
        <w:tabs>
          <w:tab w:val="left" w:pos="565"/>
        </w:tabs>
        <w:spacing w:line="375" w:lineRule="exact"/>
        <w:ind w:left="620" w:right="2185" w:firstLine="993"/>
        <w:jc w:val="left"/>
        <w:rPr>
          <w:sz w:val="28"/>
          <w:szCs w:val="28"/>
        </w:rPr>
      </w:pPr>
      <w:r w:rsidRPr="008004AB">
        <w:rPr>
          <w:sz w:val="28"/>
          <w:szCs w:val="28"/>
        </w:rPr>
        <w:t>Харківський національний медичний університет, 61022, м. Харків, просп Науки 4, тел. 0577060507.</w:t>
      </w:r>
    </w:p>
    <w:p w:rsidR="001B12FB" w:rsidRPr="008004AB" w:rsidRDefault="004F3301" w:rsidP="00482F87">
      <w:pPr>
        <w:pStyle w:val="20"/>
        <w:numPr>
          <w:ilvl w:val="0"/>
          <w:numId w:val="1"/>
        </w:numPr>
        <w:shd w:val="clear" w:color="auto" w:fill="auto"/>
        <w:tabs>
          <w:tab w:val="left" w:pos="565"/>
        </w:tabs>
        <w:spacing w:line="354" w:lineRule="exact"/>
        <w:ind w:right="2185" w:firstLine="993"/>
        <w:rPr>
          <w:sz w:val="28"/>
          <w:szCs w:val="28"/>
        </w:rPr>
      </w:pPr>
      <w:r w:rsidRPr="008004AB">
        <w:rPr>
          <w:sz w:val="28"/>
          <w:szCs w:val="28"/>
        </w:rPr>
        <w:t>Немає.</w:t>
      </w:r>
    </w:p>
    <w:p w:rsidR="001B12FB" w:rsidRPr="008004AB" w:rsidRDefault="004F3301" w:rsidP="00482F87">
      <w:pPr>
        <w:pStyle w:val="20"/>
        <w:numPr>
          <w:ilvl w:val="0"/>
          <w:numId w:val="1"/>
        </w:numPr>
        <w:shd w:val="clear" w:color="auto" w:fill="auto"/>
        <w:tabs>
          <w:tab w:val="left" w:pos="565"/>
        </w:tabs>
        <w:spacing w:line="398" w:lineRule="exact"/>
        <w:ind w:left="620" w:right="2185" w:firstLine="993"/>
        <w:jc w:val="left"/>
        <w:rPr>
          <w:sz w:val="28"/>
          <w:szCs w:val="28"/>
        </w:rPr>
      </w:pPr>
      <w:r w:rsidRPr="008004AB">
        <w:rPr>
          <w:sz w:val="28"/>
          <w:szCs w:val="28"/>
        </w:rPr>
        <w:t xml:space="preserve">Олійник А.О. (0636577871), Голка Г.Г., Істомін А.Г., Істомін </w:t>
      </w:r>
      <w:r w:rsidRPr="008004AB">
        <w:rPr>
          <w:rStyle w:val="2Candara17pt"/>
          <w:sz w:val="28"/>
          <w:szCs w:val="28"/>
        </w:rPr>
        <w:t xml:space="preserve">Д.А., </w:t>
      </w:r>
      <w:bookmarkStart w:id="0" w:name="_GoBack"/>
      <w:bookmarkEnd w:id="0"/>
      <w:r w:rsidRPr="008004AB">
        <w:rPr>
          <w:sz w:val="28"/>
          <w:szCs w:val="28"/>
        </w:rPr>
        <w:lastRenderedPageBreak/>
        <w:t xml:space="preserve">Гаркуша </w:t>
      </w:r>
      <w:r w:rsidRPr="008004AB">
        <w:rPr>
          <w:rStyle w:val="2Candara17pt"/>
          <w:sz w:val="28"/>
          <w:szCs w:val="28"/>
        </w:rPr>
        <w:t xml:space="preserve">М.А.. </w:t>
      </w:r>
      <w:r w:rsidRPr="008004AB">
        <w:rPr>
          <w:sz w:val="28"/>
          <w:szCs w:val="28"/>
        </w:rPr>
        <w:t>Овчаренко О.Б., Аралов О.М., Олійник Н.О., Самарська О.І.</w:t>
      </w:r>
    </w:p>
    <w:sectPr w:rsidR="001B12FB" w:rsidRPr="008004AB" w:rsidSect="00711C97">
      <w:pgSz w:w="14400" w:h="18414"/>
      <w:pgMar w:top="567" w:right="601" w:bottom="851" w:left="98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301" w:rsidRDefault="004F3301">
      <w:r>
        <w:separator/>
      </w:r>
    </w:p>
  </w:endnote>
  <w:endnote w:type="continuationSeparator" w:id="0">
    <w:p w:rsidR="004F3301" w:rsidRDefault="004F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301" w:rsidRDefault="004F3301"/>
  </w:footnote>
  <w:footnote w:type="continuationSeparator" w:id="0">
    <w:p w:rsidR="004F3301" w:rsidRDefault="004F33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D065A"/>
    <w:multiLevelType w:val="multilevel"/>
    <w:tmpl w:val="C5107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FB"/>
    <w:rsid w:val="000C5F84"/>
    <w:rsid w:val="001B12FB"/>
    <w:rsid w:val="00482F87"/>
    <w:rsid w:val="004F3301"/>
    <w:rsid w:val="00711C97"/>
    <w:rsid w:val="008004AB"/>
    <w:rsid w:val="008475C5"/>
    <w:rsid w:val="00E74F25"/>
    <w:rsid w:val="00EA06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E7D66-D905-4AB9-9C74-AD8C57D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34"/>
      <w:szCs w:val="34"/>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2Candara17pt">
    <w:name w:val="Основной текст (2) + Candara;17 pt"/>
    <w:basedOn w:val="2"/>
    <w:rPr>
      <w:rFonts w:ascii="Candara" w:eastAsia="Candara" w:hAnsi="Candara" w:cs="Candara"/>
      <w:b w:val="0"/>
      <w:bCs w:val="0"/>
      <w:i w:val="0"/>
      <w:iCs w:val="0"/>
      <w:smallCaps w:val="0"/>
      <w:strike w:val="0"/>
      <w:color w:val="000000"/>
      <w:spacing w:val="0"/>
      <w:w w:val="100"/>
      <w:position w:val="0"/>
      <w:sz w:val="34"/>
      <w:szCs w:val="34"/>
      <w:u w:val="none"/>
      <w:lang w:val="uk-UA" w:eastAsia="uk-UA" w:bidi="uk-UA"/>
    </w:rPr>
  </w:style>
  <w:style w:type="paragraph" w:customStyle="1" w:styleId="30">
    <w:name w:val="Основной текст (3)"/>
    <w:basedOn w:val="a"/>
    <w:link w:val="3"/>
    <w:pPr>
      <w:shd w:val="clear" w:color="auto" w:fill="FFFFFF"/>
      <w:spacing w:after="360" w:line="244" w:lineRule="exact"/>
      <w:jc w:val="center"/>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360" w:line="360" w:lineRule="exact"/>
      <w:ind w:hanging="480"/>
      <w:jc w:val="both"/>
    </w:pPr>
    <w:rPr>
      <w:rFonts w:ascii="Times New Roman" w:eastAsia="Times New Roman" w:hAnsi="Times New Roman" w:cs="Times New Roman"/>
      <w:sz w:val="34"/>
      <w:szCs w:val="34"/>
    </w:rPr>
  </w:style>
  <w:style w:type="paragraph" w:customStyle="1" w:styleId="20">
    <w:name w:val="Основной текст (2)"/>
    <w:basedOn w:val="a"/>
    <w:link w:val="2"/>
    <w:pPr>
      <w:shd w:val="clear" w:color="auto" w:fill="FFFFFF"/>
      <w:spacing w:line="360" w:lineRule="exact"/>
      <w:ind w:hanging="620"/>
      <w:jc w:val="both"/>
    </w:pPr>
    <w:rPr>
      <w:rFonts w:ascii="Times New Roman" w:eastAsia="Times New Roman" w:hAnsi="Times New Roman" w:cs="Times New Roman"/>
      <w:sz w:val="32"/>
      <w:szCs w:val="32"/>
    </w:rPr>
  </w:style>
  <w:style w:type="paragraph" w:styleId="a3">
    <w:name w:val="Balloon Text"/>
    <w:basedOn w:val="a"/>
    <w:link w:val="a4"/>
    <w:uiPriority w:val="99"/>
    <w:semiHidden/>
    <w:unhideWhenUsed/>
    <w:rsid w:val="00E74F25"/>
    <w:rPr>
      <w:rFonts w:ascii="Segoe UI" w:hAnsi="Segoe UI" w:cs="Segoe UI"/>
      <w:sz w:val="18"/>
      <w:szCs w:val="18"/>
    </w:rPr>
  </w:style>
  <w:style w:type="character" w:customStyle="1" w:styleId="a4">
    <w:name w:val="Текст выноски Знак"/>
    <w:basedOn w:val="a0"/>
    <w:link w:val="a3"/>
    <w:uiPriority w:val="99"/>
    <w:semiHidden/>
    <w:rsid w:val="00E74F2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onelince@outlook.com</dc:creator>
  <cp:lastModifiedBy>Татьяна</cp:lastModifiedBy>
  <cp:revision>7</cp:revision>
  <cp:lastPrinted>2017-12-15T08:31:00Z</cp:lastPrinted>
  <dcterms:created xsi:type="dcterms:W3CDTF">2017-12-14T21:15:00Z</dcterms:created>
  <dcterms:modified xsi:type="dcterms:W3CDTF">2017-12-15T09:39:00Z</dcterms:modified>
</cp:coreProperties>
</file>