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7830" w14:textId="77777777" w:rsidR="007757E6" w:rsidRDefault="007757E6" w:rsidP="007757E6">
      <w:pPr>
        <w:pStyle w:val="ListParagraph"/>
        <w:numPr>
          <w:ilvl w:val="0"/>
          <w:numId w:val="2"/>
        </w:num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Клінічна медицина: досвід та нововведення</w:t>
      </w:r>
    </w:p>
    <w:p w14:paraId="6D1FA569" w14:textId="77777777" w:rsidR="00A17E5C" w:rsidRDefault="00A17E5C" w:rsidP="007757E6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</w:p>
    <w:p w14:paraId="313E74E6" w14:textId="6011D7B7" w:rsidR="007757E6" w:rsidRDefault="000F5317" w:rsidP="007757E6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ВПЛИВ</w:t>
      </w:r>
      <w:r w:rsidR="001C6438">
        <w:rPr>
          <w:b/>
          <w:sz w:val="28"/>
          <w:szCs w:val="28"/>
          <w:lang w:val="uk-UA"/>
        </w:rPr>
        <w:t xml:space="preserve"> КУРСОВОГО </w:t>
      </w:r>
      <w:r>
        <w:rPr>
          <w:b/>
          <w:sz w:val="28"/>
          <w:szCs w:val="28"/>
          <w:lang w:val="uk-UA"/>
        </w:rPr>
        <w:t>ВЖИВАННЯ МЕЛАТОНІНУ НА СТРУКТУРНИЙ СТАН ТИМУСУ КРОЛІВ</w:t>
      </w:r>
      <w:r w:rsidR="00B409E4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ЩО </w:t>
      </w:r>
      <w:r w:rsidR="001C6438">
        <w:rPr>
          <w:b/>
          <w:sz w:val="28"/>
          <w:szCs w:val="28"/>
          <w:lang w:val="uk-UA"/>
        </w:rPr>
        <w:t xml:space="preserve">УТРИМУВАЛИСЯ В УМОВАХ </w:t>
      </w:r>
      <w:r>
        <w:rPr>
          <w:b/>
          <w:sz w:val="28"/>
          <w:szCs w:val="28"/>
          <w:lang w:val="uk-UA"/>
        </w:rPr>
        <w:t>ЦІЛОДОБОВОГО ОСВІТЛЕННЯ (ЕКСПЕРИМЕНТАЛЬНЕ ДОСЛІДЖЕННЯ)</w:t>
      </w:r>
    </w:p>
    <w:p w14:paraId="287F7E34" w14:textId="77777777" w:rsidR="000F5317" w:rsidRDefault="000F5317" w:rsidP="007757E6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</w:p>
    <w:p w14:paraId="3E196543" w14:textId="320636AE" w:rsidR="000F5317" w:rsidRDefault="000F5317" w:rsidP="007757E6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Бочарова Т.В.</w:t>
      </w:r>
    </w:p>
    <w:p w14:paraId="6F4E830B" w14:textId="47534223" w:rsidR="000F5317" w:rsidRDefault="000F5317" w:rsidP="007757E6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кандидат медичних наук,</w:t>
      </w:r>
    </w:p>
    <w:p w14:paraId="023F0139" w14:textId="59406205" w:rsidR="000F5317" w:rsidRDefault="000F5317" w:rsidP="007757E6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асистент кафедри патологічної анатомії,</w:t>
      </w:r>
    </w:p>
    <w:p w14:paraId="58E05AAA" w14:textId="2FE40C7C" w:rsidR="000F5317" w:rsidRDefault="000F5317" w:rsidP="007757E6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Харківський національний медичний університет,</w:t>
      </w:r>
    </w:p>
    <w:p w14:paraId="15FD4245" w14:textId="3396FA31" w:rsidR="000F5317" w:rsidRDefault="000F5317" w:rsidP="007757E6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Харків, Україна</w:t>
      </w:r>
    </w:p>
    <w:p w14:paraId="24FE9089" w14:textId="77777777" w:rsidR="008A46CD" w:rsidRDefault="008A46CD" w:rsidP="008A46CD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Геворкян А.Р.</w:t>
      </w:r>
    </w:p>
    <w:p w14:paraId="3FE5A20D" w14:textId="2DF18BA1" w:rsidR="001C6438" w:rsidRDefault="001C6438" w:rsidP="001C6438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кандидат біологічних наук,</w:t>
      </w:r>
    </w:p>
    <w:p w14:paraId="1B23A0D3" w14:textId="6B8BB0DB" w:rsidR="00553F32" w:rsidRPr="001C6438" w:rsidRDefault="002767A9" w:rsidP="001C6438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старший наук</w:t>
      </w:r>
      <w:r w:rsidR="0004515F">
        <w:rPr>
          <w:i/>
          <w:sz w:val="28"/>
          <w:szCs w:val="28"/>
          <w:lang w:val="uk-UA"/>
        </w:rPr>
        <w:t>овий співробітник лабораторії па</w:t>
      </w:r>
      <w:r>
        <w:rPr>
          <w:i/>
          <w:sz w:val="28"/>
          <w:szCs w:val="28"/>
          <w:lang w:val="uk-UA"/>
        </w:rPr>
        <w:t>тогістології,</w:t>
      </w:r>
    </w:p>
    <w:p w14:paraId="17657254" w14:textId="77777777" w:rsidR="0046161C" w:rsidRDefault="00553F32" w:rsidP="008A46CD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</w:t>
      </w:r>
      <w:r w:rsidR="008A46CD" w:rsidRPr="008A46CD">
        <w:rPr>
          <w:i/>
          <w:sz w:val="28"/>
          <w:szCs w:val="28"/>
          <w:lang w:val="uk-UA"/>
        </w:rPr>
        <w:t xml:space="preserve">У «Інститут проблем ендокринної патології </w:t>
      </w:r>
    </w:p>
    <w:p w14:paraId="7EE2FA56" w14:textId="29DFAF1F" w:rsidR="008A46CD" w:rsidRDefault="008A46CD" w:rsidP="008A46CD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 w:rsidRPr="008A46CD">
        <w:rPr>
          <w:i/>
          <w:sz w:val="28"/>
          <w:szCs w:val="28"/>
          <w:lang w:val="uk-UA"/>
        </w:rPr>
        <w:t>ім. В. Я. Данилевського АМН України»,</w:t>
      </w:r>
    </w:p>
    <w:p w14:paraId="2BC34B30" w14:textId="64AAB4D8" w:rsidR="008A46CD" w:rsidRPr="008A46CD" w:rsidRDefault="008A46CD" w:rsidP="008A46CD">
      <w:pPr>
        <w:pStyle w:val="ListParagraph"/>
        <w:spacing w:line="360" w:lineRule="auto"/>
        <w:ind w:left="1069"/>
        <w:jc w:val="center"/>
        <w:rPr>
          <w:b/>
          <w:i/>
          <w:sz w:val="28"/>
          <w:szCs w:val="28"/>
          <w:lang w:val="uk-UA"/>
        </w:rPr>
      </w:pPr>
      <w:r w:rsidRPr="008A46CD">
        <w:rPr>
          <w:i/>
          <w:sz w:val="28"/>
          <w:szCs w:val="28"/>
          <w:lang w:val="uk-UA"/>
        </w:rPr>
        <w:t>м. Харків, Україна</w:t>
      </w:r>
    </w:p>
    <w:p w14:paraId="42090BA9" w14:textId="5CD5373C" w:rsidR="000F5317" w:rsidRDefault="000F5317" w:rsidP="007757E6">
      <w:pPr>
        <w:pStyle w:val="ListParagraph"/>
        <w:spacing w:line="360" w:lineRule="auto"/>
        <w:ind w:left="106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Бочарова М.Ю.</w:t>
      </w:r>
    </w:p>
    <w:p w14:paraId="7011256A" w14:textId="77DBA277" w:rsidR="000F5317" w:rsidRDefault="00690C6C" w:rsidP="007757E6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студентка 6 курсу </w:t>
      </w:r>
      <w:r>
        <w:rPr>
          <w:i/>
          <w:sz w:val="28"/>
          <w:szCs w:val="28"/>
          <w:lang w:val="en-US"/>
        </w:rPr>
        <w:t>I</w:t>
      </w:r>
      <w:r w:rsidR="000F5317">
        <w:rPr>
          <w:i/>
          <w:sz w:val="28"/>
          <w:szCs w:val="28"/>
          <w:lang w:val="uk-UA"/>
        </w:rPr>
        <w:t xml:space="preserve"> медичного факультету</w:t>
      </w:r>
    </w:p>
    <w:p w14:paraId="3C694B3B" w14:textId="77777777" w:rsidR="000F5317" w:rsidRDefault="000F5317" w:rsidP="000F5317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Харківський національний медичний університет,</w:t>
      </w:r>
    </w:p>
    <w:p w14:paraId="2E77E4BC" w14:textId="77777777" w:rsidR="000F5317" w:rsidRDefault="000F5317" w:rsidP="000F5317">
      <w:pPr>
        <w:pStyle w:val="ListParagraph"/>
        <w:spacing w:line="360" w:lineRule="auto"/>
        <w:ind w:left="1069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 Харків, Україна</w:t>
      </w:r>
    </w:p>
    <w:p w14:paraId="22A6F4E9" w14:textId="77777777" w:rsidR="00B81F80" w:rsidRDefault="00B81F80" w:rsidP="00B81F80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505D8033" w14:textId="69C02E7B" w:rsidR="00B409E4" w:rsidRPr="00C24853" w:rsidRDefault="00B409E4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Вступ. </w:t>
      </w:r>
      <w:r w:rsidRPr="00C24853">
        <w:rPr>
          <w:sz w:val="28"/>
          <w:szCs w:val="28"/>
          <w:lang w:val="uk-UA"/>
        </w:rPr>
        <w:t xml:space="preserve">На теперішній час відомо, що </w:t>
      </w:r>
      <w:r w:rsidR="008A46CD">
        <w:rPr>
          <w:sz w:val="28"/>
          <w:szCs w:val="28"/>
          <w:lang w:val="uk-UA"/>
        </w:rPr>
        <w:t>у всіх ссавців</w:t>
      </w:r>
      <w:r w:rsidRPr="00C24853">
        <w:rPr>
          <w:sz w:val="28"/>
          <w:szCs w:val="28"/>
          <w:lang w:val="uk-UA"/>
        </w:rPr>
        <w:t xml:space="preserve"> на етапі</w:t>
      </w:r>
      <w:r w:rsidR="00C24853" w:rsidRPr="00C24853">
        <w:rPr>
          <w:sz w:val="28"/>
          <w:szCs w:val="28"/>
          <w:lang w:val="uk-UA"/>
        </w:rPr>
        <w:t xml:space="preserve"> </w:t>
      </w:r>
      <w:r w:rsidRPr="00C24853">
        <w:rPr>
          <w:sz w:val="28"/>
          <w:szCs w:val="28"/>
          <w:lang w:val="uk-UA"/>
        </w:rPr>
        <w:t>спадного онтогенезу концентрація мелатоніну в крові прогресивно зменшується [</w:t>
      </w:r>
      <w:r w:rsidR="000B3895">
        <w:rPr>
          <w:sz w:val="28"/>
          <w:szCs w:val="28"/>
          <w:lang w:val="uk-UA"/>
        </w:rPr>
        <w:t>1, 2</w:t>
      </w:r>
      <w:r w:rsidRPr="00C24853">
        <w:rPr>
          <w:sz w:val="28"/>
          <w:szCs w:val="28"/>
          <w:lang w:val="uk-UA"/>
        </w:rPr>
        <w:t>]</w:t>
      </w:r>
      <w:r w:rsidR="002767A9">
        <w:rPr>
          <w:sz w:val="28"/>
          <w:szCs w:val="28"/>
          <w:lang w:val="uk-UA"/>
        </w:rPr>
        <w:t>. Ц</w:t>
      </w:r>
      <w:r w:rsidRPr="00C24853">
        <w:rPr>
          <w:sz w:val="28"/>
          <w:szCs w:val="28"/>
          <w:lang w:val="uk-UA"/>
        </w:rPr>
        <w:t xml:space="preserve">ей процес має </w:t>
      </w:r>
      <w:r w:rsidR="002767A9" w:rsidRPr="00C24853">
        <w:rPr>
          <w:sz w:val="28"/>
          <w:szCs w:val="28"/>
          <w:lang w:val="uk-UA"/>
        </w:rPr>
        <w:t>індивідуальні</w:t>
      </w:r>
      <w:r w:rsidRPr="00C24853">
        <w:rPr>
          <w:sz w:val="28"/>
          <w:szCs w:val="28"/>
          <w:lang w:val="uk-UA"/>
        </w:rPr>
        <w:t xml:space="preserve"> особливості, а саме, у деяких осіб похилого віку </w:t>
      </w:r>
      <w:r w:rsidR="00727332" w:rsidRPr="00C24853">
        <w:rPr>
          <w:sz w:val="28"/>
          <w:szCs w:val="28"/>
          <w:lang w:val="uk-UA"/>
        </w:rPr>
        <w:t xml:space="preserve">він </w:t>
      </w:r>
      <w:r w:rsidR="00C24853" w:rsidRPr="00C24853">
        <w:rPr>
          <w:sz w:val="28"/>
          <w:szCs w:val="28"/>
          <w:lang w:val="uk-UA"/>
        </w:rPr>
        <w:t>протікає</w:t>
      </w:r>
      <w:r w:rsidR="00727332" w:rsidRPr="00C24853">
        <w:rPr>
          <w:sz w:val="28"/>
          <w:szCs w:val="28"/>
          <w:lang w:val="uk-UA"/>
        </w:rPr>
        <w:t xml:space="preserve"> повільно, а у інших дуже швидко. Окрім того, швидкість мелатонінової </w:t>
      </w:r>
      <w:r w:rsidR="00C24853" w:rsidRPr="00C24853">
        <w:rPr>
          <w:sz w:val="28"/>
          <w:szCs w:val="28"/>
          <w:lang w:val="uk-UA"/>
        </w:rPr>
        <w:t>насиченості</w:t>
      </w:r>
      <w:r w:rsidR="00727332" w:rsidRPr="00C24853">
        <w:rPr>
          <w:sz w:val="28"/>
          <w:szCs w:val="28"/>
          <w:lang w:val="uk-UA"/>
        </w:rPr>
        <w:t xml:space="preserve"> організму прямо корелює з показниками тривалості життя. Відомо, що у людей похилого віку на тлі</w:t>
      </w:r>
      <w:r w:rsidR="00C24853">
        <w:rPr>
          <w:sz w:val="28"/>
          <w:szCs w:val="28"/>
          <w:lang w:val="uk-UA"/>
        </w:rPr>
        <w:t xml:space="preserve"> мелатонінової недостатності ча</w:t>
      </w:r>
      <w:r w:rsidR="00727332" w:rsidRPr="00C24853">
        <w:rPr>
          <w:sz w:val="28"/>
          <w:szCs w:val="28"/>
          <w:lang w:val="uk-UA"/>
        </w:rPr>
        <w:t>стіше виникають хвороби нервової, ендокринної та серцево-судинної систем організму [</w:t>
      </w:r>
      <w:r w:rsidR="000B3895">
        <w:rPr>
          <w:sz w:val="28"/>
          <w:szCs w:val="28"/>
          <w:lang w:val="uk-UA"/>
        </w:rPr>
        <w:t>3, 4</w:t>
      </w:r>
      <w:r w:rsidR="00727332" w:rsidRPr="00C24853">
        <w:rPr>
          <w:sz w:val="28"/>
          <w:szCs w:val="28"/>
          <w:lang w:val="uk-UA"/>
        </w:rPr>
        <w:t>].</w:t>
      </w:r>
      <w:r w:rsidR="00C24853">
        <w:rPr>
          <w:sz w:val="28"/>
          <w:szCs w:val="28"/>
          <w:lang w:val="uk-UA"/>
        </w:rPr>
        <w:t xml:space="preserve"> </w:t>
      </w:r>
      <w:r w:rsidR="00C24853">
        <w:rPr>
          <w:sz w:val="28"/>
          <w:szCs w:val="28"/>
          <w:lang w:val="uk-UA"/>
        </w:rPr>
        <w:lastRenderedPageBreak/>
        <w:t>Окремої ув</w:t>
      </w:r>
      <w:r w:rsidR="00727332" w:rsidRPr="00C24853">
        <w:rPr>
          <w:sz w:val="28"/>
          <w:szCs w:val="28"/>
          <w:lang w:val="uk-UA"/>
        </w:rPr>
        <w:t>аги заслуговують дані про взаємовідносини між пінеальною залозою та функціонуванням імунної системи.</w:t>
      </w:r>
    </w:p>
    <w:p w14:paraId="4E3C466A" w14:textId="31FF9549" w:rsidR="00C24853" w:rsidRDefault="00727332" w:rsidP="002767A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4853">
        <w:rPr>
          <w:sz w:val="28"/>
          <w:szCs w:val="28"/>
          <w:lang w:val="uk-UA"/>
        </w:rPr>
        <w:t>В наших попередніх дослідженнях встановлено, що реакція тимусу, як цент</w:t>
      </w:r>
      <w:r w:rsidR="002767A9">
        <w:rPr>
          <w:sz w:val="28"/>
          <w:szCs w:val="28"/>
          <w:lang w:val="uk-UA"/>
        </w:rPr>
        <w:t>рального органу імунної системи,</w:t>
      </w:r>
      <w:r w:rsidRPr="00C24853">
        <w:rPr>
          <w:sz w:val="28"/>
          <w:szCs w:val="28"/>
          <w:lang w:val="uk-UA"/>
        </w:rPr>
        <w:t xml:space="preserve"> на дію цілодобового освітлення залежить від тривалості цієї дії. Посилені склеротичні зміни виявлені нами вже пі</w:t>
      </w:r>
      <w:r w:rsidR="0046161C">
        <w:rPr>
          <w:sz w:val="28"/>
          <w:szCs w:val="28"/>
          <w:lang w:val="uk-UA"/>
        </w:rPr>
        <w:t>сля перших</w:t>
      </w:r>
      <w:r w:rsidRPr="00C24853">
        <w:rPr>
          <w:sz w:val="28"/>
          <w:szCs w:val="28"/>
          <w:lang w:val="uk-UA"/>
        </w:rPr>
        <w:t xml:space="preserve"> місяців цілодобового освітлення. Пі</w:t>
      </w:r>
      <w:r w:rsidR="0046161C">
        <w:rPr>
          <w:sz w:val="28"/>
          <w:szCs w:val="28"/>
          <w:lang w:val="uk-UA"/>
        </w:rPr>
        <w:t xml:space="preserve">зніше </w:t>
      </w:r>
      <w:r w:rsidRPr="00C24853">
        <w:rPr>
          <w:sz w:val="28"/>
          <w:szCs w:val="28"/>
          <w:lang w:val="uk-UA"/>
        </w:rPr>
        <w:t>спостерігали</w:t>
      </w:r>
      <w:r w:rsidR="0046161C">
        <w:rPr>
          <w:sz w:val="28"/>
          <w:szCs w:val="28"/>
          <w:lang w:val="uk-UA"/>
        </w:rPr>
        <w:t>ся</w:t>
      </w:r>
      <w:r w:rsidRPr="00C24853">
        <w:rPr>
          <w:sz w:val="28"/>
          <w:szCs w:val="28"/>
          <w:lang w:val="uk-UA"/>
        </w:rPr>
        <w:t xml:space="preserve"> ознаки гіпоплазії коркової та мозкової речовини тим</w:t>
      </w:r>
      <w:r w:rsidR="002767A9">
        <w:rPr>
          <w:sz w:val="28"/>
          <w:szCs w:val="28"/>
          <w:lang w:val="uk-UA"/>
        </w:rPr>
        <w:t>усу на тлі виснаження клітинного</w:t>
      </w:r>
      <w:r w:rsidRPr="00C24853">
        <w:rPr>
          <w:sz w:val="28"/>
          <w:szCs w:val="28"/>
          <w:lang w:val="uk-UA"/>
        </w:rPr>
        <w:t xml:space="preserve"> складу паренхіми [</w:t>
      </w:r>
      <w:r w:rsidR="000B3895">
        <w:rPr>
          <w:sz w:val="28"/>
          <w:szCs w:val="28"/>
          <w:lang w:val="uk-UA"/>
        </w:rPr>
        <w:t>5, 6</w:t>
      </w:r>
      <w:r w:rsidRPr="00C24853">
        <w:rPr>
          <w:sz w:val="28"/>
          <w:szCs w:val="28"/>
          <w:lang w:val="uk-UA"/>
        </w:rPr>
        <w:t xml:space="preserve">]. </w:t>
      </w:r>
      <w:r w:rsidR="00C24853">
        <w:rPr>
          <w:sz w:val="28"/>
          <w:szCs w:val="28"/>
          <w:lang w:val="uk-UA"/>
        </w:rPr>
        <w:t>Тому дуже</w:t>
      </w:r>
      <w:r w:rsidR="00CF2AF9">
        <w:rPr>
          <w:sz w:val="28"/>
          <w:szCs w:val="28"/>
          <w:lang w:val="uk-UA"/>
        </w:rPr>
        <w:t xml:space="preserve"> цікавим на теперішній час стає</w:t>
      </w:r>
      <w:r w:rsidR="00C24853">
        <w:rPr>
          <w:sz w:val="28"/>
          <w:szCs w:val="28"/>
          <w:lang w:val="uk-UA"/>
        </w:rPr>
        <w:t xml:space="preserve"> вивчення механізму взаємодії між пінеальною залозою та імунною системою, особливо у світі зростання кількості населення, що воліє нічний спосіб життя.</w:t>
      </w:r>
    </w:p>
    <w:p w14:paraId="587DDA13" w14:textId="2444C43C" w:rsidR="00C24853" w:rsidRPr="00C24853" w:rsidRDefault="00C24853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4853"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даного дослідження стало визначення впливу </w:t>
      </w:r>
      <w:r w:rsidR="002767A9">
        <w:rPr>
          <w:sz w:val="28"/>
          <w:szCs w:val="28"/>
          <w:lang w:val="uk-UA"/>
        </w:rPr>
        <w:t xml:space="preserve">курсового </w:t>
      </w:r>
      <w:r>
        <w:rPr>
          <w:sz w:val="28"/>
          <w:szCs w:val="28"/>
          <w:lang w:val="uk-UA"/>
        </w:rPr>
        <w:t>вживання мелатоніну на структурний стан тимусу кролів, що тривалий час знаходилися під впливом цілодобового освітлення.</w:t>
      </w:r>
    </w:p>
    <w:p w14:paraId="360E7049" w14:textId="241F6D14" w:rsidR="00727332" w:rsidRDefault="000F5317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4853">
        <w:rPr>
          <w:b/>
          <w:sz w:val="28"/>
          <w:szCs w:val="28"/>
          <w:lang w:val="uk-UA"/>
        </w:rPr>
        <w:t>Матеріали та методи дослідження</w:t>
      </w:r>
      <w:r w:rsidRPr="00C24853">
        <w:rPr>
          <w:sz w:val="28"/>
          <w:szCs w:val="28"/>
          <w:lang w:val="uk-UA"/>
        </w:rPr>
        <w:t>. Експериментальне дослідження проведено на</w:t>
      </w:r>
      <w:r w:rsidRPr="000F5317">
        <w:rPr>
          <w:sz w:val="28"/>
          <w:szCs w:val="28"/>
          <w:lang w:val="uk-UA"/>
        </w:rPr>
        <w:t xml:space="preserve"> кролях породи «Шиншила</w:t>
      </w:r>
      <w:r w:rsidR="002767A9">
        <w:rPr>
          <w:sz w:val="28"/>
          <w:szCs w:val="28"/>
          <w:lang w:val="uk-UA"/>
        </w:rPr>
        <w:t>»</w:t>
      </w:r>
      <w:r w:rsidRPr="000F5317">
        <w:rPr>
          <w:sz w:val="28"/>
          <w:szCs w:val="28"/>
          <w:lang w:val="uk-UA"/>
        </w:rPr>
        <w:t>. У якості кон</w:t>
      </w:r>
      <w:r w:rsidR="002767A9">
        <w:rPr>
          <w:sz w:val="28"/>
          <w:szCs w:val="28"/>
          <w:lang w:val="uk-UA"/>
        </w:rPr>
        <w:t>т</w:t>
      </w:r>
      <w:r w:rsidRPr="000F5317">
        <w:rPr>
          <w:sz w:val="28"/>
          <w:szCs w:val="28"/>
          <w:lang w:val="uk-UA"/>
        </w:rPr>
        <w:t xml:space="preserve">ролю використані тварини, які знаходились в умовах природньої зміни дня і ночі (n=7). Піддослідні тварини (n=17) знаходилися під дією тривалого цілодобового </w:t>
      </w:r>
      <w:r w:rsidR="00107683">
        <w:rPr>
          <w:sz w:val="28"/>
          <w:szCs w:val="28"/>
          <w:lang w:val="uk-UA"/>
        </w:rPr>
        <w:t>освітлення 5 та 11</w:t>
      </w:r>
      <w:r w:rsidRPr="000F5317">
        <w:rPr>
          <w:sz w:val="28"/>
          <w:szCs w:val="28"/>
          <w:lang w:val="uk-UA"/>
        </w:rPr>
        <w:t xml:space="preserve"> місяців</w:t>
      </w:r>
      <w:r w:rsidR="0060799A">
        <w:rPr>
          <w:sz w:val="28"/>
          <w:szCs w:val="28"/>
          <w:lang w:val="uk-UA"/>
        </w:rPr>
        <w:t xml:space="preserve"> та поділені на 2 групи. Перша</w:t>
      </w:r>
      <w:r w:rsidRPr="000F5317">
        <w:rPr>
          <w:sz w:val="28"/>
          <w:szCs w:val="28"/>
          <w:lang w:val="uk-UA"/>
        </w:rPr>
        <w:t xml:space="preserve"> г</w:t>
      </w:r>
      <w:r w:rsidR="00C24853">
        <w:rPr>
          <w:sz w:val="28"/>
          <w:szCs w:val="28"/>
          <w:lang w:val="uk-UA"/>
        </w:rPr>
        <w:t xml:space="preserve">рупа </w:t>
      </w:r>
      <w:r w:rsidR="0060799A">
        <w:rPr>
          <w:sz w:val="28"/>
          <w:szCs w:val="28"/>
          <w:lang w:val="uk-UA"/>
        </w:rPr>
        <w:t>(М-</w:t>
      </w:r>
      <w:r w:rsidR="00107683">
        <w:rPr>
          <w:sz w:val="28"/>
          <w:szCs w:val="28"/>
          <w:lang w:val="uk-UA"/>
        </w:rPr>
        <w:t>5</w:t>
      </w:r>
      <w:r w:rsidR="00240E85">
        <w:rPr>
          <w:sz w:val="28"/>
          <w:szCs w:val="28"/>
          <w:lang w:val="uk-UA"/>
        </w:rPr>
        <w:t>м)</w:t>
      </w:r>
      <w:r w:rsidR="00107683">
        <w:rPr>
          <w:sz w:val="28"/>
          <w:szCs w:val="28"/>
          <w:lang w:val="uk-UA"/>
        </w:rPr>
        <w:t xml:space="preserve"> після 5</w:t>
      </w:r>
      <w:r w:rsidRPr="000F5317">
        <w:rPr>
          <w:sz w:val="28"/>
          <w:szCs w:val="28"/>
          <w:lang w:val="uk-UA"/>
        </w:rPr>
        <w:t xml:space="preserve"> місяців цілодобового освітлення отримувала 10 </w:t>
      </w:r>
      <w:r w:rsidR="00C24853">
        <w:rPr>
          <w:sz w:val="28"/>
          <w:szCs w:val="28"/>
          <w:lang w:val="uk-UA"/>
        </w:rPr>
        <w:t xml:space="preserve">днів мелатонін, друга </w:t>
      </w:r>
      <w:r w:rsidR="0060799A">
        <w:rPr>
          <w:sz w:val="28"/>
          <w:szCs w:val="28"/>
          <w:lang w:val="uk-UA"/>
        </w:rPr>
        <w:t>(М-</w:t>
      </w:r>
      <w:r w:rsidR="00107683">
        <w:rPr>
          <w:sz w:val="28"/>
          <w:szCs w:val="28"/>
          <w:lang w:val="uk-UA"/>
        </w:rPr>
        <w:t>11</w:t>
      </w:r>
      <w:r w:rsidR="00240E85">
        <w:rPr>
          <w:sz w:val="28"/>
          <w:szCs w:val="28"/>
          <w:lang w:val="uk-UA"/>
        </w:rPr>
        <w:t xml:space="preserve">м) </w:t>
      </w:r>
      <w:r w:rsidR="00107683">
        <w:rPr>
          <w:sz w:val="28"/>
          <w:szCs w:val="28"/>
          <w:lang w:val="uk-UA"/>
        </w:rPr>
        <w:t>– після 11</w:t>
      </w:r>
      <w:r w:rsidRPr="000F5317">
        <w:rPr>
          <w:sz w:val="28"/>
          <w:szCs w:val="28"/>
          <w:lang w:val="uk-UA"/>
        </w:rPr>
        <w:t xml:space="preserve"> місяців цілодобового освітлення отримувала мелатонін протягом 14 днів</w:t>
      </w:r>
      <w:r w:rsidR="00240E85">
        <w:rPr>
          <w:sz w:val="28"/>
          <w:szCs w:val="28"/>
          <w:lang w:val="uk-UA"/>
        </w:rPr>
        <w:t xml:space="preserve">. </w:t>
      </w:r>
      <w:r w:rsidR="00240E85">
        <w:rPr>
          <w:sz w:val="28"/>
          <w:lang w:val="uk-UA"/>
        </w:rPr>
        <w:t xml:space="preserve">Препарат виробництва </w:t>
      </w:r>
      <w:r w:rsidR="00240E85" w:rsidRPr="000F5317">
        <w:rPr>
          <w:sz w:val="28"/>
          <w:szCs w:val="28"/>
          <w:lang w:val="uk-UA"/>
        </w:rPr>
        <w:t>«</w:t>
      </w:r>
      <w:r w:rsidR="00240E85">
        <w:rPr>
          <w:sz w:val="28"/>
          <w:lang w:val="en-US"/>
        </w:rPr>
        <w:t>Sigmа</w:t>
      </w:r>
      <w:r w:rsidR="00240E85">
        <w:rPr>
          <w:sz w:val="28"/>
        </w:rPr>
        <w:t>»</w:t>
      </w:r>
      <w:r w:rsidR="00240E85">
        <w:rPr>
          <w:sz w:val="28"/>
          <w:lang w:val="uk-UA"/>
        </w:rPr>
        <w:t xml:space="preserve"> (США) був</w:t>
      </w:r>
      <w:r w:rsidR="00240E85" w:rsidRPr="00727332">
        <w:rPr>
          <w:sz w:val="28"/>
          <w:lang w:val="uk-UA"/>
        </w:rPr>
        <w:t xml:space="preserve"> наданий Київським вітамінним заводом.</w:t>
      </w:r>
      <w:r w:rsidRPr="000F5317">
        <w:rPr>
          <w:sz w:val="28"/>
          <w:szCs w:val="28"/>
          <w:lang w:val="uk-UA"/>
        </w:rPr>
        <w:t xml:space="preserve"> Після вилучення тимус зважували та визначали співвідношення маси тимусу до маси кроля. </w:t>
      </w:r>
      <w:r w:rsidR="00B409E4">
        <w:rPr>
          <w:sz w:val="28"/>
          <w:szCs w:val="28"/>
          <w:lang w:val="uk-UA"/>
        </w:rPr>
        <w:t xml:space="preserve">У якості групи порівняння </w:t>
      </w:r>
      <w:r w:rsidR="00240E85">
        <w:rPr>
          <w:sz w:val="28"/>
          <w:szCs w:val="28"/>
          <w:lang w:val="uk-UA"/>
        </w:rPr>
        <w:t xml:space="preserve">також </w:t>
      </w:r>
      <w:r w:rsidR="00B409E4">
        <w:rPr>
          <w:sz w:val="28"/>
          <w:szCs w:val="28"/>
          <w:lang w:val="uk-UA"/>
        </w:rPr>
        <w:t xml:space="preserve">використані данні зважування тимусу кролів, що </w:t>
      </w:r>
      <w:r w:rsidR="0046161C">
        <w:rPr>
          <w:sz w:val="28"/>
          <w:szCs w:val="28"/>
          <w:lang w:val="uk-UA"/>
        </w:rPr>
        <w:t xml:space="preserve">тривалий час </w:t>
      </w:r>
      <w:r w:rsidR="00B409E4">
        <w:rPr>
          <w:sz w:val="28"/>
          <w:szCs w:val="28"/>
          <w:lang w:val="uk-UA"/>
        </w:rPr>
        <w:t xml:space="preserve">утримувалися в </w:t>
      </w:r>
      <w:r w:rsidR="0046161C">
        <w:rPr>
          <w:sz w:val="28"/>
          <w:szCs w:val="28"/>
          <w:lang w:val="uk-UA"/>
        </w:rPr>
        <w:t>умовах цілодобового освітлення</w:t>
      </w:r>
      <w:r w:rsidR="000B3895">
        <w:rPr>
          <w:sz w:val="28"/>
          <w:szCs w:val="28"/>
          <w:lang w:val="uk-UA"/>
        </w:rPr>
        <w:t xml:space="preserve"> </w:t>
      </w:r>
      <w:r w:rsidR="00240E85">
        <w:rPr>
          <w:sz w:val="28"/>
          <w:szCs w:val="28"/>
          <w:lang w:val="uk-UA"/>
        </w:rPr>
        <w:t>(</w:t>
      </w:r>
      <w:r w:rsidR="0046161C">
        <w:rPr>
          <w:sz w:val="28"/>
          <w:szCs w:val="28"/>
          <w:lang w:val="uk-UA"/>
        </w:rPr>
        <w:t xml:space="preserve">групи </w:t>
      </w:r>
      <w:r w:rsidR="0060799A">
        <w:rPr>
          <w:sz w:val="28"/>
          <w:szCs w:val="28"/>
          <w:lang w:val="uk-UA"/>
        </w:rPr>
        <w:t>ЦО-</w:t>
      </w:r>
      <w:r w:rsidR="0046161C">
        <w:rPr>
          <w:sz w:val="28"/>
          <w:szCs w:val="28"/>
          <w:lang w:val="uk-UA"/>
        </w:rPr>
        <w:t>5</w:t>
      </w:r>
      <w:r w:rsidR="00240E85">
        <w:rPr>
          <w:sz w:val="28"/>
          <w:szCs w:val="28"/>
          <w:lang w:val="uk-UA"/>
        </w:rPr>
        <w:t>м</w:t>
      </w:r>
      <w:r w:rsidR="0046161C">
        <w:rPr>
          <w:sz w:val="28"/>
          <w:szCs w:val="28"/>
          <w:lang w:val="uk-UA"/>
        </w:rPr>
        <w:t xml:space="preserve"> і </w:t>
      </w:r>
      <w:r w:rsidR="0060799A">
        <w:rPr>
          <w:sz w:val="28"/>
          <w:szCs w:val="28"/>
          <w:lang w:val="uk-UA"/>
        </w:rPr>
        <w:t>ЦО-</w:t>
      </w:r>
      <w:r w:rsidR="0046161C">
        <w:rPr>
          <w:sz w:val="28"/>
          <w:szCs w:val="28"/>
          <w:lang w:val="uk-UA"/>
        </w:rPr>
        <w:t>11</w:t>
      </w:r>
      <w:r w:rsidR="00240E85">
        <w:rPr>
          <w:sz w:val="28"/>
          <w:szCs w:val="28"/>
          <w:lang w:val="uk-UA"/>
        </w:rPr>
        <w:t xml:space="preserve">м) </w:t>
      </w:r>
      <w:r w:rsidR="00B409E4">
        <w:rPr>
          <w:sz w:val="28"/>
          <w:szCs w:val="28"/>
          <w:lang w:val="en-US"/>
        </w:rPr>
        <w:t>[</w:t>
      </w:r>
      <w:r w:rsidR="000B3895">
        <w:rPr>
          <w:sz w:val="28"/>
          <w:szCs w:val="28"/>
          <w:lang w:val="en-US"/>
        </w:rPr>
        <w:t>5</w:t>
      </w:r>
      <w:r w:rsidR="00240E85">
        <w:rPr>
          <w:sz w:val="28"/>
          <w:szCs w:val="28"/>
          <w:lang w:val="en-US"/>
        </w:rPr>
        <w:t>, 6</w:t>
      </w:r>
      <w:r w:rsidR="00B409E4">
        <w:rPr>
          <w:sz w:val="28"/>
          <w:szCs w:val="28"/>
          <w:lang w:val="en-US"/>
        </w:rPr>
        <w:t>].</w:t>
      </w:r>
      <w:r w:rsidR="00240E85">
        <w:rPr>
          <w:sz w:val="28"/>
          <w:szCs w:val="28"/>
          <w:lang w:val="uk-UA"/>
        </w:rPr>
        <w:t xml:space="preserve"> </w:t>
      </w:r>
      <w:r w:rsidR="0060799A">
        <w:rPr>
          <w:sz w:val="28"/>
          <w:szCs w:val="28"/>
          <w:lang w:val="uk-UA"/>
        </w:rPr>
        <w:t xml:space="preserve">Гістологічні </w:t>
      </w:r>
      <w:r w:rsidR="00B409E4">
        <w:rPr>
          <w:sz w:val="28"/>
          <w:szCs w:val="28"/>
          <w:lang w:val="uk-UA"/>
        </w:rPr>
        <w:t>препарати</w:t>
      </w:r>
      <w:r w:rsidR="0060799A">
        <w:rPr>
          <w:sz w:val="28"/>
          <w:szCs w:val="28"/>
          <w:lang w:val="uk-UA"/>
        </w:rPr>
        <w:t xml:space="preserve"> </w:t>
      </w:r>
      <w:r w:rsidRPr="000F5317">
        <w:rPr>
          <w:sz w:val="28"/>
          <w:szCs w:val="28"/>
          <w:lang w:val="uk-UA"/>
        </w:rPr>
        <w:t>зафарбов</w:t>
      </w:r>
      <w:r w:rsidR="0046161C">
        <w:rPr>
          <w:sz w:val="28"/>
          <w:szCs w:val="28"/>
          <w:lang w:val="uk-UA"/>
        </w:rPr>
        <w:t xml:space="preserve">увалися гематоксилін-еозином, </w:t>
      </w:r>
      <w:r w:rsidRPr="000F5317">
        <w:rPr>
          <w:sz w:val="28"/>
          <w:szCs w:val="28"/>
          <w:lang w:val="uk-UA"/>
        </w:rPr>
        <w:t>за методом Ван Гізон</w:t>
      </w:r>
      <w:r w:rsidR="0046161C">
        <w:rPr>
          <w:sz w:val="28"/>
          <w:szCs w:val="28"/>
          <w:lang w:val="uk-UA"/>
        </w:rPr>
        <w:t xml:space="preserve"> та Малорі</w:t>
      </w:r>
      <w:r w:rsidRPr="000F5317">
        <w:rPr>
          <w:sz w:val="28"/>
          <w:szCs w:val="28"/>
          <w:lang w:val="uk-UA"/>
        </w:rPr>
        <w:t xml:space="preserve">. Мікроскопічне дослідження проводили на мікроскопі Olympus BX-41. </w:t>
      </w:r>
      <w:r w:rsidR="00B409E4">
        <w:rPr>
          <w:sz w:val="28"/>
          <w:szCs w:val="28"/>
          <w:lang w:val="uk-UA"/>
        </w:rPr>
        <w:t xml:space="preserve">Експеримент проведений у відповідності до положення Європейської конвенції про захист тварин, </w:t>
      </w:r>
      <w:r w:rsidR="00240E85">
        <w:rPr>
          <w:sz w:val="28"/>
          <w:szCs w:val="28"/>
          <w:lang w:val="uk-UA"/>
        </w:rPr>
        <w:t>використовувани</w:t>
      </w:r>
      <w:r w:rsidR="00B409E4">
        <w:rPr>
          <w:sz w:val="28"/>
          <w:szCs w:val="28"/>
          <w:lang w:val="uk-UA"/>
        </w:rPr>
        <w:t xml:space="preserve">х у експериментальних дослідженнях  </w:t>
      </w:r>
      <w:r w:rsidR="00B409E4">
        <w:rPr>
          <w:sz w:val="28"/>
          <w:szCs w:val="28"/>
        </w:rPr>
        <w:t>(Страсбург, 1986 г</w:t>
      </w:r>
      <w:r w:rsidR="00B409E4" w:rsidRPr="00B409E4">
        <w:rPr>
          <w:sz w:val="28"/>
          <w:szCs w:val="28"/>
          <w:lang w:val="uk-UA"/>
        </w:rPr>
        <w:t>.), Директиви</w:t>
      </w:r>
      <w:r w:rsidR="00B409E4">
        <w:rPr>
          <w:sz w:val="28"/>
          <w:szCs w:val="28"/>
        </w:rPr>
        <w:t xml:space="preserve"> Ради </w:t>
      </w:r>
      <w:r w:rsidR="00B409E4" w:rsidRPr="00B409E4">
        <w:rPr>
          <w:sz w:val="28"/>
          <w:szCs w:val="28"/>
          <w:lang w:val="uk-UA"/>
        </w:rPr>
        <w:t>Європи 86/609/ЕЕС (1986 г.),</w:t>
      </w:r>
      <w:r w:rsidR="00B409E4">
        <w:rPr>
          <w:sz w:val="28"/>
          <w:szCs w:val="28"/>
          <w:lang w:val="uk-UA"/>
        </w:rPr>
        <w:t xml:space="preserve"> Законом України </w:t>
      </w:r>
      <w:r w:rsidR="00B409E4">
        <w:rPr>
          <w:sz w:val="28"/>
          <w:szCs w:val="28"/>
        </w:rPr>
        <w:t>№ 3447 – IV</w:t>
      </w:r>
      <w:r w:rsidR="00B409E4" w:rsidRPr="0033505A">
        <w:rPr>
          <w:sz w:val="28"/>
          <w:szCs w:val="28"/>
        </w:rPr>
        <w:t xml:space="preserve"> </w:t>
      </w:r>
      <w:r w:rsidR="00B409E4">
        <w:rPr>
          <w:sz w:val="28"/>
          <w:szCs w:val="28"/>
          <w:lang w:val="uk-UA"/>
        </w:rPr>
        <w:t xml:space="preserve">«Про захист тварин від жорсткого поводження». </w:t>
      </w:r>
    </w:p>
    <w:p w14:paraId="47281853" w14:textId="28F2983D" w:rsidR="000F5317" w:rsidRPr="00B409E4" w:rsidRDefault="00B409E4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виконано у рамках НДР </w:t>
      </w:r>
      <w:r w:rsidR="000F5317">
        <w:rPr>
          <w:sz w:val="28"/>
          <w:szCs w:val="28"/>
        </w:rPr>
        <w:t>«</w:t>
      </w:r>
      <w:r w:rsidR="000F5317">
        <w:rPr>
          <w:sz w:val="28"/>
          <w:szCs w:val="28"/>
          <w:lang w:val="uk-UA"/>
        </w:rPr>
        <w:t>Дослідити механізми прискореного старіння при гіпопінеаліз</w:t>
      </w:r>
      <w:r w:rsidR="0060799A">
        <w:rPr>
          <w:sz w:val="28"/>
          <w:szCs w:val="28"/>
          <w:lang w:val="uk-UA"/>
        </w:rPr>
        <w:t>мі: хронобіологічні аспекти» (№ державної</w:t>
      </w:r>
      <w:r w:rsidR="0046161C">
        <w:rPr>
          <w:sz w:val="28"/>
          <w:szCs w:val="28"/>
          <w:lang w:val="uk-UA"/>
        </w:rPr>
        <w:t xml:space="preserve"> реє</w:t>
      </w:r>
      <w:r w:rsidR="0060799A" w:rsidRPr="0046161C">
        <w:rPr>
          <w:sz w:val="28"/>
          <w:szCs w:val="28"/>
          <w:lang w:val="uk-UA"/>
        </w:rPr>
        <w:t>страції</w:t>
      </w:r>
      <w:r w:rsidR="000F5317">
        <w:rPr>
          <w:sz w:val="28"/>
          <w:szCs w:val="28"/>
          <w:lang w:val="uk-UA"/>
        </w:rPr>
        <w:t xml:space="preserve"> 0113</w:t>
      </w:r>
      <w:r w:rsidR="000F5317">
        <w:rPr>
          <w:sz w:val="28"/>
          <w:szCs w:val="28"/>
        </w:rPr>
        <w:t>U</w:t>
      </w:r>
      <w:r w:rsidR="000F5317" w:rsidRPr="001F3501">
        <w:rPr>
          <w:sz w:val="28"/>
          <w:szCs w:val="28"/>
        </w:rPr>
        <w:t>001282</w:t>
      </w:r>
      <w:r w:rsidR="000F531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14:paraId="4F45204C" w14:textId="18AA171F" w:rsidR="007757E6" w:rsidRDefault="007757E6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9E4">
        <w:rPr>
          <w:b/>
          <w:sz w:val="28"/>
          <w:szCs w:val="28"/>
          <w:lang w:val="uk-UA"/>
        </w:rPr>
        <w:t>Результати</w:t>
      </w:r>
      <w:r w:rsidR="00B409E4">
        <w:rPr>
          <w:b/>
          <w:sz w:val="28"/>
          <w:szCs w:val="28"/>
          <w:lang w:val="uk-UA"/>
        </w:rPr>
        <w:t xml:space="preserve"> дослідження</w:t>
      </w:r>
      <w:r w:rsidR="00B409E4" w:rsidRPr="00B409E4">
        <w:rPr>
          <w:b/>
          <w:sz w:val="28"/>
          <w:szCs w:val="28"/>
          <w:lang w:val="uk-UA"/>
        </w:rPr>
        <w:t>.</w:t>
      </w:r>
      <w:r w:rsidR="00B409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виявлено достовірних розбіжностей між масою тимуса у піддослідних тварин у порівнянні з інтактними кролями (див. табл.</w:t>
      </w:r>
      <w:r w:rsidR="00B409E4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), але спостерігається тенденція до зменшення маси тимуса під впливом тривалого світлового навантаж</w:t>
      </w:r>
      <w:r w:rsidR="00CF2AF9">
        <w:rPr>
          <w:sz w:val="28"/>
          <w:szCs w:val="28"/>
          <w:lang w:val="uk-UA"/>
        </w:rPr>
        <w:t>ення (особливо виражена</w:t>
      </w:r>
      <w:r w:rsidR="0046161C">
        <w:rPr>
          <w:sz w:val="28"/>
          <w:szCs w:val="28"/>
          <w:lang w:val="uk-UA"/>
        </w:rPr>
        <w:t xml:space="preserve"> після 11</w:t>
      </w:r>
      <w:r>
        <w:rPr>
          <w:sz w:val="28"/>
          <w:szCs w:val="28"/>
          <w:lang w:val="uk-UA"/>
        </w:rPr>
        <w:t xml:space="preserve"> місяців цілодобового освітлення). Але при вживанні мелатоніну темпи зниження маси органу уповільнюються.</w:t>
      </w:r>
    </w:p>
    <w:p w14:paraId="35A06B41" w14:textId="6B281AF2" w:rsidR="007757E6" w:rsidRPr="00AA2AE8" w:rsidRDefault="007757E6" w:rsidP="007757E6">
      <w:pPr>
        <w:spacing w:line="360" w:lineRule="auto"/>
        <w:jc w:val="both"/>
        <w:rPr>
          <w:sz w:val="28"/>
          <w:lang w:val="uk-UA"/>
        </w:rPr>
      </w:pPr>
      <w:r w:rsidRPr="002365F5">
        <w:rPr>
          <w:b/>
          <w:sz w:val="28"/>
          <w:lang w:val="uk-UA"/>
        </w:rPr>
        <w:t>Таблиця</w:t>
      </w:r>
      <w:r w:rsidR="00B409E4" w:rsidRPr="002365F5">
        <w:rPr>
          <w:b/>
          <w:sz w:val="28"/>
          <w:lang w:val="uk-UA"/>
        </w:rPr>
        <w:t xml:space="preserve"> 1.</w:t>
      </w:r>
      <w:r w:rsidR="00B409E4">
        <w:rPr>
          <w:sz w:val="28"/>
          <w:lang w:val="uk-UA"/>
        </w:rPr>
        <w:t xml:space="preserve"> </w:t>
      </w:r>
      <w:r w:rsidRPr="00AA2AE8">
        <w:rPr>
          <w:sz w:val="28"/>
          <w:lang w:val="uk-UA"/>
        </w:rPr>
        <w:t xml:space="preserve">Маса </w:t>
      </w:r>
      <w:r>
        <w:rPr>
          <w:sz w:val="28"/>
          <w:lang w:val="uk-UA"/>
        </w:rPr>
        <w:t>тимуса</w:t>
      </w:r>
      <w:r w:rsidRPr="00AA2AE8">
        <w:rPr>
          <w:sz w:val="28"/>
          <w:lang w:val="uk-UA"/>
        </w:rPr>
        <w:t xml:space="preserve"> кролів</w:t>
      </w:r>
      <w:r w:rsidR="00B409E4">
        <w:rPr>
          <w:sz w:val="28"/>
          <w:lang w:val="uk-UA"/>
        </w:rPr>
        <w:t xml:space="preserve"> (г)</w:t>
      </w:r>
      <w:r w:rsidRPr="00AA2AE8">
        <w:rPr>
          <w:sz w:val="28"/>
          <w:lang w:val="uk-UA"/>
        </w:rPr>
        <w:t xml:space="preserve"> і відношення маси </w:t>
      </w:r>
      <w:r>
        <w:rPr>
          <w:sz w:val="28"/>
          <w:lang w:val="uk-UA"/>
        </w:rPr>
        <w:t>тимуса</w:t>
      </w:r>
      <w:r w:rsidRPr="00AA2AE8">
        <w:rPr>
          <w:sz w:val="28"/>
          <w:lang w:val="uk-UA"/>
        </w:rPr>
        <w:t xml:space="preserve"> до маси кролів</w:t>
      </w:r>
      <w:r w:rsidR="00B409E4">
        <w:rPr>
          <w:sz w:val="28"/>
          <w:lang w:val="uk-UA"/>
        </w:rPr>
        <w:t xml:space="preserve"> (%)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513"/>
        <w:gridCol w:w="3578"/>
        <w:gridCol w:w="3543"/>
      </w:tblGrid>
      <w:tr w:rsidR="0046161C" w:rsidRPr="000D0EAE" w14:paraId="3442B739" w14:textId="77777777" w:rsidTr="0046161C">
        <w:tc>
          <w:tcPr>
            <w:tcW w:w="2513" w:type="dxa"/>
          </w:tcPr>
          <w:p w14:paraId="663F7AA5" w14:textId="728F65CC" w:rsidR="007757E6" w:rsidRPr="00585BBA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3578" w:type="dxa"/>
          </w:tcPr>
          <w:p w14:paraId="2C510A92" w14:textId="7F1F28EC" w:rsidR="007757E6" w:rsidRPr="000D0EAE" w:rsidRDefault="0060799A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</w:t>
            </w:r>
          </w:p>
        </w:tc>
        <w:tc>
          <w:tcPr>
            <w:tcW w:w="3543" w:type="dxa"/>
          </w:tcPr>
          <w:p w14:paraId="3C0F5BD4" w14:textId="1F375C4B" w:rsidR="007757E6" w:rsidRPr="000D0EAE" w:rsidRDefault="0060799A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МТ</w:t>
            </w:r>
            <w:r w:rsidR="00B409E4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МК</w:t>
            </w:r>
          </w:p>
        </w:tc>
      </w:tr>
      <w:tr w:rsidR="0046161C" w:rsidRPr="000D0EAE" w14:paraId="0C26446F" w14:textId="77777777" w:rsidTr="0046161C">
        <w:tc>
          <w:tcPr>
            <w:tcW w:w="2513" w:type="dxa"/>
          </w:tcPr>
          <w:p w14:paraId="7E7BCC10" w14:textId="094D8F4F" w:rsidR="007757E6" w:rsidRPr="000D0EAE" w:rsidRDefault="0060799A" w:rsidP="007757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t>Контроль</w:t>
            </w:r>
          </w:p>
        </w:tc>
        <w:tc>
          <w:tcPr>
            <w:tcW w:w="3578" w:type="dxa"/>
          </w:tcPr>
          <w:p w14:paraId="6E507127" w14:textId="77777777" w:rsidR="007757E6" w:rsidRPr="000D0EAE" w:rsidRDefault="007757E6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D0EAE">
              <w:rPr>
                <w:sz w:val="28"/>
                <w:szCs w:val="28"/>
              </w:rPr>
              <w:t>5,1 ± 0,3</w:t>
            </w:r>
          </w:p>
        </w:tc>
        <w:tc>
          <w:tcPr>
            <w:tcW w:w="3543" w:type="dxa"/>
          </w:tcPr>
          <w:p w14:paraId="1F11E260" w14:textId="2CB7DEC4" w:rsidR="007757E6" w:rsidRPr="000D0EAE" w:rsidRDefault="007757E6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46161C" w:rsidRPr="000D0EAE" w14:paraId="01977512" w14:textId="77777777" w:rsidTr="0046161C">
        <w:tc>
          <w:tcPr>
            <w:tcW w:w="2513" w:type="dxa"/>
          </w:tcPr>
          <w:p w14:paraId="331C1BB5" w14:textId="31724AA0" w:rsidR="007757E6" w:rsidRPr="000D0EAE" w:rsidRDefault="00240E85" w:rsidP="007757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0799A">
              <w:rPr>
                <w:sz w:val="28"/>
                <w:szCs w:val="28"/>
              </w:rPr>
              <w:t>-</w:t>
            </w:r>
            <w:r w:rsidR="0046161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м</w:t>
            </w:r>
            <w:r w:rsidR="007757E6">
              <w:rPr>
                <w:sz w:val="28"/>
                <w:szCs w:val="28"/>
                <w:lang w:val="uk-UA"/>
              </w:rPr>
              <w:t xml:space="preserve"> </w:t>
            </w:r>
            <w:r w:rsidR="00775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</w:tcPr>
          <w:p w14:paraId="585FD03C" w14:textId="77777777" w:rsidR="007757E6" w:rsidRPr="00585BBA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 xml:space="preserve"> ± 0</w:t>
            </w:r>
            <w:r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3543" w:type="dxa"/>
          </w:tcPr>
          <w:p w14:paraId="6EC473B2" w14:textId="77777777" w:rsidR="007757E6" w:rsidRPr="00585BBA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6161C" w:rsidRPr="000D0EAE" w14:paraId="066B3B33" w14:textId="77777777" w:rsidTr="0046161C">
        <w:trPr>
          <w:trHeight w:val="491"/>
        </w:trPr>
        <w:tc>
          <w:tcPr>
            <w:tcW w:w="2513" w:type="dxa"/>
          </w:tcPr>
          <w:p w14:paraId="2A72DB54" w14:textId="57E97A69" w:rsidR="007757E6" w:rsidRPr="000D0EAE" w:rsidRDefault="0060799A" w:rsidP="007757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М-</w:t>
            </w:r>
            <w:r w:rsidR="0046161C">
              <w:rPr>
                <w:sz w:val="28"/>
                <w:szCs w:val="28"/>
              </w:rPr>
              <w:t>11</w:t>
            </w:r>
            <w:r w:rsidR="00240E85">
              <w:rPr>
                <w:sz w:val="28"/>
                <w:szCs w:val="28"/>
              </w:rPr>
              <w:t>м</w:t>
            </w:r>
            <w:r w:rsidR="007757E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78" w:type="dxa"/>
          </w:tcPr>
          <w:p w14:paraId="1354EA4E" w14:textId="77777777" w:rsidR="007757E6" w:rsidRPr="00585BBA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D0E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1</w:t>
            </w:r>
            <w:r w:rsidRPr="000D0EAE">
              <w:rPr>
                <w:sz w:val="28"/>
                <w:szCs w:val="28"/>
              </w:rPr>
              <w:t xml:space="preserve"> ± 0,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14:paraId="3BAD6793" w14:textId="24E9C724" w:rsidR="007757E6" w:rsidRPr="000D0EAE" w:rsidRDefault="007757E6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  <w:lang w:val="uk-UA"/>
              </w:rPr>
              <w:t>09</w:t>
            </w:r>
          </w:p>
        </w:tc>
      </w:tr>
      <w:tr w:rsidR="0046161C" w:rsidRPr="000D0EAE" w14:paraId="5AC4F2C4" w14:textId="77777777" w:rsidTr="0046161C">
        <w:tc>
          <w:tcPr>
            <w:tcW w:w="2513" w:type="dxa"/>
          </w:tcPr>
          <w:p w14:paraId="5ACAC594" w14:textId="1FEA0B24" w:rsidR="007757E6" w:rsidRDefault="00B409E4" w:rsidP="007757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</w:t>
            </w:r>
            <w:r w:rsidR="0060799A">
              <w:rPr>
                <w:sz w:val="28"/>
                <w:szCs w:val="28"/>
              </w:rPr>
              <w:t>-</w:t>
            </w:r>
            <w:r w:rsidR="0046161C">
              <w:rPr>
                <w:sz w:val="28"/>
                <w:szCs w:val="28"/>
              </w:rPr>
              <w:t>5</w:t>
            </w:r>
            <w:r w:rsidR="00240E85">
              <w:rPr>
                <w:sz w:val="28"/>
                <w:szCs w:val="28"/>
              </w:rPr>
              <w:t>м</w:t>
            </w:r>
          </w:p>
        </w:tc>
        <w:tc>
          <w:tcPr>
            <w:tcW w:w="3578" w:type="dxa"/>
          </w:tcPr>
          <w:p w14:paraId="300AA57E" w14:textId="77777777" w:rsidR="007757E6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D0E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 w:rsidRPr="000D0EAE">
              <w:rPr>
                <w:sz w:val="28"/>
                <w:szCs w:val="28"/>
              </w:rPr>
              <w:t xml:space="preserve"> ± 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237BADBD" w14:textId="77777777" w:rsidR="007757E6" w:rsidRDefault="007757E6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6161C" w:rsidRPr="000D0EAE" w14:paraId="7751FA19" w14:textId="77777777" w:rsidTr="0046161C">
        <w:tc>
          <w:tcPr>
            <w:tcW w:w="2513" w:type="dxa"/>
          </w:tcPr>
          <w:p w14:paraId="50A23181" w14:textId="30E6B493" w:rsidR="007757E6" w:rsidRDefault="00B409E4" w:rsidP="007757E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7757E6">
              <w:rPr>
                <w:sz w:val="28"/>
                <w:szCs w:val="28"/>
              </w:rPr>
              <w:t>О</w:t>
            </w:r>
            <w:r w:rsidR="0060799A">
              <w:rPr>
                <w:sz w:val="28"/>
                <w:szCs w:val="28"/>
              </w:rPr>
              <w:t>-</w:t>
            </w:r>
            <w:r w:rsidR="0046161C">
              <w:rPr>
                <w:sz w:val="28"/>
                <w:szCs w:val="28"/>
              </w:rPr>
              <w:t>11</w:t>
            </w:r>
            <w:r w:rsidR="00240E85">
              <w:rPr>
                <w:sz w:val="28"/>
                <w:szCs w:val="28"/>
              </w:rPr>
              <w:t>м</w:t>
            </w:r>
          </w:p>
        </w:tc>
        <w:tc>
          <w:tcPr>
            <w:tcW w:w="3578" w:type="dxa"/>
          </w:tcPr>
          <w:p w14:paraId="7951F5B4" w14:textId="77777777" w:rsidR="007757E6" w:rsidRDefault="007757E6" w:rsidP="00B409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1,3 </w:t>
            </w:r>
            <w:r w:rsidRPr="000D0EAE">
              <w:rPr>
                <w:sz w:val="28"/>
                <w:szCs w:val="28"/>
              </w:rPr>
              <w:t>± 0,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3" w:type="dxa"/>
          </w:tcPr>
          <w:p w14:paraId="584C0468" w14:textId="77777777" w:rsidR="007757E6" w:rsidRDefault="007757E6" w:rsidP="00B409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</w:tbl>
    <w:p w14:paraId="1EF475A3" w14:textId="7DC7224A" w:rsidR="007757E6" w:rsidRDefault="007757E6" w:rsidP="002365F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Мікроскопічно сполучнотканинна </w:t>
      </w:r>
      <w:r w:rsidR="0060799A">
        <w:rPr>
          <w:sz w:val="28"/>
          <w:szCs w:val="28"/>
          <w:lang w:val="uk-UA"/>
        </w:rPr>
        <w:t xml:space="preserve">капсула у піддослідних тварин </w:t>
      </w:r>
      <w:r>
        <w:rPr>
          <w:sz w:val="28"/>
          <w:szCs w:val="28"/>
          <w:lang w:val="uk-UA"/>
        </w:rPr>
        <w:t xml:space="preserve">групи </w:t>
      </w:r>
      <w:r w:rsidR="0046161C">
        <w:rPr>
          <w:sz w:val="28"/>
          <w:szCs w:val="28"/>
          <w:lang w:val="uk-UA"/>
        </w:rPr>
        <w:t xml:space="preserve">  </w:t>
      </w:r>
      <w:r w:rsidR="0060799A">
        <w:rPr>
          <w:sz w:val="28"/>
          <w:szCs w:val="28"/>
          <w:lang w:val="uk-UA"/>
        </w:rPr>
        <w:t>М-</w:t>
      </w:r>
      <w:r w:rsidR="0046161C">
        <w:rPr>
          <w:sz w:val="28"/>
          <w:szCs w:val="28"/>
          <w:lang w:val="uk-UA"/>
        </w:rPr>
        <w:t>5</w:t>
      </w:r>
      <w:r w:rsidR="0060799A">
        <w:rPr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була тонкою, пухкою з невеликою кількістю клітинних елементів. Судини переважно були розширені, повнокровні. Від капсули у середину органу відходили септи з ознаками набряку, які розділяли паренхіму на часточки округлої і полігональної форми. Часточки переважно невеликі, відзначалися осередки жирової інволюції. Коркова речовина представлена широкопетлястою мережею епітеліальних клітин</w:t>
      </w:r>
      <w:r w:rsidR="0060799A">
        <w:rPr>
          <w:sz w:val="28"/>
          <w:szCs w:val="28"/>
          <w:lang w:val="uk-UA"/>
        </w:rPr>
        <w:t>, між якими</w:t>
      </w:r>
      <w:r>
        <w:rPr>
          <w:sz w:val="28"/>
          <w:szCs w:val="28"/>
          <w:lang w:val="uk-UA"/>
        </w:rPr>
        <w:t xml:space="preserve"> розташовані лімфоцити з високою щільністю, представленими дрібними та середніми лімфоцитами з гіперхромними ядрами та вузьким обідком цитоплазми. Місцями в окремих часточках відзначалася проліферація лімфобластів та макрофагів та міграція окремих лімфоцитів з коркової речовини у мозкову. Між корковою та мозковою речовиною відзначалася чітка межа. Мозкова речовина виглядала світлішою, порівняно з корою</w:t>
      </w:r>
      <w:r w:rsidR="006079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</w:t>
      </w:r>
      <w:r w:rsidR="0060799A">
        <w:rPr>
          <w:sz w:val="28"/>
          <w:szCs w:val="28"/>
          <w:lang w:val="uk-UA"/>
        </w:rPr>
        <w:t>меншої</w:t>
      </w:r>
      <w:r>
        <w:rPr>
          <w:sz w:val="28"/>
          <w:szCs w:val="28"/>
          <w:lang w:val="uk-UA"/>
        </w:rPr>
        <w:t xml:space="preserve"> щільності клітин. У середній частині медулярної зони визначалися поодинокі еозинофільні дрібні тимічні тільця.</w:t>
      </w:r>
    </w:p>
    <w:p w14:paraId="2351BF11" w14:textId="409E63BF" w:rsidR="007757E6" w:rsidRDefault="0060799A" w:rsidP="007757E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Тимус піддослідних тварин </w:t>
      </w:r>
      <w:r w:rsidR="007757E6">
        <w:rPr>
          <w:sz w:val="28"/>
          <w:szCs w:val="28"/>
          <w:lang w:val="uk-UA"/>
        </w:rPr>
        <w:t>групи</w:t>
      </w:r>
      <w:r w:rsidR="0046161C">
        <w:rPr>
          <w:sz w:val="28"/>
          <w:szCs w:val="28"/>
          <w:lang w:val="uk-UA"/>
        </w:rPr>
        <w:t xml:space="preserve"> М-11</w:t>
      </w:r>
      <w:r w:rsidR="00A17E5C">
        <w:rPr>
          <w:sz w:val="28"/>
          <w:szCs w:val="28"/>
          <w:lang w:val="uk-UA"/>
        </w:rPr>
        <w:t>м</w:t>
      </w:r>
      <w:r w:rsidR="007757E6">
        <w:rPr>
          <w:sz w:val="28"/>
          <w:szCs w:val="28"/>
          <w:lang w:val="uk-UA"/>
        </w:rPr>
        <w:t xml:space="preserve"> представлений дрібними часточками, оточеними широкими набряклими сполучнотканинними прошарками. Велика кількість часточок з ознаками ліпоматозу й склерозу, що виявляється при забарвленні за методом Ван Гізон. Кортико-медулярне диференціювання було практично відсутнє. В корковому прошарку відзначалася осередкова втрата лімфоцитів та велика кількість макрофагів з фагоцитованими лімфоцитами усередині. Також була велика кількість дистрофічно та некротично змінених тимоцитів. У мозковій речовині тимуса щільність клітин кілька менше, ніж у корковому. Зустрічалися дрібні тимічні тільця, але кількість їх була невелика і не в усіх часточках.  </w:t>
      </w:r>
    </w:p>
    <w:p w14:paraId="121BA248" w14:textId="2006E910" w:rsidR="007757E6" w:rsidRDefault="007757E6" w:rsidP="00B409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409E4">
        <w:rPr>
          <w:b/>
          <w:sz w:val="28"/>
          <w:lang w:val="uk-UA"/>
        </w:rPr>
        <w:t>Висновки.</w:t>
      </w:r>
      <w:r>
        <w:rPr>
          <w:sz w:val="28"/>
          <w:lang w:val="uk-UA"/>
        </w:rPr>
        <w:t xml:space="preserve"> При вживанні мелатоніну у піддослідних тварин уповільнюються темпи зниження маси тимуса, обумовлені тривалим цілодобовим освітленням</w:t>
      </w:r>
      <w:r w:rsidRPr="002A20F0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B409E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кролів, що отримували мелатонін, виявлені ознаки акцидентальної трансформації тимуса з наявністю поодиноких тимічних тілець, що є най</w:t>
      </w:r>
      <w:r w:rsidR="00A17E5C">
        <w:rPr>
          <w:sz w:val="28"/>
          <w:szCs w:val="28"/>
          <w:lang w:val="uk-UA"/>
        </w:rPr>
        <w:t>більш вираженим у тварин, які вживали мелатонін двотижневим курсом</w:t>
      </w:r>
      <w:r>
        <w:rPr>
          <w:sz w:val="28"/>
          <w:szCs w:val="28"/>
          <w:lang w:val="uk-UA"/>
        </w:rPr>
        <w:t>. Ці зміни, що пов’язані з міграцією лімфоцитів з коркової в медулярну зону й кровоток, свідчать про</w:t>
      </w:r>
      <w:r w:rsidR="00B409E4">
        <w:rPr>
          <w:sz w:val="28"/>
          <w:szCs w:val="28"/>
          <w:lang w:val="uk-UA"/>
        </w:rPr>
        <w:t xml:space="preserve"> активізацію центрального органу</w:t>
      </w:r>
      <w:r>
        <w:rPr>
          <w:sz w:val="28"/>
          <w:szCs w:val="28"/>
          <w:lang w:val="uk-UA"/>
        </w:rPr>
        <w:t xml:space="preserve"> імунної сист</w:t>
      </w:r>
      <w:r w:rsidR="00A17E5C">
        <w:rPr>
          <w:sz w:val="28"/>
          <w:szCs w:val="28"/>
          <w:lang w:val="uk-UA"/>
        </w:rPr>
        <w:t xml:space="preserve">еми під впливом екзогенного </w:t>
      </w:r>
      <w:r>
        <w:rPr>
          <w:sz w:val="28"/>
          <w:szCs w:val="28"/>
          <w:lang w:val="uk-UA"/>
        </w:rPr>
        <w:t xml:space="preserve">мелатоніну. Здатність тимуса до відродження паренхіми після тривалого пригнічення, обумовленого </w:t>
      </w:r>
      <w:r w:rsidR="00CF2AF9">
        <w:rPr>
          <w:sz w:val="28"/>
          <w:szCs w:val="28"/>
          <w:lang w:val="uk-UA"/>
        </w:rPr>
        <w:t>хронічним</w:t>
      </w:r>
      <w:bookmarkStart w:id="0" w:name="_GoBack"/>
      <w:bookmarkEnd w:id="0"/>
      <w:r>
        <w:rPr>
          <w:sz w:val="28"/>
          <w:szCs w:val="28"/>
          <w:lang w:val="uk-UA"/>
        </w:rPr>
        <w:t xml:space="preserve"> світловим стресом, є досить позитивним у прогностичному плані.</w:t>
      </w:r>
    </w:p>
    <w:p w14:paraId="492D52FC" w14:textId="09A9C661" w:rsidR="007757E6" w:rsidRDefault="00486C8C" w:rsidP="007757E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6C8C">
        <w:rPr>
          <w:b/>
          <w:sz w:val="28"/>
          <w:szCs w:val="28"/>
          <w:lang w:val="uk-UA"/>
        </w:rPr>
        <w:t>Література.</w:t>
      </w:r>
    </w:p>
    <w:p w14:paraId="57407889" w14:textId="77777777" w:rsidR="00A00BFC" w:rsidRPr="00166BFB" w:rsidRDefault="00A00BFC" w:rsidP="00A00BF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color="262626"/>
        </w:rPr>
      </w:pPr>
      <w:r w:rsidRPr="00166BFB">
        <w:rPr>
          <w:bCs/>
          <w:sz w:val="28"/>
          <w:szCs w:val="28"/>
          <w:u w:color="262626"/>
        </w:rPr>
        <w:t xml:space="preserve">Preuss F. </w:t>
      </w:r>
      <w:r w:rsidRPr="00A17E5C">
        <w:rPr>
          <w:bCs/>
          <w:sz w:val="28"/>
          <w:szCs w:val="28"/>
          <w:u w:color="262626"/>
          <w:lang w:val="en-US"/>
        </w:rPr>
        <w:t>Adverse effects of chronic circadian desynchronization in animals in a "challenging" environment / F. Preuss, Y. Tang, A.D. Laposky [et al.]  // American Journal of Physiology</w:t>
      </w:r>
      <w:r>
        <w:rPr>
          <w:bCs/>
          <w:sz w:val="28"/>
          <w:szCs w:val="28"/>
          <w:u w:color="262626"/>
        </w:rPr>
        <w:t xml:space="preserve">. – 2008. – V. 295, </w:t>
      </w:r>
      <w:r w:rsidRPr="00A6231C">
        <w:rPr>
          <w:bCs/>
          <w:sz w:val="28"/>
          <w:szCs w:val="28"/>
          <w:u w:color="262626"/>
        </w:rPr>
        <w:t>№</w:t>
      </w:r>
      <w:r w:rsidRPr="00166BFB">
        <w:rPr>
          <w:bCs/>
          <w:sz w:val="28"/>
          <w:szCs w:val="28"/>
          <w:u w:color="262626"/>
        </w:rPr>
        <w:t xml:space="preserve"> 6. – P. 2034-2040.</w:t>
      </w:r>
    </w:p>
    <w:p w14:paraId="2DBE987A" w14:textId="3A912405" w:rsidR="00486C8C" w:rsidRPr="00486C8C" w:rsidRDefault="00486C8C" w:rsidP="0004515F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Karasek M. Melatonin, human aging and age-related disease / M. Karasek // </w:t>
      </w:r>
      <w:r w:rsidR="00A17E5C">
        <w:rPr>
          <w:sz w:val="28"/>
          <w:szCs w:val="28"/>
          <w:lang w:val="en-US"/>
        </w:rPr>
        <w:t xml:space="preserve">Experimental </w:t>
      </w:r>
      <w:r>
        <w:rPr>
          <w:sz w:val="28"/>
          <w:szCs w:val="28"/>
          <w:lang w:val="en-US"/>
        </w:rPr>
        <w:t>Gerontol</w:t>
      </w:r>
      <w:r w:rsidR="00A17E5C">
        <w:rPr>
          <w:sz w:val="28"/>
          <w:szCs w:val="28"/>
          <w:lang w:val="en-US"/>
        </w:rPr>
        <w:t>ogy</w:t>
      </w:r>
      <w:r>
        <w:rPr>
          <w:sz w:val="28"/>
          <w:szCs w:val="28"/>
          <w:lang w:val="en-US"/>
        </w:rPr>
        <w:t xml:space="preserve"> – 2004. – V. 39, </w:t>
      </w:r>
      <w:r>
        <w:rPr>
          <w:sz w:val="28"/>
          <w:szCs w:val="28"/>
        </w:rPr>
        <w:t>№ 11-12. – P. 1723 – 1729.</w:t>
      </w:r>
    </w:p>
    <w:p w14:paraId="448E1C5E" w14:textId="77777777" w:rsidR="00A00BFC" w:rsidRPr="00A00BFC" w:rsidRDefault="00486C8C" w:rsidP="0004515F">
      <w:pPr>
        <w:pStyle w:val="ListParagraph"/>
        <w:numPr>
          <w:ilvl w:val="0"/>
          <w:numId w:val="3"/>
        </w:numPr>
        <w:spacing w:line="360" w:lineRule="auto"/>
        <w:ind w:left="35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Кветная Т.В. Мелатонин – молекулярный маркер старения и заболеваний, ассоциированных с возрастом / Т.В. Кветная, К.И. Прощаев, И.М. Кветной // Российский медицинский форум. – 2007. </w:t>
      </w:r>
      <w:r w:rsidR="00A00BFC">
        <w:rPr>
          <w:sz w:val="28"/>
          <w:szCs w:val="28"/>
        </w:rPr>
        <w:t>- № 3. – С. 26-29.</w:t>
      </w:r>
    </w:p>
    <w:p w14:paraId="39171526" w14:textId="77777777" w:rsidR="00A00BFC" w:rsidRPr="00A00BFC" w:rsidRDefault="00A00BFC" w:rsidP="00486C8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Арушнян Э.Б. Уникальный мелатонин / Э.Б. Арушнян. – Ставрополь: СтГМА, 2006. – 400 с.</w:t>
      </w:r>
    </w:p>
    <w:p w14:paraId="07AA24E3" w14:textId="3E61C092" w:rsidR="00486C8C" w:rsidRPr="00A00BFC" w:rsidRDefault="00A00BFC" w:rsidP="00486C8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Бочарова Т.В. Морфометрический анализ структурных изменений в тимусе кроликов под влиянием хронического светового стресса / Т.В. Бочарова // </w:t>
      </w:r>
      <w:r w:rsidRPr="00A00BFC">
        <w:rPr>
          <w:sz w:val="28"/>
          <w:szCs w:val="28"/>
        </w:rPr>
        <w:t>Вісник проблем біології та медицини. –</w:t>
      </w:r>
      <w:r>
        <w:rPr>
          <w:sz w:val="28"/>
          <w:szCs w:val="28"/>
        </w:rPr>
        <w:t xml:space="preserve"> 2016. –</w:t>
      </w:r>
      <w:r w:rsidRPr="00A00BFC">
        <w:rPr>
          <w:sz w:val="28"/>
          <w:szCs w:val="28"/>
        </w:rPr>
        <w:t xml:space="preserve"> Т. 3 (130), № 2. – С. 251-254.</w:t>
      </w:r>
      <w:r w:rsidR="00486C8C" w:rsidRPr="00A00BFC">
        <w:rPr>
          <w:sz w:val="28"/>
          <w:szCs w:val="28"/>
        </w:rPr>
        <w:t xml:space="preserve"> </w:t>
      </w:r>
    </w:p>
    <w:p w14:paraId="502C1049" w14:textId="2870A0A2" w:rsidR="00A00BFC" w:rsidRPr="00A00BFC" w:rsidRDefault="00A00BFC" w:rsidP="00A00BF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Бочарова Т.В. </w:t>
      </w:r>
      <w:r w:rsidRPr="00A00BFC">
        <w:rPr>
          <w:sz w:val="28"/>
          <w:szCs w:val="28"/>
        </w:rPr>
        <w:t>Длительная световая нагрузка как фактор преждевременного старения иммунной системы</w:t>
      </w:r>
      <w:r>
        <w:rPr>
          <w:sz w:val="28"/>
          <w:szCs w:val="28"/>
        </w:rPr>
        <w:t xml:space="preserve"> / Т.В. Бочарова, И.В. Сорокина </w:t>
      </w:r>
      <w:r w:rsidR="008A46CD">
        <w:rPr>
          <w:sz w:val="28"/>
          <w:szCs w:val="28"/>
        </w:rPr>
        <w:t>// Медицинский журнал Западного Казахстана . – 2016. – № 4. – С. 30-33.</w:t>
      </w:r>
    </w:p>
    <w:p w14:paraId="1B54D9CA" w14:textId="77777777" w:rsidR="00A00BFC" w:rsidRPr="00A00BFC" w:rsidRDefault="00A00BFC" w:rsidP="008A46CD">
      <w:pPr>
        <w:pStyle w:val="ListParagraph"/>
        <w:spacing w:line="360" w:lineRule="auto"/>
        <w:ind w:left="1069"/>
        <w:jc w:val="both"/>
        <w:rPr>
          <w:sz w:val="28"/>
          <w:szCs w:val="28"/>
          <w:lang w:val="uk-UA"/>
        </w:rPr>
      </w:pPr>
    </w:p>
    <w:p w14:paraId="6AD57B8A" w14:textId="77777777" w:rsidR="007757E6" w:rsidRPr="00A00BFC" w:rsidRDefault="007757E6" w:rsidP="007757E6">
      <w:pPr>
        <w:spacing w:line="360" w:lineRule="auto"/>
        <w:ind w:firstLine="709"/>
        <w:jc w:val="both"/>
        <w:rPr>
          <w:sz w:val="28"/>
          <w:szCs w:val="28"/>
        </w:rPr>
      </w:pPr>
    </w:p>
    <w:sectPr w:rsidR="007757E6" w:rsidRPr="00A00BFC" w:rsidSect="0004515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5484"/>
    <w:multiLevelType w:val="hybridMultilevel"/>
    <w:tmpl w:val="0D56F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17553"/>
    <w:multiLevelType w:val="hybridMultilevel"/>
    <w:tmpl w:val="71B6B1EC"/>
    <w:lvl w:ilvl="0" w:tplc="C558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2608D"/>
    <w:multiLevelType w:val="hybridMultilevel"/>
    <w:tmpl w:val="2E9A1F76"/>
    <w:lvl w:ilvl="0" w:tplc="AB10F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FE56C0"/>
    <w:multiLevelType w:val="hybridMultilevel"/>
    <w:tmpl w:val="ECBED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6"/>
    <w:rsid w:val="0004515F"/>
    <w:rsid w:val="000B3895"/>
    <w:rsid w:val="000F5317"/>
    <w:rsid w:val="00107683"/>
    <w:rsid w:val="001C6438"/>
    <w:rsid w:val="002365F5"/>
    <w:rsid w:val="00240E85"/>
    <w:rsid w:val="002767A9"/>
    <w:rsid w:val="00353A3F"/>
    <w:rsid w:val="00397A3F"/>
    <w:rsid w:val="0046161C"/>
    <w:rsid w:val="00486C8C"/>
    <w:rsid w:val="00553F32"/>
    <w:rsid w:val="0060799A"/>
    <w:rsid w:val="00690C6C"/>
    <w:rsid w:val="00727332"/>
    <w:rsid w:val="007757E6"/>
    <w:rsid w:val="007A7F35"/>
    <w:rsid w:val="008A46CD"/>
    <w:rsid w:val="00A00BFC"/>
    <w:rsid w:val="00A17E5C"/>
    <w:rsid w:val="00B409E4"/>
    <w:rsid w:val="00B81F80"/>
    <w:rsid w:val="00C24853"/>
    <w:rsid w:val="00CF2AF9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87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E6"/>
    <w:rPr>
      <w:rFonts w:ascii="Times New Roman" w:eastAsia="Times New Roman" w:hAnsi="Times New Roman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7E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57E6"/>
    <w:pPr>
      <w:ind w:left="720"/>
      <w:contextualSpacing/>
    </w:pPr>
  </w:style>
  <w:style w:type="paragraph" w:customStyle="1" w:styleId="Iauiue">
    <w:name w:val="Iau?iue"/>
    <w:rsid w:val="007273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8A46CD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1129</Words>
  <Characters>6439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2017-10-18T15:51:00Z</dcterms:created>
  <dcterms:modified xsi:type="dcterms:W3CDTF">2017-10-20T14:27:00Z</dcterms:modified>
</cp:coreProperties>
</file>