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0" w:rsidRDefault="00522830" w:rsidP="00522830">
      <w:pPr>
        <w:spacing w:after="0" w:line="239" w:lineRule="auto"/>
        <w:ind w:left="126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Мініс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в’я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України</w:t>
      </w:r>
      <w:proofErr w:type="spellEnd"/>
    </w:p>
    <w:p w:rsidR="00522830" w:rsidRDefault="00522830" w:rsidP="00522830">
      <w:pPr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Департам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Харк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жав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Департам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Харк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міс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ради</w:t>
      </w:r>
    </w:p>
    <w:p w:rsidR="00522830" w:rsidRDefault="00522830" w:rsidP="00522830">
      <w:pPr>
        <w:spacing w:after="0" w:line="240" w:lineRule="auto"/>
        <w:ind w:left="122" w:right="79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Департам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ки і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арк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ів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іні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стр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ації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Харкі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іо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універс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тет</w:t>
      </w:r>
      <w:proofErr w:type="spellEnd"/>
    </w:p>
    <w:p w:rsidR="00522830" w:rsidRDefault="00522830" w:rsidP="00522830">
      <w:pPr>
        <w:spacing w:after="0" w:line="240" w:lineRule="auto"/>
        <w:ind w:left="65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ВГО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Асоціація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нтиейд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22830" w:rsidRDefault="00522830" w:rsidP="00522830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’Я</w:t>
      </w:r>
    </w:p>
    <w:p w:rsidR="00522830" w:rsidRDefault="00522830" w:rsidP="0052283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522830" w:rsidRDefault="00522830" w:rsidP="00522830">
      <w:pPr>
        <w:spacing w:after="0" w:line="240" w:lineRule="auto"/>
        <w:ind w:left="2168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али</w:t>
      </w:r>
      <w:proofErr w:type="spellEnd"/>
    </w:p>
    <w:p w:rsidR="00522830" w:rsidRDefault="00522830" w:rsidP="00522830">
      <w:pPr>
        <w:spacing w:after="0" w:line="240" w:lineRule="auto"/>
        <w:ind w:left="549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науко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нції</w:t>
      </w:r>
      <w:proofErr w:type="spellEnd"/>
    </w:p>
    <w:p w:rsidR="00522830" w:rsidRDefault="00522830" w:rsidP="0052283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522830" w:rsidRDefault="00522830" w:rsidP="00522830">
      <w:pPr>
        <w:spacing w:after="0" w:line="240" w:lineRule="auto"/>
        <w:ind w:left="1242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Харків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20–21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року)</w:t>
      </w: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0" w:line="239" w:lineRule="auto"/>
        <w:ind w:left="2335" w:right="29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ХНМУ 2017</w:t>
      </w:r>
    </w:p>
    <w:p w:rsidR="00522830" w:rsidRDefault="00522830" w:rsidP="00522830">
      <w:pPr>
        <w:sectPr w:rsidR="00522830" w:rsidSect="00522830">
          <w:pgSz w:w="8400" w:h="11900"/>
          <w:pgMar w:top="847" w:right="850" w:bottom="1134" w:left="1558" w:header="720" w:footer="720" w:gutter="0"/>
          <w:cols w:space="708"/>
        </w:sectPr>
      </w:pPr>
    </w:p>
    <w:p w:rsidR="00522830" w:rsidRDefault="00522830" w:rsidP="00522830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ББК 6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.542.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1 УДК 31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.334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.4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3</w:t>
      </w:r>
    </w:p>
    <w:p w:rsidR="00522830" w:rsidRDefault="00522830" w:rsidP="00522830">
      <w:pPr>
        <w:spacing w:after="0" w:line="231" w:lineRule="auto"/>
        <w:ind w:left="788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 34</w:t>
      </w: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22830" w:rsidRDefault="00522830" w:rsidP="005228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830" w:rsidRDefault="00522830" w:rsidP="0052283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22830" w:rsidRDefault="00522830" w:rsidP="00522830">
      <w:pPr>
        <w:spacing w:after="0" w:line="240" w:lineRule="auto"/>
        <w:ind w:right="131" w:firstLine="139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кується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ш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вчен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Харківсько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іона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ніве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ситет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522830" w:rsidRDefault="00522830" w:rsidP="00522830">
      <w:pPr>
        <w:spacing w:after="0" w:line="231" w:lineRule="auto"/>
        <w:ind w:left="150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Протокол 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2017 р.</w:t>
      </w:r>
    </w:p>
    <w:p w:rsidR="00522830" w:rsidRDefault="00522830" w:rsidP="00522830">
      <w:pPr>
        <w:sectPr w:rsidR="00522830">
          <w:pgSz w:w="8400" w:h="11900"/>
          <w:pgMar w:top="851" w:right="850" w:bottom="1134" w:left="655" w:header="720" w:footer="720" w:gutter="0"/>
          <w:cols w:num="2" w:space="708" w:equalWidth="0">
            <w:col w:w="1655" w:space="696"/>
            <w:col w:w="4542" w:space="0"/>
          </w:cols>
        </w:sectPr>
      </w:pPr>
    </w:p>
    <w:p w:rsidR="00522830" w:rsidRDefault="00522830" w:rsidP="0052283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522830" w:rsidRDefault="00522830" w:rsidP="00522830">
      <w:pPr>
        <w:spacing w:after="0" w:line="237" w:lineRule="auto"/>
        <w:ind w:left="242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ІЙНА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ЛЕГІЯ</w:t>
      </w:r>
    </w:p>
    <w:p w:rsidR="00522830" w:rsidRDefault="00522830" w:rsidP="00522830">
      <w:pPr>
        <w:spacing w:after="0" w:line="239" w:lineRule="auto"/>
        <w:ind w:left="359" w:right="130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Лісовий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мир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лайович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Харкі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аці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на-льного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мед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ніверситет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чл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Наці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нальної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ї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-р мед.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проф.,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реат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ержавної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премії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Украї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</w:p>
    <w:p w:rsidR="00522830" w:rsidRDefault="00522830" w:rsidP="00522830">
      <w:pPr>
        <w:spacing w:after="0" w:line="239" w:lineRule="auto"/>
        <w:ind w:left="359" w:right="131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Кравець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димир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вич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ор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Терно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ільськ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наці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наль-ного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іверситету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Гнатю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чних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 проф.;</w:t>
      </w:r>
    </w:p>
    <w:p w:rsidR="00522830" w:rsidRDefault="00522830" w:rsidP="00522830">
      <w:pPr>
        <w:spacing w:after="0" w:line="239" w:lineRule="auto"/>
        <w:ind w:left="359" w:right="130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Валерій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Андр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йович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ш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проре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тор</w:t>
      </w:r>
      <w:r>
        <w:rPr>
          <w:rFonts w:ascii="Times New Roman" w:eastAsia="Times New Roman" w:hAnsi="Times New Roman" w:cs="Times New Roman"/>
          <w:color w:val="000000"/>
          <w:spacing w:val="6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ово-педагогічної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МУ,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 мед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проф.;</w:t>
      </w:r>
    </w:p>
    <w:p w:rsidR="00522830" w:rsidRDefault="00522830" w:rsidP="00522830">
      <w:pPr>
        <w:spacing w:after="0" w:line="239" w:lineRule="auto"/>
        <w:ind w:left="359" w:right="132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М’яс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єдов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льович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тор</w:t>
      </w:r>
      <w:r>
        <w:rPr>
          <w:rFonts w:ascii="Times New Roman" w:eastAsia="Times New Roman" w:hAnsi="Times New Roman" w:cs="Times New Roman"/>
          <w:color w:val="000000"/>
          <w:spacing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кової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ХНМУ,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 проф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</w:p>
    <w:p w:rsidR="00522830" w:rsidRDefault="00522830" w:rsidP="00522830">
      <w:pPr>
        <w:spacing w:after="0" w:line="240" w:lineRule="auto"/>
        <w:ind w:left="359" w:right="130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Гречаніна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кра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їнсь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клініч-ної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нети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чл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МН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раїн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реат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премії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раїн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ака-демік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Українс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ьк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академії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ологі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нау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 мед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аук, пр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ф.;</w:t>
      </w:r>
    </w:p>
    <w:p w:rsidR="00522830" w:rsidRDefault="00522830" w:rsidP="00522830">
      <w:pPr>
        <w:spacing w:after="0" w:line="239" w:lineRule="auto"/>
        <w:ind w:left="359" w:right="132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Летік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Василь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проректор</w:t>
      </w:r>
      <w:r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ХНМУ,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 проф.;</w:t>
      </w:r>
    </w:p>
    <w:p w:rsidR="00522830" w:rsidRDefault="00522830" w:rsidP="00522830">
      <w:pPr>
        <w:spacing w:after="0" w:line="239" w:lineRule="auto"/>
        <w:ind w:left="359" w:right="130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Коробчансь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Олексійо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НДІ</w:t>
      </w:r>
      <w:r>
        <w:rPr>
          <w:rFonts w:ascii="Times New Roman" w:eastAsia="Times New Roman" w:hAnsi="Times New Roman" w:cs="Times New Roman"/>
          <w:color w:val="000000"/>
          <w:spacing w:val="6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є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праці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йних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захворюв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ХНМУ,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ад.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аїнсь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академії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логі-чних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чл.-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кор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Міжнар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од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академії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нау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інтег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ованої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ополог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 мед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 проф.;</w:t>
      </w:r>
    </w:p>
    <w:p w:rsidR="00522830" w:rsidRDefault="00522830" w:rsidP="00522830">
      <w:pPr>
        <w:spacing w:after="0" w:line="239" w:lineRule="auto"/>
        <w:ind w:left="359" w:right="132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агенгрубер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ова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Департаменту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філософії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-ми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Жін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нау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філософії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ерситету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Падербо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еччина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проф.;</w:t>
      </w:r>
    </w:p>
    <w:p w:rsidR="00522830" w:rsidRDefault="00522830" w:rsidP="00522830">
      <w:pPr>
        <w:spacing w:after="0" w:line="239" w:lineRule="auto"/>
        <w:ind w:left="359" w:right="132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Карпенко</w:t>
      </w:r>
      <w:r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Ів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нівна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Центру</w:t>
      </w:r>
      <w:r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дерн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ХНМУ,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д-р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філософ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к, проф.;</w:t>
      </w:r>
    </w:p>
    <w:p w:rsidR="00522830" w:rsidRDefault="00522830" w:rsidP="00522830">
      <w:pPr>
        <w:spacing w:after="0" w:line="239" w:lineRule="auto"/>
        <w:ind w:left="359" w:right="131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Корост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Ярос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ава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рівна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ВГО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-ціац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нтивної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тиейджинг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едиц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».</w:t>
      </w:r>
    </w:p>
    <w:p w:rsidR="00522830" w:rsidRDefault="00522830" w:rsidP="00522830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22830" w:rsidRDefault="00522830" w:rsidP="00522830">
      <w:pPr>
        <w:spacing w:after="0" w:line="240" w:lineRule="auto"/>
        <w:ind w:left="359" w:right="132" w:hanging="35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Гендер.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Екологія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ов’я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ародної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ково-практичної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конфере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ції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20–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р.). –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Харків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МУ, 2017.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372 с.</w:t>
      </w:r>
    </w:p>
    <w:p w:rsidR="00522830" w:rsidRDefault="00522830" w:rsidP="00522830">
      <w:pPr>
        <w:spacing w:after="0" w:line="240" w:lineRule="auto"/>
        <w:ind w:left="359" w:right="130"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іж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300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багат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ь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ох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чальних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мі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Украї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фах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вців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Німеч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-чин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Польщі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Греції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аччин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захстан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Доповіді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вячено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дер-н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аспектам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едиц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екології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генде-рної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ц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ини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522830" w:rsidRDefault="00522830" w:rsidP="00522830">
      <w:pPr>
        <w:spacing w:after="0" w:line="240" w:lineRule="auto"/>
        <w:ind w:left="5358" w:right="178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УДК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314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334.43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0.54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.21</w:t>
      </w:r>
    </w:p>
    <w:p w:rsidR="00522830" w:rsidRDefault="00522830" w:rsidP="00522830">
      <w:pPr>
        <w:sectPr w:rsidR="00522830">
          <w:type w:val="continuous"/>
          <w:pgSz w:w="8400" w:h="11900"/>
          <w:pgMar w:top="851" w:right="850" w:bottom="1134" w:left="655" w:header="720" w:footer="720" w:gutter="0"/>
          <w:cols w:space="708"/>
        </w:sectPr>
      </w:pPr>
    </w:p>
    <w:p w:rsidR="005234C8" w:rsidRPr="005234C8" w:rsidRDefault="005234C8" w:rsidP="005234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234C8">
        <w:rPr>
          <w:rFonts w:ascii="Times New Roman" w:hAnsi="Times New Roman" w:cs="Times New Roman"/>
          <w:b/>
          <w:sz w:val="28"/>
          <w:szCs w:val="28"/>
        </w:rPr>
        <w:lastRenderedPageBreak/>
        <w:t>Денисова Е.Г.</w:t>
      </w:r>
      <w:r w:rsidRPr="005234C8">
        <w:rPr>
          <w:rFonts w:ascii="Times New Roman" w:hAnsi="Times New Roman" w:cs="Times New Roman"/>
          <w:b/>
          <w:sz w:val="28"/>
          <w:szCs w:val="28"/>
          <w:lang w:val="uk-UA"/>
        </w:rPr>
        <w:t>, Стоян Е.Ю.</w:t>
      </w:r>
    </w:p>
    <w:p w:rsidR="005234C8" w:rsidRPr="005234C8" w:rsidRDefault="005234C8" w:rsidP="005234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C8">
        <w:rPr>
          <w:rFonts w:ascii="Times New Roman" w:hAnsi="Times New Roman" w:cs="Times New Roman"/>
          <w:b/>
          <w:sz w:val="28"/>
          <w:szCs w:val="28"/>
        </w:rPr>
        <w:t>ГЕНДЕРНЫЕ ОСОБЕННОСТИ ПОВЕДЕНИЯ ДЕТЕЙ МЛАДШЕГО ВОЗРАСТА НА СТОМАТОЛОГИЧЕСКОМ ПРИЁМЕ</w:t>
      </w:r>
    </w:p>
    <w:p w:rsidR="005234C8" w:rsidRPr="005234C8" w:rsidRDefault="005234C8" w:rsidP="005234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4C8" w:rsidRPr="005234C8" w:rsidRDefault="005234C8" w:rsidP="005234C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234C8">
        <w:rPr>
          <w:b w:val="0"/>
          <w:sz w:val="28"/>
          <w:szCs w:val="28"/>
        </w:rPr>
        <w:t xml:space="preserve">В современной медицине уделяют большое внимание гендерным аспектам клинических проявлений заболеваний, частоте развития осложнений, прогнозированию результатов лечения и т.д. В тоже время, имеет значение и психофизиологическое состояние пациента перед какими либо медицинскими процедурами, в частности стоматологическим лечением. У детей в возрасте от 3 до 5 лет происходит первичная гендерная идентификация. Именно в этом возрасте складываются механизмы поведения, завязываются первые отношения, формируются механизмы подражания, развивается рефлексия – формируется личность. Критические точки приходятся на 3 года (первичная половая идентичность) и 5- 6 лет (система гендерной идентичности). Развитие основ мужественности и женственности также начинается в этом возрасте. Поэтому очень важно, какая модель поведения будет формироваться у детей 3-5 летнего возраста на медицинские вмешательства, так как с наибольшей вероятностью именно медико-психологическая реакция, полученная в детстве, ляжет в основу поведения в этой сфере в дальнейшем.  </w:t>
      </w:r>
    </w:p>
    <w:p w:rsidR="005234C8" w:rsidRPr="005234C8" w:rsidRDefault="005234C8" w:rsidP="005234C8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234C8">
        <w:rPr>
          <w:sz w:val="28"/>
          <w:szCs w:val="28"/>
        </w:rPr>
        <w:t>Целью</w:t>
      </w:r>
      <w:r w:rsidRPr="005234C8">
        <w:rPr>
          <w:b w:val="0"/>
          <w:sz w:val="28"/>
          <w:szCs w:val="28"/>
        </w:rPr>
        <w:t xml:space="preserve"> исследования было определение </w:t>
      </w:r>
      <w:proofErr w:type="spellStart"/>
      <w:r w:rsidRPr="005234C8">
        <w:rPr>
          <w:b w:val="0"/>
          <w:sz w:val="28"/>
          <w:szCs w:val="28"/>
        </w:rPr>
        <w:t>психофозиологического</w:t>
      </w:r>
      <w:proofErr w:type="spellEnd"/>
      <w:r w:rsidRPr="005234C8">
        <w:rPr>
          <w:b w:val="0"/>
          <w:sz w:val="28"/>
          <w:szCs w:val="28"/>
        </w:rPr>
        <w:t xml:space="preserve"> состояния детей 3-5 лет перед стоматологическим вмешательством.</w:t>
      </w:r>
    </w:p>
    <w:p w:rsidR="005234C8" w:rsidRPr="005234C8" w:rsidRDefault="005234C8" w:rsidP="005234C8">
      <w:pPr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C8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  <w:r w:rsidRPr="005234C8">
        <w:rPr>
          <w:rFonts w:ascii="Times New Roman" w:hAnsi="Times New Roman" w:cs="Times New Roman"/>
          <w:sz w:val="28"/>
          <w:szCs w:val="28"/>
        </w:rPr>
        <w:t xml:space="preserve"> Было проведено обследование 25 детей в возрасте от 3 до 5 лет (12 девочек и 13 мальчиков) на  амбулаторном  стоматологическом  приеме. Для исследований </w:t>
      </w:r>
      <w:proofErr w:type="spellStart"/>
      <w:r w:rsidRPr="005234C8">
        <w:rPr>
          <w:rFonts w:ascii="Times New Roman" w:hAnsi="Times New Roman" w:cs="Times New Roman"/>
          <w:sz w:val="28"/>
          <w:szCs w:val="28"/>
        </w:rPr>
        <w:t>психофозиологического</w:t>
      </w:r>
      <w:proofErr w:type="spellEnd"/>
      <w:r w:rsidRPr="005234C8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523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исследовали </w:t>
      </w:r>
      <w:r w:rsidRPr="005234C8">
        <w:rPr>
          <w:rFonts w:ascii="Times New Roman" w:hAnsi="Times New Roman" w:cs="Times New Roman"/>
          <w:sz w:val="28"/>
          <w:szCs w:val="28"/>
        </w:rPr>
        <w:t>частоту сердечных сокращений (</w:t>
      </w: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>пульс,</w:t>
      </w:r>
      <w:r w:rsidRPr="005234C8">
        <w:rPr>
          <w:rFonts w:ascii="Times New Roman" w:hAnsi="Times New Roman" w:cs="Times New Roman"/>
          <w:sz w:val="28"/>
          <w:szCs w:val="28"/>
        </w:rPr>
        <w:t xml:space="preserve"> уд/мин)</w:t>
      </w: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>, артериальное давление</w:t>
      </w:r>
      <w:r w:rsidRPr="005234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34C8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5234C8">
        <w:rPr>
          <w:rFonts w:ascii="Times New Roman" w:hAnsi="Times New Roman" w:cs="Times New Roman"/>
          <w:color w:val="000000"/>
          <w:sz w:val="28"/>
          <w:szCs w:val="28"/>
        </w:rPr>
        <w:t xml:space="preserve"> рт. ст.</w:t>
      </w:r>
      <w:r w:rsidRPr="005234C8">
        <w:rPr>
          <w:rFonts w:ascii="Times New Roman" w:hAnsi="Times New Roman" w:cs="Times New Roman"/>
          <w:sz w:val="28"/>
          <w:szCs w:val="28"/>
        </w:rPr>
        <w:t xml:space="preserve">). Проводили тест </w:t>
      </w:r>
      <w:proofErr w:type="spellStart"/>
      <w:r w:rsidRPr="005234C8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5234C8">
        <w:rPr>
          <w:rFonts w:ascii="Times New Roman" w:hAnsi="Times New Roman" w:cs="Times New Roman"/>
          <w:sz w:val="28"/>
          <w:szCs w:val="28"/>
        </w:rPr>
        <w:t xml:space="preserve">, </w:t>
      </w:r>
      <w:r w:rsidRPr="005234C8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позволяет измерить психофизиологическое состояние, стрессоустойчивость, активность и коммуникативные </w:t>
      </w:r>
      <w:r w:rsidRPr="005234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способности, позволяет определить причины психологического стресса, который может привести к появлению физиологических симптомов</w:t>
      </w:r>
      <w:r w:rsidRPr="00523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4C8" w:rsidRPr="005234C8" w:rsidRDefault="005234C8" w:rsidP="005234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C8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 w:rsidRPr="005234C8">
        <w:rPr>
          <w:rFonts w:ascii="Times New Roman" w:hAnsi="Times New Roman" w:cs="Times New Roman"/>
          <w:sz w:val="28"/>
          <w:szCs w:val="28"/>
        </w:rPr>
        <w:t xml:space="preserve">Измерение физиологических показателей проводили перед стоматологическим вмешательством проводили в два этапа: перед проведением теста </w:t>
      </w:r>
      <w:proofErr w:type="spellStart"/>
      <w:r w:rsidRPr="005234C8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5234C8">
        <w:rPr>
          <w:rFonts w:ascii="Times New Roman" w:hAnsi="Times New Roman" w:cs="Times New Roman"/>
          <w:sz w:val="28"/>
          <w:szCs w:val="28"/>
        </w:rPr>
        <w:t xml:space="preserve"> (Р</w:t>
      </w:r>
      <w:proofErr w:type="gramStart"/>
      <w:r w:rsidRPr="005234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234C8">
        <w:rPr>
          <w:rFonts w:ascii="Times New Roman" w:hAnsi="Times New Roman" w:cs="Times New Roman"/>
          <w:sz w:val="28"/>
          <w:szCs w:val="28"/>
        </w:rPr>
        <w:t>) и после (Р</w:t>
      </w:r>
      <w:r w:rsidRPr="00523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34C8">
        <w:rPr>
          <w:rFonts w:ascii="Times New Roman" w:hAnsi="Times New Roman" w:cs="Times New Roman"/>
          <w:sz w:val="28"/>
          <w:szCs w:val="28"/>
        </w:rPr>
        <w:t>), непосредственно перед медицинским вмешательством. При этом все дети знали, что идут «лечить зубки», об этом их информировали родители. Результаты представлены в таблице 1.</w:t>
      </w:r>
    </w:p>
    <w:p w:rsidR="005234C8" w:rsidRPr="005234C8" w:rsidRDefault="005234C8" w:rsidP="005234C8">
      <w:pPr>
        <w:shd w:val="clear" w:color="auto" w:fill="FFFFFF"/>
        <w:spacing w:after="0" w:line="360" w:lineRule="auto"/>
        <w:ind w:left="9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34C8">
        <w:rPr>
          <w:rFonts w:ascii="Times New Roman" w:hAnsi="Times New Roman" w:cs="Times New Roman"/>
          <w:sz w:val="28"/>
          <w:szCs w:val="28"/>
        </w:rPr>
        <w:t>Таблица 1</w:t>
      </w:r>
    </w:p>
    <w:p w:rsidR="005234C8" w:rsidRPr="005234C8" w:rsidRDefault="005234C8" w:rsidP="005234C8">
      <w:pPr>
        <w:shd w:val="clear" w:color="auto" w:fill="FFFFFF"/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</w:t>
      </w:r>
      <w:proofErr w:type="gramStart"/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</w:t>
      </w:r>
      <w:r w:rsidRPr="005234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детей 3-5 лет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135"/>
        <w:gridCol w:w="1135"/>
        <w:gridCol w:w="851"/>
        <w:gridCol w:w="1063"/>
        <w:gridCol w:w="1063"/>
        <w:gridCol w:w="567"/>
        <w:gridCol w:w="1063"/>
        <w:gridCol w:w="1063"/>
        <w:gridCol w:w="567"/>
      </w:tblGrid>
      <w:tr w:rsidR="005234C8" w:rsidRPr="005234C8" w:rsidTr="00F16A7F">
        <w:tc>
          <w:tcPr>
            <w:tcW w:w="1274" w:type="dxa"/>
            <w:vMerge w:val="restart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Пол ребенка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 xml:space="preserve">Систолическое артериальное давление, </w:t>
            </w:r>
          </w:p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34C8">
              <w:rPr>
                <w:rFonts w:ascii="Times New Roman" w:hAnsi="Times New Roman" w:cs="Times New Roman"/>
              </w:rPr>
              <w:t>мм</w:t>
            </w:r>
            <w:proofErr w:type="gramEnd"/>
            <w:r w:rsidRPr="005234C8">
              <w:rPr>
                <w:rFonts w:ascii="Times New Roman" w:hAnsi="Times New Roman" w:cs="Times New Roman"/>
              </w:rPr>
              <w:t xml:space="preserve"> рт. ст.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 xml:space="preserve">Диастолическое артериальное давление, </w:t>
            </w:r>
          </w:p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34C8">
              <w:rPr>
                <w:rFonts w:ascii="Times New Roman" w:hAnsi="Times New Roman" w:cs="Times New Roman"/>
              </w:rPr>
              <w:t>мм</w:t>
            </w:r>
            <w:proofErr w:type="gramEnd"/>
            <w:r w:rsidRPr="005234C8">
              <w:rPr>
                <w:rFonts w:ascii="Times New Roman" w:hAnsi="Times New Roman" w:cs="Times New Roman"/>
              </w:rPr>
              <w:t xml:space="preserve"> рт. ст.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Частота сердечных сокращений, уд</w:t>
            </w:r>
            <w:proofErr w:type="gramStart"/>
            <w:r w:rsidRPr="005234C8">
              <w:rPr>
                <w:rFonts w:ascii="Times New Roman" w:hAnsi="Times New Roman" w:cs="Times New Roman"/>
              </w:rPr>
              <w:t>.</w:t>
            </w:r>
            <w:proofErr w:type="gramEnd"/>
            <w:r w:rsidRPr="005234C8">
              <w:rPr>
                <w:rFonts w:ascii="Times New Roman" w:hAnsi="Times New Roman" w:cs="Times New Roman"/>
              </w:rPr>
              <w:t>/</w:t>
            </w:r>
            <w:proofErr w:type="gramStart"/>
            <w:r w:rsidRPr="005234C8">
              <w:rPr>
                <w:rFonts w:ascii="Times New Roman" w:hAnsi="Times New Roman" w:cs="Times New Roman"/>
              </w:rPr>
              <w:t>м</w:t>
            </w:r>
            <w:proofErr w:type="gramEnd"/>
            <w:r w:rsidRPr="005234C8">
              <w:rPr>
                <w:rFonts w:ascii="Times New Roman" w:hAnsi="Times New Roman" w:cs="Times New Roman"/>
              </w:rPr>
              <w:t>ин.</w:t>
            </w:r>
          </w:p>
        </w:tc>
      </w:tr>
      <w:tr w:rsidR="005234C8" w:rsidRPr="005234C8" w:rsidTr="00F16A7F">
        <w:tc>
          <w:tcPr>
            <w:tcW w:w="1274" w:type="dxa"/>
            <w:vMerge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С Р</w:t>
            </w:r>
            <w:proofErr w:type="gramStart"/>
            <w:r w:rsidRPr="005234C8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С Р</w:t>
            </w:r>
            <w:proofErr w:type="gramStart"/>
            <w:r w:rsidRPr="005234C8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34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5234C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Д Р</w:t>
            </w:r>
            <w:proofErr w:type="gramStart"/>
            <w:r w:rsidRPr="005234C8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Д Р</w:t>
            </w:r>
            <w:proofErr w:type="gramStart"/>
            <w:r w:rsidRPr="005234C8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5234C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34C8">
              <w:rPr>
                <w:rFonts w:ascii="Times New Roman" w:hAnsi="Times New Roman" w:cs="Times New Roman"/>
              </w:rPr>
              <w:t>П</w:t>
            </w:r>
            <w:proofErr w:type="gramEnd"/>
            <w:r w:rsidRPr="005234C8">
              <w:rPr>
                <w:rFonts w:ascii="Times New Roman" w:hAnsi="Times New Roman" w:cs="Times New Roman"/>
              </w:rPr>
              <w:t xml:space="preserve"> Р</w:t>
            </w:r>
            <w:r w:rsidRPr="005234C8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34C8">
              <w:rPr>
                <w:rFonts w:ascii="Times New Roman" w:hAnsi="Times New Roman" w:cs="Times New Roman"/>
              </w:rPr>
              <w:t>П</w:t>
            </w:r>
            <w:proofErr w:type="gramEnd"/>
            <w:r w:rsidRPr="005234C8">
              <w:rPr>
                <w:rFonts w:ascii="Times New Roman" w:hAnsi="Times New Roman" w:cs="Times New Roman"/>
              </w:rPr>
              <w:t xml:space="preserve"> Р</w:t>
            </w:r>
            <w:r w:rsidRPr="005234C8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5234C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*</w:t>
            </w:r>
          </w:p>
        </w:tc>
      </w:tr>
      <w:tr w:rsidR="005234C8" w:rsidRPr="005234C8" w:rsidTr="00F16A7F">
        <w:tc>
          <w:tcPr>
            <w:tcW w:w="1274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Fonts w:ascii="Times New Roman" w:hAnsi="Times New Roman" w:cs="Times New Roman"/>
              </w:rPr>
              <w:t xml:space="preserve">девочки, </w:t>
            </w:r>
            <w:r w:rsidRPr="005234C8">
              <w:rPr>
                <w:rFonts w:ascii="Times New Roman" w:hAnsi="Times New Roman" w:cs="Times New Roman"/>
                <w:lang w:val="en-US"/>
              </w:rPr>
              <w:t>n=12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109,1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121,3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</w:rPr>
              <w:t>12,3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75,4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84,5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6,8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Fonts w:ascii="Times New Roman" w:hAnsi="Times New Roman" w:cs="Times New Roman"/>
                <w:lang w:val="en-US"/>
              </w:rPr>
              <w:t>99,</w:t>
            </w:r>
            <w:r w:rsidRPr="005234C8">
              <w:rPr>
                <w:rFonts w:ascii="Times New Roman" w:hAnsi="Times New Roman" w:cs="Times New Roman"/>
              </w:rPr>
              <w:t>8</w:t>
            </w:r>
            <w:r w:rsidRPr="005234C8">
              <w:rPr>
                <w:rFonts w:ascii="Times New Roman" w:hAnsi="Times New Roman" w:cs="Times New Roman"/>
                <w:lang w:val="en-US"/>
              </w:rPr>
              <w:t>±6,</w:t>
            </w:r>
            <w:r w:rsidRPr="005234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Fonts w:ascii="Times New Roman" w:hAnsi="Times New Roman" w:cs="Times New Roman"/>
                <w:lang w:val="en-US"/>
              </w:rPr>
              <w:t>113,3±6,</w:t>
            </w:r>
            <w:r w:rsidRPr="005234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</w:rPr>
              <w:t>13,9</w:t>
            </w:r>
          </w:p>
        </w:tc>
      </w:tr>
      <w:tr w:rsidR="005234C8" w:rsidRPr="005234C8" w:rsidTr="00F16A7F">
        <w:tc>
          <w:tcPr>
            <w:tcW w:w="1274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Fonts w:ascii="Times New Roman" w:hAnsi="Times New Roman" w:cs="Times New Roman"/>
              </w:rPr>
              <w:t xml:space="preserve">мальчики, </w:t>
            </w:r>
            <w:r w:rsidRPr="005234C8">
              <w:rPr>
                <w:rFonts w:ascii="Times New Roman" w:hAnsi="Times New Roman" w:cs="Times New Roman"/>
                <w:lang w:val="en-US"/>
              </w:rPr>
              <w:t>n=1</w:t>
            </w:r>
            <w:r w:rsidRPr="00523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110,4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123,9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</w:rPr>
              <w:t>10,3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75,7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</w:rPr>
              <w:t>86,5</w:t>
            </w:r>
            <w:r w:rsidRPr="005234C8">
              <w:rPr>
                <w:rFonts w:ascii="Times New Roman" w:hAnsi="Times New Roman" w:cs="Times New Roman"/>
                <w:lang w:val="en-US"/>
              </w:rPr>
              <w:t>±</w:t>
            </w:r>
            <w:r w:rsidRPr="005234C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8,2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  <w:lang w:val="en-US"/>
              </w:rPr>
              <w:t>99,</w:t>
            </w:r>
            <w:r w:rsidRPr="005234C8">
              <w:rPr>
                <w:rFonts w:ascii="Times New Roman" w:hAnsi="Times New Roman" w:cs="Times New Roman"/>
              </w:rPr>
              <w:t>4</w:t>
            </w:r>
            <w:r w:rsidRPr="005234C8">
              <w:rPr>
                <w:rFonts w:ascii="Times New Roman" w:hAnsi="Times New Roman" w:cs="Times New Roman"/>
                <w:lang w:val="en-US"/>
              </w:rPr>
              <w:t>±5,</w:t>
            </w:r>
            <w:r w:rsidRPr="0052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Fonts w:ascii="Times New Roman" w:hAnsi="Times New Roman" w:cs="Times New Roman"/>
                <w:lang w:val="en-US"/>
              </w:rPr>
              <w:t>111,9±7,2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4C8" w:rsidRPr="005234C8" w:rsidRDefault="005234C8" w:rsidP="005234C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34C8">
              <w:rPr>
                <w:rStyle w:val="a6"/>
                <w:b w:val="0"/>
                <w:sz w:val="22"/>
                <w:szCs w:val="22"/>
              </w:rPr>
              <w:t>14,8</w:t>
            </w:r>
          </w:p>
        </w:tc>
      </w:tr>
      <w:tr w:rsidR="005234C8" w:rsidRPr="005234C8" w:rsidTr="00F16A7F">
        <w:tc>
          <w:tcPr>
            <w:tcW w:w="1274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5234C8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0,6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1,2</w:t>
            </w:r>
          </w:p>
        </w:tc>
        <w:tc>
          <w:tcPr>
            <w:tcW w:w="851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1,4</w:t>
            </w:r>
          </w:p>
        </w:tc>
        <w:tc>
          <w:tcPr>
            <w:tcW w:w="567" w:type="dxa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34C8" w:rsidRPr="005234C8" w:rsidRDefault="005234C8" w:rsidP="005234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4C8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4C8" w:rsidRPr="005234C8" w:rsidRDefault="005234C8" w:rsidP="005234C8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</w:tbl>
    <w:p w:rsidR="00FF352E" w:rsidRDefault="00FF352E" w:rsidP="005234C8">
      <w:pPr>
        <w:shd w:val="clear" w:color="auto" w:fill="FFFFFF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4C8" w:rsidRPr="005234C8" w:rsidRDefault="005234C8" w:rsidP="005234C8">
      <w:pPr>
        <w:shd w:val="clear" w:color="auto" w:fill="FFFFFF"/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Примечание: </w:t>
      </w: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*</w:t>
      </w:r>
      <w:r w:rsidRPr="00523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-t-критерий Стьюдента</w:t>
      </w:r>
    </w:p>
    <w:p w:rsidR="005234C8" w:rsidRPr="005234C8" w:rsidRDefault="005234C8" w:rsidP="005234C8">
      <w:pPr>
        <w:spacing w:after="0" w:line="360" w:lineRule="auto"/>
        <w:ind w:left="9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234C8" w:rsidRPr="005234C8" w:rsidRDefault="005234C8" w:rsidP="005234C8">
      <w:pPr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 таблицы показал, что состояние </w:t>
      </w:r>
      <w:proofErr w:type="gramStart"/>
      <w:r w:rsidRPr="005234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сердечно-сосудистой</w:t>
      </w:r>
      <w:proofErr w:type="gramEnd"/>
      <w:r w:rsidRPr="005234C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системы, как у мальчиков, так и у девочек изменилось по мере приближения стоматологического вмешательства, </w:t>
      </w:r>
      <w:r w:rsidRPr="005234C8">
        <w:rPr>
          <w:rFonts w:ascii="Times New Roman" w:hAnsi="Times New Roman" w:cs="Times New Roman"/>
          <w:sz w:val="28"/>
          <w:szCs w:val="28"/>
        </w:rPr>
        <w:t>разница была статистически значима (</w:t>
      </w:r>
      <w:r w:rsidRPr="005234C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p≤0,01), но эти показатели между мальчиками и девочками не выявили статистически значимой разницы. </w:t>
      </w:r>
      <w:r w:rsidRPr="005234C8">
        <w:rPr>
          <w:rFonts w:ascii="Times New Roman" w:hAnsi="Times New Roman" w:cs="Times New Roman"/>
          <w:sz w:val="28"/>
          <w:szCs w:val="28"/>
        </w:rPr>
        <w:t xml:space="preserve">При проведении теста </w:t>
      </w:r>
      <w:proofErr w:type="spellStart"/>
      <w:r w:rsidRPr="005234C8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5234C8">
        <w:rPr>
          <w:rFonts w:ascii="Times New Roman" w:hAnsi="Times New Roman" w:cs="Times New Roman"/>
          <w:sz w:val="28"/>
          <w:szCs w:val="28"/>
        </w:rPr>
        <w:t xml:space="preserve"> у 5 девочек состояние характеризовалась как пограничное, у 7 – неустойчивое. У мальчиков наблюдалась аналогичная картина: 6 – пограничное состояние, 7 – неустойчивое.</w:t>
      </w:r>
    </w:p>
    <w:p w:rsidR="005234C8" w:rsidRPr="005234C8" w:rsidRDefault="005234C8" w:rsidP="005234C8">
      <w:pPr>
        <w:spacing w:after="0" w:line="36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C8">
        <w:rPr>
          <w:rFonts w:ascii="Times New Roman" w:hAnsi="Times New Roman" w:cs="Times New Roman"/>
          <w:sz w:val="28"/>
          <w:szCs w:val="28"/>
        </w:rPr>
        <w:t xml:space="preserve">Таким образом, гендерных различий в </w:t>
      </w:r>
      <w:proofErr w:type="spellStart"/>
      <w:r w:rsidRPr="005234C8">
        <w:rPr>
          <w:rFonts w:ascii="Times New Roman" w:hAnsi="Times New Roman" w:cs="Times New Roman"/>
          <w:sz w:val="28"/>
          <w:szCs w:val="28"/>
        </w:rPr>
        <w:t>психофозиологическом</w:t>
      </w:r>
      <w:proofErr w:type="spellEnd"/>
      <w:r w:rsidRPr="005234C8">
        <w:rPr>
          <w:rFonts w:ascii="Times New Roman" w:hAnsi="Times New Roman" w:cs="Times New Roman"/>
          <w:sz w:val="28"/>
          <w:szCs w:val="28"/>
        </w:rPr>
        <w:t xml:space="preserve"> состоянии детей раннего возраста перед стоматологическим приёмом выявлено не было. Но врач должен учитывать психологические и физиологические особенности пациентов, их повышенную личностную </w:t>
      </w:r>
      <w:r w:rsidRPr="005234C8">
        <w:rPr>
          <w:rFonts w:ascii="Times New Roman" w:hAnsi="Times New Roman" w:cs="Times New Roman"/>
          <w:sz w:val="28"/>
          <w:szCs w:val="28"/>
        </w:rPr>
        <w:lastRenderedPageBreak/>
        <w:t>тревожность в линии поведения, общения с ребенком, длительности стоматологических процедур, безболезненности лечебных манипуляций для дальнейшего позитивного отношения к стоматологическому лечению.</w:t>
      </w:r>
    </w:p>
    <w:p w:rsidR="005234C8" w:rsidRDefault="005234C8"/>
    <w:sectPr w:rsidR="0052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56"/>
    <w:rsid w:val="0006679E"/>
    <w:rsid w:val="004F7356"/>
    <w:rsid w:val="00522830"/>
    <w:rsid w:val="005234C8"/>
    <w:rsid w:val="0055506A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34C8"/>
  </w:style>
  <w:style w:type="paragraph" w:styleId="a5">
    <w:name w:val="Normal (Web)"/>
    <w:basedOn w:val="a"/>
    <w:uiPriority w:val="99"/>
    <w:rsid w:val="005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3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3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34C8"/>
  </w:style>
  <w:style w:type="paragraph" w:styleId="a5">
    <w:name w:val="Normal (Web)"/>
    <w:basedOn w:val="a"/>
    <w:uiPriority w:val="99"/>
    <w:rsid w:val="005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2017-11-02T16:50:00Z</dcterms:created>
  <dcterms:modified xsi:type="dcterms:W3CDTF">2017-11-04T16:35:00Z</dcterms:modified>
</cp:coreProperties>
</file>