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9BD" w:rsidRDefault="00E029BD" w:rsidP="00E029BD">
      <w:pPr>
        <w:rPr>
          <w:rFonts w:ascii="Times New Roman" w:hAnsi="Times New Roman" w:cs="Times New Roman"/>
          <w:sz w:val="28"/>
          <w:szCs w:val="28"/>
        </w:rPr>
      </w:pPr>
      <w:r w:rsidRPr="0059274B">
        <w:rPr>
          <w:rFonts w:ascii="Times New Roman" w:hAnsi="Times New Roman" w:cs="Times New Roman"/>
          <w:sz w:val="28"/>
          <w:szCs w:val="28"/>
        </w:rPr>
        <w:t>АНАЛІ</w:t>
      </w:r>
      <w:proofErr w:type="gramStart"/>
      <w:r w:rsidRPr="0059274B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59274B">
        <w:rPr>
          <w:rFonts w:ascii="Times New Roman" w:hAnsi="Times New Roman" w:cs="Times New Roman"/>
          <w:sz w:val="28"/>
          <w:szCs w:val="28"/>
        </w:rPr>
        <w:t xml:space="preserve"> ВПЛИВУ ТЕРАПІЇ НА ДОСЯГНЕННЯ ЦІЛЬОВОГО РІВНЯ АРТЕРІАЛЬНОГО ТИСКУ В АМБУЛАТОРНИХ УМОВАХ</w:t>
      </w:r>
    </w:p>
    <w:p w:rsidR="00E029BD" w:rsidRDefault="00E029BD" w:rsidP="00E029B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9274B">
        <w:rPr>
          <w:rFonts w:ascii="Times New Roman" w:hAnsi="Times New Roman" w:cs="Times New Roman"/>
          <w:sz w:val="28"/>
          <w:szCs w:val="28"/>
        </w:rPr>
        <w:t>Малишко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А.В., Смирнова В.І. </w:t>
      </w:r>
    </w:p>
    <w:p w:rsidR="00E029BD" w:rsidRDefault="00E029BD" w:rsidP="00E029B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9274B">
        <w:rPr>
          <w:rFonts w:ascii="Times New Roman" w:hAnsi="Times New Roman" w:cs="Times New Roman"/>
          <w:sz w:val="28"/>
          <w:szCs w:val="28"/>
        </w:rPr>
        <w:t>Харківський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національний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медичний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університет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, кафедра пропедевтики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внутрішньої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медицини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№1, </w:t>
      </w:r>
      <w:proofErr w:type="gramStart"/>
      <w:r w:rsidRPr="0059274B">
        <w:rPr>
          <w:rFonts w:ascii="Times New Roman" w:hAnsi="Times New Roman" w:cs="Times New Roman"/>
          <w:sz w:val="28"/>
          <w:szCs w:val="28"/>
        </w:rPr>
        <w:t xml:space="preserve">основ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59274B">
        <w:rPr>
          <w:rFonts w:ascii="Times New Roman" w:hAnsi="Times New Roman" w:cs="Times New Roman"/>
          <w:sz w:val="28"/>
          <w:szCs w:val="28"/>
        </w:rPr>
        <w:t>іоетики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біобезпеки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29BD" w:rsidRDefault="00E029BD" w:rsidP="00E029BD">
      <w:pPr>
        <w:rPr>
          <w:rFonts w:ascii="Times New Roman" w:hAnsi="Times New Roman" w:cs="Times New Roman"/>
          <w:sz w:val="28"/>
          <w:szCs w:val="28"/>
        </w:rPr>
      </w:pPr>
      <w:r w:rsidRPr="0059274B">
        <w:rPr>
          <w:rFonts w:ascii="Times New Roman" w:hAnsi="Times New Roman" w:cs="Times New Roman"/>
          <w:sz w:val="28"/>
          <w:szCs w:val="28"/>
        </w:rPr>
        <w:t xml:space="preserve">Мета і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проаналізувати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тактику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досягнення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цільового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9274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9274B">
        <w:rPr>
          <w:rFonts w:ascii="Times New Roman" w:hAnsi="Times New Roman" w:cs="Times New Roman"/>
          <w:sz w:val="28"/>
          <w:szCs w:val="28"/>
        </w:rPr>
        <w:t>івня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артеріального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тиску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(АТ) у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хворих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гіпертонічну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хворобу (ГХ) в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амбулаторних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умовах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029BD" w:rsidRDefault="00E029BD" w:rsidP="00E029B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9274B">
        <w:rPr>
          <w:rFonts w:ascii="Times New Roman" w:hAnsi="Times New Roman" w:cs="Times New Roman"/>
          <w:sz w:val="28"/>
          <w:szCs w:val="28"/>
        </w:rPr>
        <w:t>Матеріали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методи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: для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аналізу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відібрано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144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амбулаторних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карти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пацієнтів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9274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9274B">
        <w:rPr>
          <w:rFonts w:ascii="Times New Roman" w:hAnsi="Times New Roman" w:cs="Times New Roman"/>
          <w:sz w:val="28"/>
          <w:szCs w:val="28"/>
        </w:rPr>
        <w:t>іком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59,8±7,8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діагностовано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ГХ, з них 50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чоловіків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та 94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жінки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Вибірка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проводилась за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календарний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9274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9274B">
        <w:rPr>
          <w:rFonts w:ascii="Times New Roman" w:hAnsi="Times New Roman" w:cs="Times New Roman"/>
          <w:sz w:val="28"/>
          <w:szCs w:val="28"/>
        </w:rPr>
        <w:t>ік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>.</w:t>
      </w:r>
    </w:p>
    <w:p w:rsidR="00E029BD" w:rsidRDefault="00E029BD" w:rsidP="00E029B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9274B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: початково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цільовий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рівень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АТ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мали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7,8%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пацієнтів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лікування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змінювали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у 17%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пацієнтів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збільшували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дози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препарату у 35%,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зменьшували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дозу у 8%,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призначався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додатковий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препарат у 35%, проводилась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заміна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9274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59274B">
        <w:rPr>
          <w:rFonts w:ascii="Times New Roman" w:hAnsi="Times New Roman" w:cs="Times New Roman"/>
          <w:sz w:val="28"/>
          <w:szCs w:val="28"/>
        </w:rPr>
        <w:t xml:space="preserve"> препарат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іншого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класу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у 30%,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у 35%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змінювалась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торгова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назва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препаратів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приймав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хворий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протязі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року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достовірно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змінилася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(1,8±0,6 и 1,8 ±0,7), при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серед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хворих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повинні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досягнути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АТ ≤130/80 –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препаратів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приймали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зменшилась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з 2,4±0,6 до 1,8±0,7 (</w:t>
      </w:r>
      <w:proofErr w:type="gramStart"/>
      <w:r w:rsidRPr="0059274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9274B">
        <w:rPr>
          <w:rFonts w:ascii="Times New Roman" w:hAnsi="Times New Roman" w:cs="Times New Roman"/>
          <w:sz w:val="28"/>
          <w:szCs w:val="28"/>
        </w:rPr>
        <w:t xml:space="preserve">&lt; 0,05).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Частка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інгібіторів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ангіотензинперетворюючого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ферменту (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іАПФ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складала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60% на початку року та 76%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наприкінці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року;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тиазидні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діуретики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(ТД) 42% та 36%; бет</w:t>
      </w:r>
      <w:proofErr w:type="gramStart"/>
      <w:r w:rsidRPr="0059274B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592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блокатори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(ББ) 40% та 44%;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антагоністи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кальцію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(АК) 34% та 38%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. За </w:t>
      </w:r>
      <w:proofErr w:type="spellStart"/>
      <w:proofErr w:type="gramStart"/>
      <w:r w:rsidRPr="0059274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9274B">
        <w:rPr>
          <w:rFonts w:ascii="Times New Roman" w:hAnsi="Times New Roman" w:cs="Times New Roman"/>
          <w:sz w:val="28"/>
          <w:szCs w:val="28"/>
        </w:rPr>
        <w:t>ік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терапія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змінювалась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3,2±2,1 рази.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Частіша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зміна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терапії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жінок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приводила до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досягнення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цільового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АТ, та не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впливала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на АТ у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чоловіків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. До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кінця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року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у 22,5%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пацієнтів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вдалося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досягти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цільового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9274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9274B">
        <w:rPr>
          <w:rFonts w:ascii="Times New Roman" w:hAnsi="Times New Roman" w:cs="Times New Roman"/>
          <w:sz w:val="28"/>
          <w:szCs w:val="28"/>
        </w:rPr>
        <w:t>івня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АТ.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візитів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лікаря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склала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цілому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4,6 ±2,4 рази, але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хворі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досягли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цільового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9274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9274B">
        <w:rPr>
          <w:rFonts w:ascii="Times New Roman" w:hAnsi="Times New Roman" w:cs="Times New Roman"/>
          <w:sz w:val="28"/>
          <w:szCs w:val="28"/>
        </w:rPr>
        <w:t>івня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АТ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відвідували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лікаря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достовірно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частіше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ніж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ті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яким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вдалося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(8,4 ±2,1 та 4,1 ±1,4; р&lt;0,001). При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жінки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відвідували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лі</w:t>
      </w:r>
      <w:proofErr w:type="gramStart"/>
      <w:r w:rsidRPr="0059274B">
        <w:rPr>
          <w:rFonts w:ascii="Times New Roman" w:hAnsi="Times New Roman" w:cs="Times New Roman"/>
          <w:sz w:val="28"/>
          <w:szCs w:val="28"/>
        </w:rPr>
        <w:t>каря</w:t>
      </w:r>
      <w:proofErr w:type="spellEnd"/>
      <w:proofErr w:type="gramEnd"/>
      <w:r w:rsidRPr="00592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частіше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ніж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чоловіки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Пацієнти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досягли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цільового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9274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9274B">
        <w:rPr>
          <w:rFonts w:ascii="Times New Roman" w:hAnsi="Times New Roman" w:cs="Times New Roman"/>
          <w:sz w:val="28"/>
          <w:szCs w:val="28"/>
        </w:rPr>
        <w:t>івня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АТ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частіше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приймали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іАПФ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(100%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проти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70%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пацієнтів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досягли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цільового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рівня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АТ) та ТД (65%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проти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30%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E029BD" w:rsidRPr="0059274B" w:rsidRDefault="00E029BD" w:rsidP="00E029B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9274B">
        <w:rPr>
          <w:rFonts w:ascii="Times New Roman" w:hAnsi="Times New Roman" w:cs="Times New Roman"/>
          <w:sz w:val="28"/>
          <w:szCs w:val="28"/>
        </w:rPr>
        <w:t>Висновки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низькій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частоті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досягнення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цільового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9274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9274B">
        <w:rPr>
          <w:rFonts w:ascii="Times New Roman" w:hAnsi="Times New Roman" w:cs="Times New Roman"/>
          <w:sz w:val="28"/>
          <w:szCs w:val="28"/>
        </w:rPr>
        <w:t>івня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АТ у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хворих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на ГХ в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амбулаторних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умовах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(7,8% - 22,5%)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сприяє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, як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недостатнє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раціональної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комбінованої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терапії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залученням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ТД та АК, так і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фіксованих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низькодозових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комбінацій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антигіпертензивних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препаратів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>.</w:t>
      </w:r>
    </w:p>
    <w:p w:rsidR="008621AE" w:rsidRDefault="008621AE">
      <w:bookmarkStart w:id="0" w:name="_GoBack"/>
      <w:bookmarkEnd w:id="0"/>
    </w:p>
    <w:sectPr w:rsidR="008621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9BD"/>
    <w:rsid w:val="008621AE"/>
    <w:rsid w:val="00E02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9B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9B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smurf</dc:creator>
  <cp:lastModifiedBy>smurf</cp:lastModifiedBy>
  <cp:revision>1</cp:revision>
  <dcterms:created xsi:type="dcterms:W3CDTF">2017-10-20T13:17:00Z</dcterms:created>
  <dcterms:modified xsi:type="dcterms:W3CDTF">2017-10-20T13:18:00Z</dcterms:modified>
</cp:coreProperties>
</file>