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7085">
        <w:rPr>
          <w:rFonts w:ascii="Times New Roman" w:hAnsi="Times New Roman" w:cs="Times New Roman"/>
          <w:color w:val="000000"/>
          <w:sz w:val="28"/>
          <w:szCs w:val="28"/>
        </w:rPr>
        <w:t>Подригало</w:t>
      </w:r>
      <w:proofErr w:type="spellEnd"/>
      <w:r w:rsidRPr="00597085">
        <w:rPr>
          <w:rFonts w:ascii="Times New Roman" w:hAnsi="Times New Roman" w:cs="Times New Roman"/>
          <w:color w:val="000000"/>
          <w:sz w:val="28"/>
          <w:szCs w:val="28"/>
        </w:rPr>
        <w:t xml:space="preserve"> Л.В.</w:t>
      </w:r>
      <w:r w:rsidRPr="00597085">
        <w:rPr>
          <w:rFonts w:ascii="Times New Roman" w:hAnsi="Times New Roman" w:cs="Times New Roman"/>
          <w:i/>
          <w:iCs/>
          <w:color w:val="000000"/>
          <w:sz w:val="18"/>
          <w:szCs w:val="18"/>
        </w:rPr>
        <w:t>1</w:t>
      </w:r>
      <w:r w:rsidRPr="00597085">
        <w:rPr>
          <w:rFonts w:ascii="Times New Roman" w:hAnsi="Times New Roman" w:cs="Times New Roman"/>
          <w:color w:val="000000"/>
          <w:sz w:val="28"/>
          <w:szCs w:val="28"/>
        </w:rPr>
        <w:t>,д</w:t>
      </w:r>
      <w:proofErr w:type="gramStart"/>
      <w:r w:rsidRPr="0059708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597085">
        <w:rPr>
          <w:rFonts w:ascii="Times New Roman" w:hAnsi="Times New Roman" w:cs="Times New Roman"/>
          <w:color w:val="000000"/>
          <w:sz w:val="28"/>
          <w:szCs w:val="28"/>
        </w:rPr>
        <w:t>ед.н., проф.</w:t>
      </w:r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7085">
        <w:rPr>
          <w:rFonts w:ascii="Times New Roman" w:hAnsi="Times New Roman" w:cs="Times New Roman"/>
          <w:color w:val="000000"/>
          <w:sz w:val="28"/>
          <w:szCs w:val="28"/>
        </w:rPr>
        <w:t>Голодько</w:t>
      </w:r>
      <w:proofErr w:type="spellEnd"/>
      <w:r w:rsidRPr="00597085">
        <w:rPr>
          <w:rFonts w:ascii="Times New Roman" w:hAnsi="Times New Roman" w:cs="Times New Roman"/>
          <w:color w:val="000000"/>
          <w:sz w:val="28"/>
          <w:szCs w:val="28"/>
        </w:rPr>
        <w:t xml:space="preserve"> Е.А. </w:t>
      </w:r>
      <w:r w:rsidRPr="00597085">
        <w:rPr>
          <w:rFonts w:ascii="Times New Roman" w:hAnsi="Times New Roman" w:cs="Times New Roman"/>
          <w:i/>
          <w:iCs/>
          <w:color w:val="000000"/>
          <w:sz w:val="18"/>
          <w:szCs w:val="18"/>
        </w:rPr>
        <w:t>1</w:t>
      </w:r>
      <w:r w:rsidRPr="005970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9708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59708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597085">
        <w:rPr>
          <w:rFonts w:ascii="Times New Roman" w:hAnsi="Times New Roman" w:cs="Times New Roman"/>
          <w:color w:val="000000"/>
          <w:sz w:val="28"/>
          <w:szCs w:val="28"/>
        </w:rPr>
        <w:t>ед.н</w:t>
      </w:r>
      <w:proofErr w:type="spellEnd"/>
      <w:r w:rsidRPr="005970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085">
        <w:rPr>
          <w:rFonts w:ascii="Times New Roman" w:hAnsi="Times New Roman" w:cs="Times New Roman"/>
          <w:color w:val="000000"/>
          <w:sz w:val="28"/>
          <w:szCs w:val="28"/>
        </w:rPr>
        <w:t xml:space="preserve">Сокол К.М. </w:t>
      </w:r>
      <w:r w:rsidRPr="00597085">
        <w:rPr>
          <w:rFonts w:ascii="Times New Roman" w:hAnsi="Times New Roman" w:cs="Times New Roman"/>
          <w:i/>
          <w:iCs/>
          <w:color w:val="000000"/>
          <w:sz w:val="18"/>
          <w:szCs w:val="18"/>
        </w:rPr>
        <w:t>2</w:t>
      </w:r>
      <w:r w:rsidRPr="00597085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Start"/>
      <w:r w:rsidRPr="0059708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597085">
        <w:rPr>
          <w:rFonts w:ascii="Times New Roman" w:hAnsi="Times New Roman" w:cs="Times New Roman"/>
          <w:color w:val="000000"/>
          <w:sz w:val="28"/>
          <w:szCs w:val="28"/>
        </w:rPr>
        <w:t>ед.н., проф.</w:t>
      </w:r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085">
        <w:rPr>
          <w:rFonts w:ascii="Times New Roman" w:hAnsi="Times New Roman" w:cs="Times New Roman"/>
          <w:color w:val="000000"/>
          <w:sz w:val="28"/>
          <w:szCs w:val="28"/>
        </w:rPr>
        <w:t xml:space="preserve">Ровная О.А. </w:t>
      </w:r>
      <w:r w:rsidRPr="00597085">
        <w:rPr>
          <w:rFonts w:ascii="Times New Roman" w:hAnsi="Times New Roman" w:cs="Times New Roman"/>
          <w:i/>
          <w:iCs/>
          <w:color w:val="000000"/>
          <w:sz w:val="18"/>
          <w:szCs w:val="18"/>
        </w:rPr>
        <w:t>1</w:t>
      </w:r>
      <w:r w:rsidRPr="00597085">
        <w:rPr>
          <w:rFonts w:ascii="Times New Roman" w:hAnsi="Times New Roman" w:cs="Times New Roman"/>
          <w:color w:val="000000"/>
          <w:sz w:val="28"/>
          <w:szCs w:val="28"/>
        </w:rPr>
        <w:t xml:space="preserve">,к. </w:t>
      </w:r>
      <w:proofErr w:type="spellStart"/>
      <w:r w:rsidRPr="00597085">
        <w:rPr>
          <w:rFonts w:ascii="Times New Roman" w:hAnsi="Times New Roman" w:cs="Times New Roman"/>
          <w:color w:val="000000"/>
          <w:sz w:val="28"/>
          <w:szCs w:val="28"/>
        </w:rPr>
        <w:t>биол.н</w:t>
      </w:r>
      <w:proofErr w:type="spellEnd"/>
      <w:r w:rsidRPr="00597085">
        <w:rPr>
          <w:rFonts w:ascii="Times New Roman" w:hAnsi="Times New Roman" w:cs="Times New Roman"/>
          <w:color w:val="000000"/>
          <w:sz w:val="28"/>
          <w:szCs w:val="28"/>
        </w:rPr>
        <w:t>., доц.</w:t>
      </w:r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085">
        <w:rPr>
          <w:rFonts w:ascii="Times New Roman" w:hAnsi="Times New Roman" w:cs="Times New Roman"/>
          <w:i/>
          <w:iCs/>
          <w:color w:val="000000"/>
          <w:sz w:val="18"/>
          <w:szCs w:val="18"/>
        </w:rPr>
        <w:t>1</w:t>
      </w:r>
      <w:r w:rsidRPr="005970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Харьковская государственная академия физической культуры</w:t>
      </w:r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085">
        <w:rPr>
          <w:rFonts w:ascii="Times New Roman" w:hAnsi="Times New Roman" w:cs="Times New Roman"/>
          <w:i/>
          <w:iCs/>
          <w:color w:val="000000"/>
          <w:sz w:val="18"/>
          <w:szCs w:val="18"/>
        </w:rPr>
        <w:t>2</w:t>
      </w:r>
      <w:r w:rsidRPr="005970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Харьковский национальный медицинский университет</w:t>
      </w:r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59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ГИГИЕНИЧЕСКАЯ ОЦЕНКА ВЛИЯНИЯ МУЛЬТИМЕДИА НА ЗДОРОВЬЕ ШКОЛЬНИКОВ</w:t>
      </w:r>
      <w:bookmarkEnd w:id="0"/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Аннотация. </w:t>
      </w:r>
      <w:r w:rsidRPr="00597085">
        <w:rPr>
          <w:rFonts w:ascii="Times New Roman" w:hAnsi="Times New Roman" w:cs="Times New Roman"/>
          <w:color w:val="000000"/>
          <w:sz w:val="28"/>
          <w:szCs w:val="28"/>
        </w:rPr>
        <w:t>Установлена широкая распространенность электронных обучающих сре</w:t>
      </w:r>
      <w:proofErr w:type="gramStart"/>
      <w:r w:rsidRPr="00597085">
        <w:rPr>
          <w:rFonts w:ascii="Times New Roman" w:hAnsi="Times New Roman" w:cs="Times New Roman"/>
          <w:color w:val="000000"/>
          <w:sz w:val="28"/>
          <w:szCs w:val="28"/>
        </w:rPr>
        <w:t>дств в п</w:t>
      </w:r>
      <w:proofErr w:type="gramEnd"/>
      <w:r w:rsidRPr="00597085">
        <w:rPr>
          <w:rFonts w:ascii="Times New Roman" w:hAnsi="Times New Roman" w:cs="Times New Roman"/>
          <w:color w:val="000000"/>
          <w:sz w:val="28"/>
          <w:szCs w:val="28"/>
        </w:rPr>
        <w:t xml:space="preserve">овседневной жизни школьников. В условиях натурного гигиенического исследования изучено действие на зрительную работоспособность. </w:t>
      </w:r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Ключевые слова: </w:t>
      </w:r>
      <w:r w:rsidRPr="00597085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обучающие средства, школьники, </w:t>
      </w:r>
      <w:proofErr w:type="spellStart"/>
      <w:r w:rsidRPr="00597085">
        <w:rPr>
          <w:rFonts w:ascii="Times New Roman" w:hAnsi="Times New Roman" w:cs="Times New Roman"/>
          <w:color w:val="000000"/>
          <w:sz w:val="28"/>
          <w:szCs w:val="28"/>
        </w:rPr>
        <w:t>донозологические</w:t>
      </w:r>
      <w:proofErr w:type="spellEnd"/>
      <w:r w:rsidRPr="00597085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состояния. </w:t>
      </w:r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Постановка проблемы. </w:t>
      </w:r>
      <w:r w:rsidRPr="00597085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сфера обучения и досуга включает множество мультимедийных технологий, что изменяет образ жизни, существенно увеличивает информационно-визуальные нагрузки, повышает вероятность неблагоприятных изменений здоровья детей, подростков и молодежи [1, 2]. Центральное место среди мультимедиа, используемых в учебе, занимают электронные обучающие средства (ЭОС). Существующая потенциальная возможность негативного воздействия ЭОС на организм школьника может способствовать формированию нарушений здоровья, что обусловливает актуальность их изучения для организации соответствующей коррекции и профилактики [3, 4]. </w:t>
      </w:r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Pr="00597085">
        <w:rPr>
          <w:rFonts w:ascii="Times New Roman" w:hAnsi="Times New Roman" w:cs="Times New Roman"/>
          <w:color w:val="000000"/>
          <w:sz w:val="28"/>
          <w:szCs w:val="28"/>
        </w:rPr>
        <w:t xml:space="preserve">работы явилась гигиеническая оценка воздействия электронных обучающих средств на функциональное состояние школьников для профилактики развития </w:t>
      </w:r>
      <w:proofErr w:type="spellStart"/>
      <w:r w:rsidRPr="00597085">
        <w:rPr>
          <w:rFonts w:ascii="Times New Roman" w:hAnsi="Times New Roman" w:cs="Times New Roman"/>
          <w:color w:val="000000"/>
          <w:sz w:val="28"/>
          <w:szCs w:val="28"/>
        </w:rPr>
        <w:t>донозологических</w:t>
      </w:r>
      <w:proofErr w:type="spellEnd"/>
      <w:r w:rsidRPr="00597085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состояний. </w:t>
      </w:r>
      <w:r w:rsidRPr="0059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Задачами </w:t>
      </w:r>
      <w:r w:rsidRPr="00597085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было изучение распространенности использования данных продуктов в повседневной жизни школьников и исследование влияния информационно-компьютерных технологий (ИКТ) на работоспособность школьников в условиях натурного эксперимента. </w:t>
      </w:r>
    </w:p>
    <w:p w:rsidR="009D5A46" w:rsidRDefault="001A3A56" w:rsidP="009D5A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Материалы и методы. </w:t>
      </w:r>
      <w:r w:rsidRPr="00597085">
        <w:rPr>
          <w:rFonts w:ascii="Times New Roman" w:hAnsi="Times New Roman" w:cs="Times New Roman"/>
          <w:color w:val="000000"/>
          <w:sz w:val="28"/>
          <w:szCs w:val="28"/>
        </w:rPr>
        <w:t>Проведено анкетирование 330 школьников в возрасте 11–14 лет, относящихся к первой и второй группам здоровья, одной из школ г. Харькова. Инструментом обследования стала закрытая анкета, ориентированная на выявление режима использования ЭОС во время обучения и досуга. С целью соблюдения биоэтических требовани</w:t>
      </w:r>
      <w:r w:rsidR="00BA3643">
        <w:rPr>
          <w:rFonts w:ascii="Times New Roman" w:hAnsi="Times New Roman" w:cs="Times New Roman"/>
          <w:color w:val="000000"/>
          <w:sz w:val="28"/>
          <w:szCs w:val="28"/>
        </w:rPr>
        <w:t>й анкетирование было анонимным</w:t>
      </w:r>
      <w:r w:rsidR="00BA364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A3A56" w:rsidRPr="00597085" w:rsidRDefault="001A3A56" w:rsidP="009D5A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В условиях натурного эксперимента изучена динамика зрительной работоспособности 52 школьников в возрасте 10–12 лет, обучение которых осуществлялось как с применением ИКТ, так и традиционным методом. Изучали особенности организации уроков с помощью методики хронометража, зрительную работоспособность согласно общепринятой методике определения критической частоты световых мельканий (КЧСМ). </w:t>
      </w:r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Полученные данные обрабатывались в единой базе данных с помощью пакета 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 v. 7.0. Статистическую обработку данных </w:t>
      </w:r>
      <w:r w:rsidRPr="00597085">
        <w:rPr>
          <w:rFonts w:ascii="Times New Roman" w:hAnsi="Times New Roman" w:cs="Times New Roman"/>
          <w:sz w:val="28"/>
          <w:szCs w:val="28"/>
        </w:rPr>
        <w:lastRenderedPageBreak/>
        <w:t xml:space="preserve">проводили с использованием методов параметрической и непараметрической статистики с помощью комплекта прикладных программ [5]. </w:t>
      </w:r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и их обсуждение. </w:t>
      </w:r>
      <w:r w:rsidRPr="00597085">
        <w:rPr>
          <w:rFonts w:ascii="Times New Roman" w:hAnsi="Times New Roman" w:cs="Times New Roman"/>
          <w:sz w:val="28"/>
          <w:szCs w:val="28"/>
        </w:rPr>
        <w:t xml:space="preserve">Результаты анкетирования свидетельствуют, что мультимедийные продукты стали постоянным компонентом повседневной жизни школьников. Подтверждена высокая доступность компьютеров для современных школьников, (92,11±2,19%) имеют его дома. Среди занятий первые ранговые места занимают компьютерные игры, интернет и общение в чате, о которых сообщили, соответственно, 71,05±3,68%, 51,32±4,05% и 42,76±4,01% респондентов. Достаточно часто опрошенные выполняют с помощью компьютера домашние задания — 36,18±3,90%. Использование электронных библиотек и чтение электронных книг подтвердили 15,13±2,91% респондентов. </w:t>
      </w:r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Большинство школьников сообщили о ежедневных контактах с мультимедийными продуктами — 53,95±4,04%, не менее трех раз в неделю это делают 20,39±3,27% респондентов и лишь 30,26±3,73% считают свои контакты редкими. </w:t>
      </w:r>
      <w:proofErr w:type="gramStart"/>
      <w:r w:rsidRPr="00597085">
        <w:rPr>
          <w:rFonts w:ascii="Times New Roman" w:hAnsi="Times New Roman" w:cs="Times New Roman"/>
          <w:sz w:val="28"/>
          <w:szCs w:val="28"/>
        </w:rPr>
        <w:t xml:space="preserve">У 36,84±3,91% опрошенных сеанс составляет от 0,5 до 1 ч, у 27,63±3,63% — 1,5 - 3 ч. Количество школьников с короткими (до 30 мин) и длительными контактами (свыше 3 ч) составило, соответственно, 19,08±3,19 и 15,13±2,91%. Последняя группа требует особого внимания, т. к. в нее входят так называемые «геймеры», у которых высокий риск развития компьютерной зависимости. </w:t>
      </w:r>
      <w:proofErr w:type="gramEnd"/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Установлено, что более 40% опрошенных используют в процессе обучения электронные учебники, причем 36,18±3,90% применяют их для выполнения домашних заданий, а 5,26±1,81% — непосредственно на уроках. </w:t>
      </w:r>
    </w:p>
    <w:p w:rsidR="009D5A46" w:rsidRDefault="001A3A56" w:rsidP="009D5A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При оценке возможного развития компьютерной зависимости установлено, что 48,68±4,05% школьников постоянно контролируют время за компьютером, а 17,76±3,10% делают это иногда. Почти треть респондентов не ведет контроля времени за компьютером, что является фактором риска развития зависимости. Отказываются от других занятий ради компьютера 10,53±2,49% школьников и 31,58±3,77% делают это иногда. Увеличение времени на контакты с компьютером отметили 23,03±3,41% </w:t>
      </w:r>
      <w:proofErr w:type="gramStart"/>
      <w:r w:rsidRPr="00597085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597085">
        <w:rPr>
          <w:rFonts w:ascii="Times New Roman" w:hAnsi="Times New Roman" w:cs="Times New Roman"/>
          <w:sz w:val="28"/>
          <w:szCs w:val="28"/>
        </w:rPr>
        <w:t xml:space="preserve"> и еще 30,92±3,75% отмечают это эпизодически.</w:t>
      </w:r>
    </w:p>
    <w:p w:rsidR="001A3A56" w:rsidRPr="00597085" w:rsidRDefault="001A3A56" w:rsidP="009D5A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Среди признаков 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астенопических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 нарушений достаточно высокую распространенность имеют жалобы на слезотечение (22,37±3,38%), головную боль (13,82±2,80%), чувство давления в глазах (11,84±2,62%). Это также позволяет предполагать постепенное развитие 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донозологического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 состояния в процессе контактов с мультимедийными продуктами. </w:t>
      </w:r>
    </w:p>
    <w:p w:rsidR="001A3A56" w:rsidRPr="009D5A46" w:rsidRDefault="001A3A56" w:rsidP="00BA3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085">
        <w:rPr>
          <w:rFonts w:ascii="Times New Roman" w:hAnsi="Times New Roman" w:cs="Times New Roman"/>
          <w:sz w:val="28"/>
          <w:szCs w:val="28"/>
        </w:rPr>
        <w:t>Результаты позволяют предположить наличие у части респондентов психологической зависимости. Так при отсутствии контактов с компьютером у 33,55±3,83% школьников появляется желание включить его, 10,53±2,49% отмечали ухудшение настроения, 3,29±1,45% — тревогу, а 3,95±1,58% — непроизвольные печатающие движения пальцами. Причем после включения компьютера эти признаки исчезают у 23,03±3,41%, что также должно быть истолковано как подтверждение пос</w:t>
      </w:r>
      <w:r w:rsidR="009D5A46">
        <w:rPr>
          <w:rFonts w:ascii="Times New Roman" w:hAnsi="Times New Roman" w:cs="Times New Roman"/>
          <w:sz w:val="28"/>
          <w:szCs w:val="28"/>
        </w:rPr>
        <w:t>тепенного развития зависимости.</w:t>
      </w:r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Заключение. </w:t>
      </w:r>
      <w:r w:rsidRPr="00597085">
        <w:rPr>
          <w:rFonts w:ascii="Times New Roman" w:hAnsi="Times New Roman" w:cs="Times New Roman"/>
          <w:sz w:val="28"/>
          <w:szCs w:val="28"/>
        </w:rPr>
        <w:t xml:space="preserve">Полученные данные подтверждают широкую распространенность мультимедийных продуктов в повседневной жизни школьников, а длительность и кратность контактов с ними должны быть оценены как факторы риска для здоровья. В условиях натурного эксперимента подтвержден визуально агрессивный эффект ИКТ сравнительно с традиционными методами представления информации. Установленные факторы риска повышают вероятность формирования 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донозологических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 состояний у детей школьного возраста, что обусловливает необходимость комплексных профилактических мероприятий. </w:t>
      </w:r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использованной литературы </w:t>
      </w:r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 М.Л. Факторы визуального воздействия и их влияние на зрительный анализатор современных школьников / 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 М.Л., 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Подригало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 Л.В., Яворский А.В. // Международный медицинский журнал.- 1999.- Т.5, № 2.- С.133-135. </w:t>
      </w:r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Сергета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 И.В. Офтальмо-гигиенические аспекты современного визуального окружения детей, подростков и молодежи /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Сергета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Подригало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Малачкова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 Н.В. - Винница: Издательство – типография «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Діло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», 2009. – 176 с. </w:t>
      </w:r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>3. Изучение особенностей визуального окружения современной молодежи с помощью информационно-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энтропийного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 метода / Л.В. 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Подригало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 [и др.] // Медицина сегодня и завтра. – 2008. – № 1. – С. 140–144. </w:t>
      </w:r>
    </w:p>
    <w:p w:rsidR="001A3A56" w:rsidRPr="00597085" w:rsidRDefault="001A3A56" w:rsidP="00BA36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4. Полька Н.С. Актуальные проблемы использования 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-коммуникационных технологий в образовательном процессе / Н.С. Полька //Актуальные проблемы здоровья детей и подростков и пути их решения: материалы 3-го 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конгр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. участием. – М., 2012. – С. 324–326. </w:t>
      </w:r>
    </w:p>
    <w:p w:rsidR="00CC5365" w:rsidRPr="00BE1C03" w:rsidRDefault="001A3A56" w:rsidP="00BE1C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9708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Лапач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 С.Н. Статистические методы в медико-биологических исследованиях с использованием 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 xml:space="preserve"> / С.Н. </w:t>
      </w:r>
      <w:proofErr w:type="spellStart"/>
      <w:r w:rsidRPr="00597085">
        <w:rPr>
          <w:rFonts w:ascii="Times New Roman" w:hAnsi="Times New Roman" w:cs="Times New Roman"/>
          <w:sz w:val="28"/>
          <w:szCs w:val="28"/>
        </w:rPr>
        <w:t>Лапач</w:t>
      </w:r>
      <w:proofErr w:type="spellEnd"/>
      <w:r w:rsidRPr="00597085">
        <w:rPr>
          <w:rFonts w:ascii="Times New Roman" w:hAnsi="Times New Roman" w:cs="Times New Roman"/>
          <w:sz w:val="28"/>
          <w:szCs w:val="28"/>
        </w:rPr>
        <w:t>, А.В. Чубенко, П.Н. Бабич.</w:t>
      </w:r>
      <w:r w:rsidR="00BE1C03">
        <w:rPr>
          <w:rFonts w:ascii="Times New Roman" w:hAnsi="Times New Roman" w:cs="Times New Roman"/>
          <w:sz w:val="28"/>
          <w:szCs w:val="28"/>
        </w:rPr>
        <w:t xml:space="preserve"> – Киев: Морион, 2000. – 320 с.</w:t>
      </w:r>
    </w:p>
    <w:sectPr w:rsidR="00CC5365" w:rsidRPr="00BE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57"/>
    <w:rsid w:val="00065AA0"/>
    <w:rsid w:val="001A3A56"/>
    <w:rsid w:val="002F18D0"/>
    <w:rsid w:val="003019C4"/>
    <w:rsid w:val="005342EA"/>
    <w:rsid w:val="005B1A15"/>
    <w:rsid w:val="005E2657"/>
    <w:rsid w:val="005F7DD7"/>
    <w:rsid w:val="006811F8"/>
    <w:rsid w:val="00707071"/>
    <w:rsid w:val="008415C2"/>
    <w:rsid w:val="009D5A46"/>
    <w:rsid w:val="00A5025B"/>
    <w:rsid w:val="00BA3643"/>
    <w:rsid w:val="00BE1C03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2017-06-01T09:15:00Z</dcterms:created>
  <dcterms:modified xsi:type="dcterms:W3CDTF">2017-06-01T09:24:00Z</dcterms:modified>
</cp:coreProperties>
</file>