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71" w:rsidRPr="00CF2A95" w:rsidRDefault="00CF2A95" w:rsidP="00CF2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F2A95">
        <w:rPr>
          <w:rFonts w:ascii="Times New Roman" w:hAnsi="Times New Roman" w:cs="Times New Roman"/>
          <w:b/>
          <w:sz w:val="28"/>
          <w:szCs w:val="28"/>
          <w:lang w:val="uk-UA"/>
        </w:rPr>
        <w:t>МЕТАБОЛІЧНІ ПОРУШЕННЯ У ХВОРИХ НА АРТЕРІАЛЬНУ ГІПЕРТЕНЗІЮ З НЕАЛКОГОЛЬН</w:t>
      </w:r>
      <w:r w:rsidR="001210CF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Pr="00CF2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ЖИРОВО</w:t>
      </w:r>
      <w:r w:rsidR="001210C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CF2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ХВОРОБОЮ ПЕЧІНКИ</w:t>
      </w:r>
      <w:bookmarkEnd w:id="0"/>
    </w:p>
    <w:p w:rsidR="00223E71" w:rsidRPr="00CF2A95" w:rsidRDefault="00CF2A95" w:rsidP="00CF2A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2A9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223E71" w:rsidRPr="00CF2A95">
        <w:rPr>
          <w:rFonts w:ascii="Times New Roman" w:hAnsi="Times New Roman" w:cs="Times New Roman"/>
          <w:sz w:val="28"/>
          <w:szCs w:val="28"/>
          <w:lang w:val="uk-UA"/>
        </w:rPr>
        <w:t xml:space="preserve">Гопцій </w:t>
      </w:r>
      <w:r w:rsidRPr="00CF2A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23E71" w:rsidRPr="00CF2A95">
        <w:rPr>
          <w:rFonts w:ascii="Times New Roman" w:hAnsi="Times New Roman" w:cs="Times New Roman"/>
          <w:sz w:val="28"/>
          <w:szCs w:val="28"/>
          <w:lang w:val="uk-UA"/>
        </w:rPr>
        <w:t xml:space="preserve">.В., </w:t>
      </w:r>
      <w:r w:rsidRPr="00CF2A9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F2A95">
        <w:rPr>
          <w:rFonts w:ascii="Times New Roman" w:hAnsi="Times New Roman"/>
          <w:sz w:val="28"/>
          <w:szCs w:val="28"/>
          <w:lang w:val="uk-UA"/>
        </w:rPr>
        <w:t xml:space="preserve">Рєзнік Л.А., </w:t>
      </w:r>
      <w:r w:rsidRPr="00CF2A9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F2A95">
        <w:rPr>
          <w:rFonts w:ascii="Times New Roman" w:hAnsi="Times New Roman"/>
          <w:sz w:val="28"/>
          <w:szCs w:val="28"/>
          <w:lang w:val="uk-UA"/>
        </w:rPr>
        <w:t xml:space="preserve">Буряковська О.О., </w:t>
      </w:r>
      <w:r w:rsidRPr="00CF2A9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CF2A95">
        <w:rPr>
          <w:rFonts w:ascii="Times New Roman" w:hAnsi="Times New Roman"/>
          <w:sz w:val="28"/>
          <w:szCs w:val="28"/>
          <w:lang w:val="uk-UA"/>
        </w:rPr>
        <w:t>Вовченко М.М.</w:t>
      </w:r>
    </w:p>
    <w:p w:rsidR="00CF2A95" w:rsidRPr="00CF2A95" w:rsidRDefault="00CF2A95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A95">
        <w:rPr>
          <w:rFonts w:ascii="Times New Roman" w:hAnsi="Times New Roman"/>
          <w:sz w:val="28"/>
          <w:szCs w:val="28"/>
          <w:lang w:val="uk-UA"/>
        </w:rPr>
        <w:t>Науковий керівник</w:t>
      </w:r>
      <w:r w:rsidRPr="00CF2A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F2A95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CF2A95">
        <w:rPr>
          <w:rFonts w:ascii="Times New Roman" w:hAnsi="Times New Roman" w:cs="Times New Roman"/>
          <w:sz w:val="28"/>
          <w:szCs w:val="28"/>
          <w:lang w:val="uk-UA"/>
        </w:rPr>
        <w:t>., проф. Бабак О.Я.</w:t>
      </w:r>
    </w:p>
    <w:p w:rsidR="00CF2A95" w:rsidRPr="00CF2A95" w:rsidRDefault="00CF2A95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A9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223E71" w:rsidRPr="00CF2A95">
        <w:rPr>
          <w:rFonts w:ascii="Times New Roman" w:hAnsi="Times New Roman" w:cs="Times New Roman"/>
          <w:sz w:val="28"/>
          <w:szCs w:val="28"/>
          <w:lang w:val="uk-UA"/>
        </w:rPr>
        <w:t>Харківський нац</w:t>
      </w:r>
      <w:r w:rsidRPr="00CF2A95">
        <w:rPr>
          <w:rFonts w:ascii="Times New Roman" w:hAnsi="Times New Roman" w:cs="Times New Roman"/>
          <w:sz w:val="28"/>
          <w:szCs w:val="28"/>
          <w:lang w:val="uk-UA"/>
        </w:rPr>
        <w:t>іональний медичний університет</w:t>
      </w:r>
    </w:p>
    <w:p w:rsidR="00223E71" w:rsidRPr="00CF2A95" w:rsidRDefault="00CF2A95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A9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CF2A9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23E71" w:rsidRPr="00CF2A95">
        <w:rPr>
          <w:rFonts w:ascii="Times New Roman" w:hAnsi="Times New Roman" w:cs="Times New Roman"/>
          <w:sz w:val="28"/>
          <w:szCs w:val="28"/>
          <w:lang w:val="uk-UA"/>
        </w:rPr>
        <w:t>афедра внутрішньої медицини №1</w:t>
      </w:r>
    </w:p>
    <w:p w:rsidR="00CF2A95" w:rsidRPr="00CF2A95" w:rsidRDefault="00CF2A95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A95">
        <w:rPr>
          <w:rFonts w:ascii="Times New Roman" w:eastAsia="Times New Roman" w:hAnsi="Times New Roman"/>
          <w:bCs/>
          <w:color w:val="272727"/>
          <w:kern w:val="36"/>
          <w:sz w:val="28"/>
          <w:szCs w:val="28"/>
          <w:vertAlign w:val="superscript"/>
          <w:lang w:val="uk-UA" w:eastAsia="ru-RU"/>
        </w:rPr>
        <w:t>2</w:t>
      </w:r>
      <w:r w:rsidRPr="00CF2A95">
        <w:rPr>
          <w:rFonts w:ascii="Times New Roman" w:eastAsia="Times New Roman" w:hAnsi="Times New Roman"/>
          <w:bCs/>
          <w:color w:val="272727"/>
          <w:kern w:val="36"/>
          <w:sz w:val="28"/>
          <w:szCs w:val="28"/>
          <w:lang w:val="uk-UA" w:eastAsia="ru-RU"/>
        </w:rPr>
        <w:t>ДУ “Національний інститут терапії імені Л.Т. Малої НАМНУ”</w:t>
      </w:r>
    </w:p>
    <w:p w:rsidR="00CF2A95" w:rsidRPr="00CF2A95" w:rsidRDefault="00CF2A95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A95">
        <w:rPr>
          <w:rFonts w:ascii="Times New Roman" w:hAnsi="Times New Roman"/>
          <w:color w:val="272727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CF2A95">
        <w:rPr>
          <w:rFonts w:ascii="Times New Roman" w:hAnsi="Times New Roman"/>
          <w:color w:val="272727"/>
          <w:sz w:val="28"/>
          <w:szCs w:val="28"/>
          <w:shd w:val="clear" w:color="auto" w:fill="FFFFFF"/>
          <w:lang w:val="uk-UA"/>
        </w:rPr>
        <w:t>Відділ комплексного зниження ризику хронічних неінфекційних захворювань</w:t>
      </w:r>
    </w:p>
    <w:p w:rsidR="00223E71" w:rsidRPr="00223E71" w:rsidRDefault="00223E71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E71" w:rsidRPr="00223E71" w:rsidRDefault="00223E71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71">
        <w:rPr>
          <w:rFonts w:ascii="Times New Roman" w:hAnsi="Times New Roman" w:cs="Times New Roman"/>
          <w:sz w:val="28"/>
          <w:szCs w:val="28"/>
          <w:lang w:val="uk-UA"/>
        </w:rPr>
        <w:t>Мета. Вивч</w:t>
      </w:r>
      <w:r w:rsidR="00FD31B9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FD31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лептину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та індексу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</w:t>
      </w:r>
      <w:proofErr w:type="spellEnd"/>
      <w:r w:rsidR="00FD31B9">
        <w:rPr>
          <w:rFonts w:ascii="Times New Roman" w:hAnsi="Times New Roman" w:cs="Times New Roman"/>
          <w:sz w:val="28"/>
          <w:szCs w:val="28"/>
          <w:lang w:val="uk-UA"/>
        </w:rPr>
        <w:t xml:space="preserve"> (ІР)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артеріальну гіпертензію (АГ) з неалкогольн</w:t>
      </w:r>
      <w:r w:rsidR="00FD31B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жирово</w:t>
      </w:r>
      <w:r w:rsidR="00FD31B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хворобою печінки</w:t>
      </w:r>
      <w:r w:rsidR="00FD31B9">
        <w:rPr>
          <w:rFonts w:ascii="Times New Roman" w:hAnsi="Times New Roman" w:cs="Times New Roman"/>
          <w:sz w:val="28"/>
          <w:szCs w:val="28"/>
          <w:lang w:val="uk-UA"/>
        </w:rPr>
        <w:t xml:space="preserve"> (НАЖХП)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E71" w:rsidRPr="00223E71" w:rsidRDefault="00223E71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71">
        <w:rPr>
          <w:rFonts w:ascii="Times New Roman" w:hAnsi="Times New Roman" w:cs="Times New Roman"/>
          <w:sz w:val="28"/>
          <w:szCs w:val="28"/>
          <w:lang w:val="uk-UA"/>
        </w:rPr>
        <w:t>Матеріали та методи. Обстежено 123 хворих АГ, середній вік 53,87 ± 3,92 років. Всі хворі пройшли детальне клінічне, антропометричн</w:t>
      </w:r>
      <w:r w:rsidR="00056818">
        <w:rPr>
          <w:rFonts w:ascii="Times New Roman" w:hAnsi="Times New Roman" w:cs="Times New Roman"/>
          <w:sz w:val="28"/>
          <w:szCs w:val="28"/>
          <w:lang w:val="uk-UA"/>
        </w:rPr>
        <w:t>е, лабораторне обстеження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. Для характеристики маси тіла використовували індекс маси тіла (ІМТ). Рівень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лептину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, інсуліну визначали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імуноферментним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методом. НАЖ</w:t>
      </w:r>
      <w:r w:rsidR="0005681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П визначали за допомогою ультразвукового дослідження. Індекс ІР (індекс НОМА) розраховували за формулою. </w:t>
      </w:r>
    </w:p>
    <w:p w:rsidR="00223E71" w:rsidRPr="00223E71" w:rsidRDefault="00223E71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71">
        <w:rPr>
          <w:rFonts w:ascii="Times New Roman" w:hAnsi="Times New Roman" w:cs="Times New Roman"/>
          <w:sz w:val="28"/>
          <w:szCs w:val="28"/>
          <w:lang w:val="uk-UA"/>
        </w:rPr>
        <w:t>Всіх пацієнтів розділили на 2 групи: 1-</w:t>
      </w:r>
      <w:r w:rsidR="00FD31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- 103 пацієнта АГ з НАЖ</w:t>
      </w:r>
      <w:r w:rsidR="00FD31B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П, 2-</w:t>
      </w:r>
      <w:r w:rsidR="000568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- 20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гіпертензивних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без НАЖ</w:t>
      </w:r>
      <w:r w:rsidR="00FD31B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П.</w:t>
      </w:r>
    </w:p>
    <w:p w:rsidR="00223E71" w:rsidRPr="00223E71" w:rsidRDefault="00223E71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71">
        <w:rPr>
          <w:rFonts w:ascii="Times New Roman" w:hAnsi="Times New Roman" w:cs="Times New Roman"/>
          <w:sz w:val="28"/>
          <w:szCs w:val="28"/>
          <w:lang w:val="uk-UA"/>
        </w:rPr>
        <w:t>Результати. Встановлено, що у пацієнтів АГ з НАЖ</w:t>
      </w:r>
      <w:r w:rsidR="0012732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П цифри артеріального тиску (СА</w:t>
      </w:r>
      <w:r w:rsidR="0012732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176,20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±1,51 мм </w:t>
      </w:r>
      <w:proofErr w:type="spellStart"/>
      <w:r w:rsidR="001210CF">
        <w:rPr>
          <w:rFonts w:ascii="Times New Roman" w:hAnsi="Times New Roman" w:cs="Times New Roman"/>
          <w:sz w:val="28"/>
          <w:szCs w:val="28"/>
          <w:lang w:val="uk-UA"/>
        </w:rPr>
        <w:t>рт.ст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>., ДАТ 102,83±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0,77 мм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рт.ст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.) достовірно перевищували цифри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гіпертензивних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без НАЖ</w:t>
      </w:r>
      <w:r w:rsidR="0012732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П (СА</w:t>
      </w:r>
      <w:r w:rsidR="0012732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 155,80±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3,14 мм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рт.ст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ДАТ 94,55±1,20 мм </w:t>
      </w:r>
      <w:proofErr w:type="spellStart"/>
      <w:r w:rsidR="001210CF">
        <w:rPr>
          <w:rFonts w:ascii="Times New Roman" w:hAnsi="Times New Roman" w:cs="Times New Roman"/>
          <w:sz w:val="28"/>
          <w:szCs w:val="28"/>
          <w:lang w:val="uk-UA"/>
        </w:rPr>
        <w:t>рт.ст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>.), (р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&lt;0,05). Виявлено, що з підвищенням ступеня ожиріння підвищується ризик розвитку НАЖ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П, так у пацієнтів АГ з НАЖ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>ХП ІМТ (33,91±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0,49 кг/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06B5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) достовірно перевищував ІМТ пацієнтів АГ без НАЖ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>П (23,81±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0,2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2 кг/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06B5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. Рівень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лептину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(11,66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±0,74 </w:t>
      </w:r>
      <w:proofErr w:type="spellStart"/>
      <w:r w:rsidR="001210CF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>/мл, у жінок 12,87±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,02 </w:t>
      </w:r>
      <w:proofErr w:type="spellStart"/>
      <w:r w:rsidR="001210CF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>/мл, у чоловіків 9,41±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0,84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>/мл), індекс НОМА (3,87±0,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39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усл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>.) у пацієнтів АГ з НАЖ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П були достовірно вище </w:t>
      </w:r>
      <w:r w:rsidR="001210CF" w:rsidRPr="00223E71">
        <w:rPr>
          <w:rFonts w:ascii="Times New Roman" w:hAnsi="Times New Roman" w:cs="Times New Roman"/>
          <w:sz w:val="28"/>
          <w:szCs w:val="28"/>
          <w:lang w:val="uk-UA"/>
        </w:rPr>
        <w:t>порівняно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гіпертензивними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пацієнтами без НАЖ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П: рівень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>птину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 (7,34±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0,77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/мл, у жінок 7,55±1,28 </w:t>
      </w:r>
      <w:proofErr w:type="spellStart"/>
      <w:r w:rsidR="001210CF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л, у чоловіків 7,16 ± 1,00 </w:t>
      </w:r>
      <w:proofErr w:type="spellStart"/>
      <w:r w:rsidR="001210CF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л), індекс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 НОМА (1,45±0,16 </w:t>
      </w:r>
      <w:proofErr w:type="spellStart"/>
      <w:r w:rsidR="001210CF">
        <w:rPr>
          <w:rFonts w:ascii="Times New Roman" w:hAnsi="Times New Roman" w:cs="Times New Roman"/>
          <w:sz w:val="28"/>
          <w:szCs w:val="28"/>
          <w:lang w:val="uk-UA"/>
        </w:rPr>
        <w:t>усл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210CF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="001210CF">
        <w:rPr>
          <w:rFonts w:ascii="Times New Roman" w:hAnsi="Times New Roman" w:cs="Times New Roman"/>
          <w:sz w:val="28"/>
          <w:szCs w:val="28"/>
          <w:lang w:val="uk-UA"/>
        </w:rPr>
        <w:t>.), (р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&lt;0,05).</w:t>
      </w:r>
    </w:p>
    <w:p w:rsidR="00223E71" w:rsidRPr="00223E71" w:rsidRDefault="00223E71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71">
        <w:rPr>
          <w:rFonts w:ascii="Times New Roman" w:hAnsi="Times New Roman" w:cs="Times New Roman"/>
          <w:sz w:val="28"/>
          <w:szCs w:val="28"/>
          <w:lang w:val="uk-UA"/>
        </w:rPr>
        <w:t>При проведенні кореляційного аналізу в групі пацієнтів АГ з НАЖ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П виявлен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зв'язок між рівнем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лептину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та ІМТ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 (R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>0,30; р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&lt;0,05), індексом НОМА</w:t>
      </w:r>
      <w:r w:rsidR="001210CF">
        <w:rPr>
          <w:rFonts w:ascii="Times New Roman" w:hAnsi="Times New Roman" w:cs="Times New Roman"/>
          <w:sz w:val="28"/>
          <w:szCs w:val="28"/>
          <w:lang w:val="uk-UA"/>
        </w:rPr>
        <w:t xml:space="preserve"> (R=0,34, p=0,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0004).</w:t>
      </w:r>
    </w:p>
    <w:p w:rsidR="0094117C" w:rsidRPr="00223E71" w:rsidRDefault="00223E71" w:rsidP="00CF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71">
        <w:rPr>
          <w:rFonts w:ascii="Times New Roman" w:hAnsi="Times New Roman" w:cs="Times New Roman"/>
          <w:sz w:val="28"/>
          <w:szCs w:val="28"/>
          <w:lang w:val="uk-UA"/>
        </w:rPr>
        <w:t>Висновки. Встановлено, що у пацієнтів на артеріальну гіпертензію з НАЖ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П рівень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лептину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та індекс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інсулірезістентності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достовірно збільшувався </w:t>
      </w:r>
      <w:r w:rsidR="001210CF" w:rsidRPr="00223E71">
        <w:rPr>
          <w:rFonts w:ascii="Times New Roman" w:hAnsi="Times New Roman" w:cs="Times New Roman"/>
          <w:sz w:val="28"/>
          <w:szCs w:val="28"/>
          <w:lang w:val="uk-UA"/>
        </w:rPr>
        <w:t>порівняно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гіпертензивними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пацієнтами без НАЖ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П. Виявлено взаємозв'язок між рівнем </w:t>
      </w:r>
      <w:proofErr w:type="spellStart"/>
      <w:r w:rsidRPr="00223E71">
        <w:rPr>
          <w:rFonts w:ascii="Times New Roman" w:hAnsi="Times New Roman" w:cs="Times New Roman"/>
          <w:sz w:val="28"/>
          <w:szCs w:val="28"/>
          <w:lang w:val="uk-UA"/>
        </w:rPr>
        <w:t>лептину</w:t>
      </w:r>
      <w:proofErr w:type="spellEnd"/>
      <w:r w:rsidRPr="00223E71">
        <w:rPr>
          <w:rFonts w:ascii="Times New Roman" w:hAnsi="Times New Roman" w:cs="Times New Roman"/>
          <w:sz w:val="28"/>
          <w:szCs w:val="28"/>
          <w:lang w:val="uk-UA"/>
        </w:rPr>
        <w:t xml:space="preserve"> та індексом НОМА у пацієнтів з НАЖ</w:t>
      </w:r>
      <w:r w:rsidR="00A06B5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3E71">
        <w:rPr>
          <w:rFonts w:ascii="Times New Roman" w:hAnsi="Times New Roman" w:cs="Times New Roman"/>
          <w:sz w:val="28"/>
          <w:szCs w:val="28"/>
          <w:lang w:val="uk-UA"/>
        </w:rPr>
        <w:t>П.</w:t>
      </w:r>
    </w:p>
    <w:sectPr w:rsidR="0094117C" w:rsidRPr="00223E71" w:rsidSect="00223E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1"/>
    <w:rsid w:val="00056818"/>
    <w:rsid w:val="001210CF"/>
    <w:rsid w:val="0012732F"/>
    <w:rsid w:val="00223E71"/>
    <w:rsid w:val="0094117C"/>
    <w:rsid w:val="00A06B51"/>
    <w:rsid w:val="00B82A04"/>
    <w:rsid w:val="00CF2A95"/>
    <w:rsid w:val="00EA701E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1F01-FB81-48AD-B680-7754C0EB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2017-03-01T12:01:00Z</cp:lastPrinted>
  <dcterms:created xsi:type="dcterms:W3CDTF">2017-03-01T12:31:00Z</dcterms:created>
  <dcterms:modified xsi:type="dcterms:W3CDTF">2017-03-01T12:31:00Z</dcterms:modified>
</cp:coreProperties>
</file>