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1B" w:rsidRDefault="00DE521B" w:rsidP="00DE521B">
      <w:pPr>
        <w:spacing w:line="360" w:lineRule="auto"/>
        <w:jc w:val="center"/>
        <w:rPr>
          <w:rFonts w:ascii="Tinos" w:hAnsi="Tinos"/>
          <w:color w:val="231F20"/>
          <w:sz w:val="28"/>
          <w:szCs w:val="28"/>
        </w:rPr>
      </w:pPr>
      <w:r>
        <w:rPr>
          <w:rFonts w:ascii="Tinos" w:hAnsi="Tinos"/>
          <w:color w:val="231F20"/>
          <w:sz w:val="28"/>
          <w:szCs w:val="28"/>
        </w:rPr>
        <w:t>МІНІСТЕРСТВО ОХОРОНИ ЗДОРОВ’Я УКРАЇНИ</w:t>
      </w:r>
      <w:r>
        <w:rPr>
          <w:rFonts w:ascii="Tinos" w:hAnsi="Tinos"/>
          <w:color w:val="231F20"/>
          <w:sz w:val="28"/>
          <w:szCs w:val="28"/>
        </w:rPr>
        <w:br/>
        <w:t>ДУ «ЦЕНТРАЛЬНИЙ МЕТОДИЧНИЙ КАБІНЕТ</w:t>
      </w:r>
      <w:r>
        <w:rPr>
          <w:rFonts w:ascii="Tinos" w:hAnsi="Tinos"/>
          <w:color w:val="231F20"/>
          <w:sz w:val="28"/>
          <w:szCs w:val="28"/>
        </w:rPr>
        <w:br/>
        <w:t>З ВИЩОЇ МЕДИЧНОЇ ОСВІТИ МОЗ УКРАЇНИ»</w:t>
      </w:r>
      <w:r>
        <w:rPr>
          <w:rFonts w:ascii="Tinos" w:hAnsi="Tinos"/>
          <w:color w:val="231F20"/>
          <w:sz w:val="28"/>
          <w:szCs w:val="28"/>
        </w:rPr>
        <w:br/>
        <w:t>ДВНЗ «ТЕРНОПІЛЬСЬКИЙ ДЕРЖАВНИЙ МЕДИЧНИЙ УНІВЕРСИТЕТ</w:t>
      </w:r>
      <w:r>
        <w:rPr>
          <w:rFonts w:ascii="Tinos" w:hAnsi="Tinos"/>
          <w:color w:val="231F20"/>
          <w:sz w:val="28"/>
          <w:szCs w:val="28"/>
        </w:rPr>
        <w:br/>
        <w:t>ІМЕНІ І. Я. ГОРБАЧЕВСЬКОГО МОЗ УКРАЇНИ»</w:t>
      </w:r>
    </w:p>
    <w:p w:rsidR="00DE521B" w:rsidRDefault="00DE521B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32"/>
          <w:szCs w:val="32"/>
        </w:rPr>
      </w:pPr>
      <w:r>
        <w:rPr>
          <w:rFonts w:ascii="Tinos" w:hAnsi="Tinos"/>
          <w:color w:val="231F20"/>
          <w:sz w:val="28"/>
          <w:szCs w:val="28"/>
        </w:rPr>
        <w:br/>
      </w:r>
      <w:r>
        <w:rPr>
          <w:rFonts w:ascii="Tinos-Bold" w:hAnsi="Tinos-Bold"/>
          <w:b/>
          <w:bCs/>
          <w:color w:val="231F20"/>
          <w:sz w:val="32"/>
          <w:szCs w:val="32"/>
        </w:rPr>
        <w:t>МАТЕРІАЛИ</w:t>
      </w:r>
    </w:p>
    <w:p w:rsidR="00DE521B" w:rsidRDefault="00DE521B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32"/>
          <w:szCs w:val="32"/>
        </w:rPr>
      </w:pPr>
      <w:r>
        <w:rPr>
          <w:rFonts w:ascii="Tinos-Bold" w:hAnsi="Tinos-Bold"/>
          <w:color w:val="231F20"/>
          <w:sz w:val="32"/>
          <w:szCs w:val="32"/>
        </w:rPr>
        <w:br/>
      </w:r>
      <w:r>
        <w:rPr>
          <w:rFonts w:ascii="Tinos-Bold" w:hAnsi="Tinos-Bold"/>
          <w:b/>
          <w:bCs/>
          <w:color w:val="231F20"/>
          <w:sz w:val="32"/>
          <w:szCs w:val="32"/>
        </w:rPr>
        <w:t>XIV Всеукраїнської науково-практичної конференції</w:t>
      </w:r>
      <w:r>
        <w:rPr>
          <w:rFonts w:ascii="Tinos-Bold" w:hAnsi="Tinos-Bold"/>
          <w:color w:val="231F20"/>
          <w:sz w:val="32"/>
          <w:szCs w:val="32"/>
        </w:rPr>
        <w:br/>
      </w:r>
      <w:r>
        <w:rPr>
          <w:rFonts w:ascii="Tinos-Bold" w:hAnsi="Tinos-Bold"/>
          <w:b/>
          <w:bCs/>
          <w:color w:val="231F20"/>
          <w:sz w:val="32"/>
          <w:szCs w:val="32"/>
        </w:rPr>
        <w:t>з міжнародною участю, присвяченої 60-річчю ТДМУ</w:t>
      </w:r>
    </w:p>
    <w:p w:rsidR="00DE521B" w:rsidRDefault="00DE521B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48"/>
          <w:szCs w:val="48"/>
        </w:rPr>
      </w:pPr>
      <w:r>
        <w:rPr>
          <w:rFonts w:ascii="Tinos-Bold" w:hAnsi="Tinos-Bold"/>
          <w:color w:val="231F20"/>
          <w:sz w:val="32"/>
          <w:szCs w:val="32"/>
        </w:rPr>
        <w:br/>
      </w:r>
      <w:r>
        <w:rPr>
          <w:rFonts w:ascii="Tinos-Bold" w:hAnsi="Tinos-Bold"/>
          <w:b/>
          <w:bCs/>
          <w:color w:val="231F20"/>
          <w:sz w:val="48"/>
          <w:szCs w:val="48"/>
        </w:rPr>
        <w:t>СУЧАСНІ ПІДХОДИ ДО ВИЩОЇ</w:t>
      </w:r>
      <w:r>
        <w:rPr>
          <w:rFonts w:ascii="Tinos-Bold" w:hAnsi="Tinos-Bold"/>
          <w:color w:val="231F20"/>
          <w:sz w:val="48"/>
          <w:szCs w:val="48"/>
        </w:rPr>
        <w:br/>
      </w:r>
      <w:r>
        <w:rPr>
          <w:rFonts w:ascii="Tinos-Bold" w:hAnsi="Tinos-Bold"/>
          <w:b/>
          <w:bCs/>
          <w:color w:val="231F20"/>
          <w:sz w:val="48"/>
          <w:szCs w:val="48"/>
        </w:rPr>
        <w:t>МЕДИЧНОЇ ОСВІТИ В УКРАЇНІ</w:t>
      </w:r>
    </w:p>
    <w:p w:rsidR="00966573" w:rsidRDefault="00DE521B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28"/>
          <w:szCs w:val="28"/>
        </w:rPr>
      </w:pPr>
      <w:r>
        <w:rPr>
          <w:rFonts w:ascii="Tinos-Bold" w:hAnsi="Tinos-Bold"/>
          <w:color w:val="231F20"/>
          <w:sz w:val="48"/>
          <w:szCs w:val="48"/>
        </w:rPr>
        <w:br/>
      </w:r>
      <w:r>
        <w:rPr>
          <w:rFonts w:ascii="Tinos-Bold" w:hAnsi="Tinos-Bold"/>
          <w:b/>
          <w:bCs/>
          <w:color w:val="231F20"/>
          <w:sz w:val="36"/>
          <w:szCs w:val="36"/>
        </w:rPr>
        <w:t>(з дистанційним під’єднанням ВМ(Ф)НЗ України</w:t>
      </w:r>
      <w:r>
        <w:rPr>
          <w:rFonts w:ascii="Tinos-Bold" w:hAnsi="Tinos-Bold"/>
          <w:color w:val="231F20"/>
          <w:sz w:val="36"/>
          <w:szCs w:val="36"/>
        </w:rPr>
        <w:br/>
      </w:r>
      <w:r>
        <w:rPr>
          <w:rFonts w:ascii="Tinos-Bold" w:hAnsi="Tinos-Bold"/>
          <w:b/>
          <w:bCs/>
          <w:color w:val="231F20"/>
          <w:sz w:val="36"/>
          <w:szCs w:val="36"/>
        </w:rPr>
        <w:t xml:space="preserve">за допомогою </w:t>
      </w:r>
      <w:proofErr w:type="spellStart"/>
      <w:r>
        <w:rPr>
          <w:rFonts w:ascii="Tinos-Bold" w:hAnsi="Tinos-Bold"/>
          <w:b/>
          <w:bCs/>
          <w:color w:val="231F20"/>
          <w:sz w:val="36"/>
          <w:szCs w:val="36"/>
        </w:rPr>
        <w:t>відеоконференц</w:t>
      </w:r>
      <w:proofErr w:type="spellEnd"/>
      <w:r>
        <w:rPr>
          <w:rFonts w:ascii="Tinos-Bold" w:hAnsi="Tinos-Bold"/>
          <w:b/>
          <w:bCs/>
          <w:color w:val="231F20"/>
          <w:sz w:val="36"/>
          <w:szCs w:val="36"/>
        </w:rPr>
        <w:t>-зв’язку)</w:t>
      </w:r>
      <w:r>
        <w:rPr>
          <w:rFonts w:ascii="Tinos-Bold" w:hAnsi="Tinos-Bold"/>
          <w:color w:val="231F20"/>
          <w:sz w:val="36"/>
          <w:szCs w:val="36"/>
        </w:rPr>
        <w:br/>
      </w:r>
      <w:r>
        <w:rPr>
          <w:rFonts w:ascii="Tinos-Bold" w:hAnsi="Tinos-Bold"/>
          <w:b/>
          <w:bCs/>
          <w:color w:val="231F20"/>
          <w:sz w:val="28"/>
          <w:szCs w:val="28"/>
        </w:rPr>
        <w:t>18–19 травня 2017 року</w:t>
      </w:r>
      <w:r>
        <w:rPr>
          <w:rFonts w:ascii="Tinos-Bold" w:hAnsi="Tinos-Bold"/>
          <w:color w:val="231F20"/>
          <w:sz w:val="28"/>
          <w:szCs w:val="28"/>
        </w:rPr>
        <w:br/>
      </w:r>
      <w:r>
        <w:rPr>
          <w:rFonts w:ascii="Tinos-Bold" w:hAnsi="Tinos-Bold"/>
          <w:b/>
          <w:bCs/>
          <w:color w:val="231F20"/>
          <w:sz w:val="28"/>
          <w:szCs w:val="28"/>
        </w:rPr>
        <w:t>м. Тернопіль</w:t>
      </w:r>
    </w:p>
    <w:p w:rsidR="00C23DA2" w:rsidRDefault="00C23DA2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28"/>
          <w:szCs w:val="28"/>
        </w:rPr>
      </w:pPr>
    </w:p>
    <w:p w:rsidR="00C23DA2" w:rsidRDefault="00C23DA2" w:rsidP="00DE521B">
      <w:pPr>
        <w:spacing w:line="360" w:lineRule="auto"/>
        <w:jc w:val="center"/>
        <w:rPr>
          <w:rFonts w:ascii="Tinos-Bold" w:hAnsi="Tinos-Bold"/>
          <w:b/>
          <w:bCs/>
          <w:color w:val="231F20"/>
          <w:sz w:val="28"/>
          <w:szCs w:val="28"/>
        </w:rPr>
      </w:pPr>
    </w:p>
    <w:p w:rsidR="00C23DA2" w:rsidRDefault="00C23DA2" w:rsidP="00DE521B">
      <w:pPr>
        <w:spacing w:line="360" w:lineRule="auto"/>
        <w:jc w:val="center"/>
        <w:rPr>
          <w:rFonts w:ascii="Tinos-Bold" w:hAnsi="Tinos-Bold"/>
          <w:b/>
          <w:bCs/>
          <w:color w:val="231F20"/>
        </w:rPr>
      </w:pPr>
    </w:p>
    <w:p w:rsidR="00966573" w:rsidRDefault="00C23DA2" w:rsidP="00C23DA2">
      <w:pPr>
        <w:jc w:val="center"/>
        <w:rPr>
          <w:rFonts w:ascii="Tinos-Bold" w:hAnsi="Tinos-Bold"/>
          <w:b/>
          <w:bCs/>
          <w:color w:val="231F20"/>
        </w:rPr>
      </w:pPr>
      <w:r>
        <w:rPr>
          <w:rFonts w:ascii="Tinos-Bold" w:hAnsi="Tinos-Bold"/>
          <w:b/>
          <w:bCs/>
          <w:color w:val="231F20"/>
          <w:sz w:val="28"/>
          <w:szCs w:val="28"/>
        </w:rPr>
        <w:t>У двох томах</w:t>
      </w:r>
      <w:r>
        <w:rPr>
          <w:rFonts w:ascii="Tinos-Bold" w:hAnsi="Tinos-Bold"/>
          <w:color w:val="231F20"/>
          <w:sz w:val="28"/>
          <w:szCs w:val="28"/>
        </w:rPr>
        <w:br/>
      </w:r>
      <w:r>
        <w:rPr>
          <w:rFonts w:ascii="Tinos-Bold" w:hAnsi="Tinos-Bold"/>
          <w:b/>
          <w:bCs/>
          <w:color w:val="231F20"/>
          <w:sz w:val="28"/>
          <w:szCs w:val="28"/>
        </w:rPr>
        <w:t>ТОМ 2</w:t>
      </w:r>
    </w:p>
    <w:p w:rsidR="00966573" w:rsidRDefault="00966573">
      <w:pPr>
        <w:rPr>
          <w:rFonts w:ascii="Tinos-Bold" w:hAnsi="Tinos-Bold"/>
          <w:b/>
          <w:bCs/>
          <w:color w:val="231F20"/>
        </w:rPr>
      </w:pPr>
    </w:p>
    <w:p w:rsidR="00966573" w:rsidRDefault="00966573">
      <w:pPr>
        <w:rPr>
          <w:rFonts w:ascii="Tinos-Bold" w:hAnsi="Tinos-Bold"/>
          <w:b/>
          <w:bCs/>
          <w:color w:val="231F20"/>
        </w:rPr>
      </w:pPr>
    </w:p>
    <w:p w:rsidR="00DE521B" w:rsidRDefault="00DE521B">
      <w:pPr>
        <w:rPr>
          <w:rFonts w:ascii="Tinos-Bold" w:hAnsi="Tinos-Bold"/>
          <w:b/>
          <w:bCs/>
          <w:color w:val="231F20"/>
        </w:rPr>
      </w:pPr>
    </w:p>
    <w:p w:rsidR="00D04A1A" w:rsidRDefault="00966573" w:rsidP="00DE521B">
      <w:pPr>
        <w:jc w:val="both"/>
        <w:rPr>
          <w:rFonts w:ascii="Tinos" w:hAnsi="Tinos"/>
          <w:color w:val="231F20"/>
          <w:sz w:val="28"/>
          <w:szCs w:val="28"/>
        </w:rPr>
      </w:pPr>
      <w:r w:rsidRPr="00DE521B">
        <w:rPr>
          <w:rFonts w:ascii="Tinos-Bold" w:hAnsi="Tinos-Bold"/>
          <w:b/>
          <w:bCs/>
          <w:color w:val="231F20"/>
          <w:sz w:val="28"/>
          <w:szCs w:val="28"/>
        </w:rPr>
        <w:lastRenderedPageBreak/>
        <w:t xml:space="preserve">Сучасні підходи до вищої медичної освіти в Україні </w:t>
      </w:r>
      <w:r w:rsidR="00DE521B" w:rsidRPr="00DE521B">
        <w:rPr>
          <w:rFonts w:ascii="Tinos-Bold" w:hAnsi="Tinos-Bold"/>
          <w:b/>
          <w:bCs/>
          <w:color w:val="231F20"/>
          <w:sz w:val="28"/>
          <w:szCs w:val="28"/>
        </w:rPr>
        <w:t xml:space="preserve"> </w:t>
      </w:r>
      <w:r w:rsidRPr="00DE521B">
        <w:rPr>
          <w:rFonts w:ascii="Tinos" w:hAnsi="Tinos"/>
          <w:color w:val="231F20"/>
          <w:sz w:val="28"/>
          <w:szCs w:val="28"/>
        </w:rPr>
        <w:t>(з ди</w:t>
      </w:r>
      <w:r w:rsidRPr="00DE521B">
        <w:rPr>
          <w:rFonts w:ascii="Tinos" w:hAnsi="Tinos"/>
          <w:color w:val="231F20"/>
          <w:sz w:val="28"/>
          <w:szCs w:val="28"/>
        </w:rPr>
        <w:t xml:space="preserve">станційним під’єднанням ВМ(Ф)НЗ </w:t>
      </w:r>
      <w:r w:rsidRPr="00DE521B">
        <w:rPr>
          <w:rFonts w:ascii="Tinos" w:hAnsi="Tinos"/>
          <w:color w:val="231F20"/>
          <w:sz w:val="28"/>
          <w:szCs w:val="28"/>
        </w:rPr>
        <w:t xml:space="preserve">України за допомогою </w:t>
      </w:r>
      <w:proofErr w:type="spellStart"/>
      <w:r w:rsidRPr="00DE521B">
        <w:rPr>
          <w:rFonts w:ascii="Tinos" w:hAnsi="Tinos"/>
          <w:color w:val="231F20"/>
          <w:sz w:val="28"/>
          <w:szCs w:val="28"/>
        </w:rPr>
        <w:t>відеоконференц</w:t>
      </w:r>
      <w:proofErr w:type="spellEnd"/>
      <w:r w:rsidRPr="00DE521B">
        <w:rPr>
          <w:rFonts w:ascii="Tinos" w:hAnsi="Tinos"/>
          <w:color w:val="231F20"/>
          <w:sz w:val="28"/>
          <w:szCs w:val="28"/>
        </w:rPr>
        <w:t>-зв’язку) : матеріали X</w:t>
      </w:r>
      <w:r w:rsidR="00DE521B">
        <w:rPr>
          <w:rFonts w:ascii="Tinos" w:hAnsi="Tinos"/>
          <w:color w:val="231F20"/>
          <w:sz w:val="28"/>
          <w:szCs w:val="28"/>
        </w:rPr>
        <w:t xml:space="preserve">IV </w:t>
      </w:r>
      <w:proofErr w:type="spellStart"/>
      <w:r w:rsidR="00DE521B">
        <w:rPr>
          <w:rFonts w:ascii="Tinos" w:hAnsi="Tinos"/>
          <w:color w:val="231F20"/>
          <w:sz w:val="28"/>
          <w:szCs w:val="28"/>
        </w:rPr>
        <w:t>Всеукр</w:t>
      </w:r>
      <w:proofErr w:type="spellEnd"/>
      <w:r w:rsidR="00DE521B">
        <w:rPr>
          <w:rFonts w:ascii="Tinos" w:hAnsi="Tinos"/>
          <w:color w:val="231F20"/>
          <w:sz w:val="28"/>
          <w:szCs w:val="28"/>
        </w:rPr>
        <w:t>. наук.-</w:t>
      </w:r>
      <w:proofErr w:type="spellStart"/>
      <w:r w:rsidR="00DE521B">
        <w:rPr>
          <w:rFonts w:ascii="Tinos" w:hAnsi="Tinos"/>
          <w:color w:val="231F20"/>
          <w:sz w:val="28"/>
          <w:szCs w:val="28"/>
        </w:rPr>
        <w:t>практ</w:t>
      </w:r>
      <w:proofErr w:type="spellEnd"/>
      <w:r w:rsidR="00DE521B">
        <w:rPr>
          <w:rFonts w:ascii="Tinos" w:hAnsi="Tinos"/>
          <w:color w:val="231F20"/>
          <w:sz w:val="28"/>
          <w:szCs w:val="28"/>
        </w:rPr>
        <w:t xml:space="preserve">. </w:t>
      </w:r>
      <w:proofErr w:type="spellStart"/>
      <w:r w:rsidR="00DE521B">
        <w:rPr>
          <w:rFonts w:ascii="Tinos" w:hAnsi="Tinos"/>
          <w:color w:val="231F20"/>
          <w:sz w:val="28"/>
          <w:szCs w:val="28"/>
        </w:rPr>
        <w:t>конф</w:t>
      </w:r>
      <w:proofErr w:type="spellEnd"/>
      <w:r w:rsidR="00DE521B">
        <w:rPr>
          <w:rFonts w:ascii="Tinos" w:hAnsi="Tinos"/>
          <w:color w:val="231F20"/>
          <w:sz w:val="28"/>
          <w:szCs w:val="28"/>
        </w:rPr>
        <w:t xml:space="preserve">. </w:t>
      </w:r>
      <w:proofErr w:type="gramStart"/>
      <w:r w:rsidR="00DE521B">
        <w:rPr>
          <w:rFonts w:ascii="Tinos" w:hAnsi="Tinos" w:hint="eastAsia"/>
          <w:color w:val="231F20"/>
          <w:sz w:val="28"/>
          <w:szCs w:val="28"/>
        </w:rPr>
        <w:t>з</w:t>
      </w:r>
      <w:proofErr w:type="spellStart"/>
      <w:r w:rsidRPr="00DE521B">
        <w:rPr>
          <w:rFonts w:ascii="Tinos" w:hAnsi="Tinos"/>
          <w:color w:val="231F20"/>
          <w:sz w:val="28"/>
          <w:szCs w:val="28"/>
        </w:rPr>
        <w:t>міжнар</w:t>
      </w:r>
      <w:proofErr w:type="spellEnd"/>
      <w:proofErr w:type="gramEnd"/>
      <w:r w:rsidRPr="00DE521B">
        <w:rPr>
          <w:rFonts w:ascii="Tinos" w:hAnsi="Tinos"/>
          <w:color w:val="231F20"/>
          <w:sz w:val="28"/>
          <w:szCs w:val="28"/>
        </w:rPr>
        <w:t xml:space="preserve">. участю, присвяченої 60-річчю ТДМУ (Тернопіль, 18–19 трав. 2017 р.) : у 2 т. / </w:t>
      </w:r>
      <w:proofErr w:type="spellStart"/>
      <w:r w:rsidRPr="00DE521B">
        <w:rPr>
          <w:rFonts w:ascii="Tinos" w:hAnsi="Tinos"/>
          <w:color w:val="231F20"/>
          <w:sz w:val="28"/>
          <w:szCs w:val="28"/>
        </w:rPr>
        <w:t>Терноп</w:t>
      </w:r>
      <w:proofErr w:type="spellEnd"/>
      <w:r w:rsidRPr="00DE521B">
        <w:rPr>
          <w:rFonts w:ascii="Tinos" w:hAnsi="Tinos"/>
          <w:color w:val="231F20"/>
          <w:sz w:val="28"/>
          <w:szCs w:val="28"/>
        </w:rPr>
        <w:t>.</w:t>
      </w:r>
      <w:r w:rsidRPr="00DE521B">
        <w:rPr>
          <w:rFonts w:ascii="Tinos" w:hAnsi="Tinos"/>
          <w:color w:val="231F20"/>
          <w:sz w:val="28"/>
          <w:szCs w:val="28"/>
        </w:rPr>
        <w:br/>
      </w:r>
      <w:proofErr w:type="spellStart"/>
      <w:r w:rsidRPr="00DE521B">
        <w:rPr>
          <w:rFonts w:ascii="Tinos" w:hAnsi="Tinos"/>
          <w:color w:val="231F20"/>
          <w:sz w:val="28"/>
          <w:szCs w:val="28"/>
        </w:rPr>
        <w:t>держ</w:t>
      </w:r>
      <w:proofErr w:type="spellEnd"/>
      <w:r w:rsidRPr="00DE521B">
        <w:rPr>
          <w:rFonts w:ascii="Tinos" w:hAnsi="Tinos"/>
          <w:color w:val="231F20"/>
          <w:sz w:val="28"/>
          <w:szCs w:val="28"/>
        </w:rPr>
        <w:t xml:space="preserve">. мед. ун-т імені І. Я. </w:t>
      </w:r>
      <w:proofErr w:type="spellStart"/>
      <w:r w:rsidRPr="00DE521B">
        <w:rPr>
          <w:rFonts w:ascii="Tinos" w:hAnsi="Tinos"/>
          <w:color w:val="231F20"/>
          <w:sz w:val="28"/>
          <w:szCs w:val="28"/>
        </w:rPr>
        <w:t>Горбачевського</w:t>
      </w:r>
      <w:proofErr w:type="spellEnd"/>
      <w:r w:rsidRPr="00DE521B">
        <w:rPr>
          <w:rFonts w:ascii="Tinos" w:hAnsi="Tinos"/>
          <w:color w:val="231F20"/>
          <w:sz w:val="28"/>
          <w:szCs w:val="28"/>
        </w:rPr>
        <w:t>. – Тернопіль : ТДМУ, 2017. – Т. 2. – 392 с.</w:t>
      </w:r>
    </w:p>
    <w:p w:rsidR="00EA4C01" w:rsidRDefault="00EA4C01" w:rsidP="00DE521B">
      <w:pPr>
        <w:jc w:val="both"/>
        <w:rPr>
          <w:rFonts w:ascii="Tinos" w:hAnsi="Tinos"/>
          <w:color w:val="231F20"/>
          <w:sz w:val="28"/>
          <w:szCs w:val="28"/>
        </w:rPr>
      </w:pPr>
    </w:p>
    <w:p w:rsidR="00EA4C01" w:rsidRDefault="00EA4C01">
      <w:pPr>
        <w:rPr>
          <w:rFonts w:ascii="Tinos" w:hAnsi="Tinos"/>
          <w:color w:val="231F20"/>
          <w:sz w:val="28"/>
          <w:szCs w:val="28"/>
        </w:rPr>
      </w:pPr>
      <w:r>
        <w:rPr>
          <w:rFonts w:ascii="Tinos" w:hAnsi="Tinos"/>
          <w:color w:val="231F20"/>
          <w:sz w:val="28"/>
          <w:szCs w:val="28"/>
        </w:rPr>
        <w:br w:type="page"/>
      </w:r>
    </w:p>
    <w:p w:rsidR="00206037" w:rsidRDefault="00EA4C01" w:rsidP="00206037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EA4C01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ДЕРЖАВНА МОВА В СИСТЕМІ ВИЩОЇ МЕДИЧНОЇ ОСВІТИ</w:t>
      </w:r>
      <w:r>
        <w:rPr>
          <w:rFonts w:ascii="Tinos-Bold" w:hAnsi="Tinos-Bold"/>
          <w:color w:val="231F20"/>
          <w:sz w:val="20"/>
          <w:szCs w:val="20"/>
        </w:rPr>
        <w:br/>
      </w:r>
      <w:r w:rsidRPr="00EA4C0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Т. В. </w:t>
      </w:r>
      <w:proofErr w:type="spellStart"/>
      <w:r w:rsidRPr="00EA4C0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Скорбач</w:t>
      </w:r>
      <w:proofErr w:type="spellEnd"/>
      <w:r w:rsidRPr="00EA4C0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, А. К. Нестеренко, О. В. Ка</w:t>
      </w:r>
      <w:r w:rsidR="0020603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лініченко, А. А. </w:t>
      </w:r>
      <w:proofErr w:type="spellStart"/>
      <w:r w:rsidR="0020603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Семашко</w:t>
      </w:r>
      <w:proofErr w:type="spellEnd"/>
      <w:r w:rsidR="0020603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, І. І. </w:t>
      </w:r>
      <w:proofErr w:type="spellStart"/>
      <w:r w:rsidRPr="00EA4C0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Кулікова</w:t>
      </w:r>
      <w:proofErr w:type="spellEnd"/>
    </w:p>
    <w:p w:rsidR="00206037" w:rsidRDefault="00EA4C01" w:rsidP="0020603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Харківський національний медичний університет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EA4C01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Вступ.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В умовах розбудови незалежної Української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br/>
        <w:t>держави та пов’язаних з нею процесів повернення історичної пам’яті, пробудження національної свідомості, духовного відродження українського народу особливого значення набуває статус українс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ької мови як мови національної,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рідної, насамперед, як держ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авної. Мова як дім буття народу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є важливою цінністю. Мо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ва − символ державності, один з 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найважливіших. Мова − найголовніше й найбагатше джерело націона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льної духовності. Як говорив О. Потебня, мова є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засобом не тільки «вираже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ння думки», а й «створення її».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Краса української мови − насамперед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у закладеній у ній національній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самосвідомості, відбитті народного світосприймання. Рідну мову Панас Мирний назвав «живою схованкою людського духу», І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ван Франко − «коштовним скарбом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народу», Олесь Гончар – «генофондом культури».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EA4C01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Основна частина.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У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цей час пріоритетними в процесі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навчання студента є поступ н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 інформаційному, науковому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та духовному просторах. Д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ля майбутніх лікарів особливого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значення сьогодні набува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є вивчення предмета «Українська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мова (за професійним спрямуванням)», оскільки мистецтво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медичних дисциплін, оскільки сприяє розширенню активного словника студентів, готує їх до кращого сприйняття фахових дисциплін т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 медичної діяльності. Вивчаючи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мову, студент повинен о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тримати максимум інформації про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історію українського нар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оду, його духовне життя. Це, на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наш погляд, сприяє піднесенню культури мови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студентів,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їхньому духовному збаг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аченню. Протягом віків культура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об’єднувала людей, зміцню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вала націю, служила прогресу та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злагоді. Культура − головна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ознака освіченості та загальної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порядності людини. Уже з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невеликої розмови з незнайомою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людиною стає зрозумілим, які в неї уподобання, рівень розвитку, світобачення. </w:t>
      </w:r>
    </w:p>
    <w:p w:rsidR="00206037" w:rsidRDefault="00EA4C01" w:rsidP="002060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A4C01">
        <w:rPr>
          <w:rFonts w:ascii="Times New Roman" w:hAnsi="Times New Roman" w:cs="Times New Roman"/>
          <w:color w:val="231F20"/>
          <w:sz w:val="28"/>
          <w:szCs w:val="28"/>
        </w:rPr>
        <w:t>До к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ультури мовлення належить і так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званий </w:t>
      </w:r>
      <w:proofErr w:type="spellStart"/>
      <w:r w:rsidRPr="00EA4C01">
        <w:rPr>
          <w:rFonts w:ascii="Times New Roman" w:hAnsi="Times New Roman" w:cs="Times New Roman"/>
          <w:color w:val="231F20"/>
          <w:sz w:val="28"/>
          <w:szCs w:val="28"/>
        </w:rPr>
        <w:t>мовний</w:t>
      </w:r>
      <w:proofErr w:type="spellEnd"/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 етикет, ум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іння слухати й сприймати, вести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полеміку,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дискусію. Культура мовлення не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лише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lastRenderedPageBreak/>
        <w:t>фіксує, а й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оцінює нові явища в лексиці, фразеології, граматиці, перекладацькій діяльності, запозиченні іншомовних слів. Значну трудність для студентів становлять </w:t>
      </w:r>
      <w:proofErr w:type="spellStart"/>
      <w:r w:rsidRPr="00EA4C01">
        <w:rPr>
          <w:rFonts w:ascii="Times New Roman" w:hAnsi="Times New Roman" w:cs="Times New Roman"/>
          <w:color w:val="231F20"/>
          <w:sz w:val="28"/>
          <w:szCs w:val="28"/>
        </w:rPr>
        <w:t>мовні</w:t>
      </w:r>
      <w:proofErr w:type="spellEnd"/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 норми практично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ї стилістики, володіння якими є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ознакою кожної освіченої людини. Не можна,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наприклад, пишучи заяву декану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чи іншій посадовій особі, н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аділяти їх такими епітетами, як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вельмишановний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дорогий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високоповажний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, а в наукових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працях змішувати такі терміни, як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апендикс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і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апендицит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адаптувати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і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апробувати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грудна клітка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і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грудна клітина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Необхідно також стежити за правильним уживанням устал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ених зворотів: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відігравати роль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(а не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мати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чи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грати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 форм, прийменників, в узгодженні слів у реченні. Наприклад, додатки після слів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завідувач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командувач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уживаються лише в Р. в. (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завідувач лікарні, командувач санітарної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роти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). Слово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згідно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вимагає до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датка в О. в. з прийменником 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з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EA4C01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згідно з постановою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</w:p>
    <w:p w:rsidR="00A520BE" w:rsidRDefault="00EA4C01" w:rsidP="002060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A4C01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ова також відіграє важливу роль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у діловому спілкуванні, тому виникає необхідність підвищити вимоги до ділов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ого мовлення сучасного фахівця.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Вільно володіти лексикою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фаху − це веління часу, життєва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необхідність. Найпростішими видами усного ділового мовлення лікаря є прийом пацієнтів, діалог «лікар-лікар», «лікар-пацієнт», «лікар-родичі пацієнта» тощо. У цих діалогах переважає медична пр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офесійна термінологія, відсутня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емоційна лексика. У кожному разі слід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домагатися, щоб тон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лікаря був діловим, стриманим, без грубощів, зневаги, з дотриманням ввічливості, ку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льтури спілкування. Для ділових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людей основним у сфер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і виробничих відносин є писемне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 xml:space="preserve">мовлення. До офіційно-ділового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мовлення лікаря належать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ділові папери, уся ділова документація, оскільки вони потрібні при виконанні служб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ових обов’язків, у громадському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та особистому житті. Текс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т документів і виразів має бути </w:t>
      </w:r>
      <w:r w:rsidRPr="00EA4C01">
        <w:rPr>
          <w:rFonts w:ascii="Times New Roman" w:hAnsi="Times New Roman" w:cs="Times New Roman"/>
          <w:color w:val="231F20"/>
          <w:sz w:val="28"/>
          <w:szCs w:val="28"/>
        </w:rPr>
        <w:t>точним, повним, стислим, чітким тлумаченням слів і виразів, з нейтральним тоном вислову. Суворі вимоги до професій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ної, особливо медичної лексики. </w:t>
      </w:r>
    </w:p>
    <w:p w:rsidR="00EA4C01" w:rsidRDefault="00EA4C01" w:rsidP="00A520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A4C01">
        <w:rPr>
          <w:rFonts w:ascii="Times New Roman" w:hAnsi="Times New Roman" w:cs="Times New Roman"/>
          <w:color w:val="231F20"/>
          <w:sz w:val="28"/>
          <w:szCs w:val="28"/>
        </w:rPr>
        <w:t>Методика викладання будь-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якої дисципліни, зокрема й </w:t>
      </w:r>
      <w:r w:rsidRPr="00A84C3B">
        <w:rPr>
          <w:rFonts w:ascii="Times New Roman" w:hAnsi="Times New Roman" w:cs="Times New Roman"/>
          <w:color w:val="231F20"/>
          <w:sz w:val="28"/>
          <w:szCs w:val="28"/>
        </w:rPr>
        <w:t>«Української мови (за професійним спрямуванням)», орієнтується не тільки на передові здобутки в галузі педагогіки,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психології, а й на розвиток т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ехніки, яку можна використати в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навчальному процесі. В освіті 21 століття важливим є використання новітніх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технологій у навчальному процесі, що передбачає й застосування ТЗН нового покоління. Застосування технічних засобів та комп’ютерних технологій у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навчанні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аналізували такі науковці, як А. </w:t>
      </w:r>
      <w:proofErr w:type="spellStart"/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Гуржій</w:t>
      </w:r>
      <w:proofErr w:type="spellEnd"/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 [3], В. Б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езпалько [1],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Г. </w:t>
      </w:r>
      <w:proofErr w:type="spellStart"/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Рах</w:t>
      </w:r>
      <w:proofErr w:type="spellEnd"/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 [5] і ін. На цей час пріоритетним є комп’ютер, мобільні</w:t>
      </w:r>
      <w:r w:rsidR="00A84C3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та мультимедійні технології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Викладачі-педагоги в практиці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використовують імітаційні підходи − способи організації пізнавальної діяльності студентів, у процесі яких майбутні лікарі включаються в ігрові ситуації, пов’язані з характером їхньої майбутньої професійної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діяльності, зокрема розв’язання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медичних проблем шл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яхом логічного наукового пошуку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через аналіз фахової термі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нології, медичної документації,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 xml:space="preserve">методичних прийомів. На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наш погляд, усі ці форми можуть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бути застосовані й під час вивчення української мови.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84C3B" w:rsidRPr="00A84C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Висновки. 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t>Отже, успішній реалізації завдань вивчення дисципліни «Українська мова (за професійним спрямуванням)» у цілому сприяє спрямовування студентів-медиків на набуття знань за допомогою новітніх сучасних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br/>
        <w:t>освітніх технологій, які оптимально враховують аспекти</w:t>
      </w:r>
      <w:r w:rsidR="00A84C3B" w:rsidRPr="00A84C3B">
        <w:rPr>
          <w:rFonts w:ascii="Times New Roman" w:hAnsi="Times New Roman" w:cs="Times New Roman"/>
          <w:color w:val="231F20"/>
          <w:sz w:val="28"/>
          <w:szCs w:val="28"/>
        </w:rPr>
        <w:br/>
        <w:t>особистісного становлення та самооцінки й професійного</w:t>
      </w:r>
      <w:r w:rsidR="00A84C3B">
        <w:rPr>
          <w:rFonts w:ascii="Times New Roman" w:hAnsi="Times New Roman" w:cs="Times New Roman"/>
          <w:color w:val="231F20"/>
          <w:sz w:val="28"/>
          <w:szCs w:val="28"/>
        </w:rPr>
        <w:t xml:space="preserve"> самовизначення їх</w:t>
      </w:r>
      <w:r w:rsidR="00A84C3B" w:rsidRPr="00656C44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656C44" w:rsidRPr="00656C44">
        <w:rPr>
          <w:rFonts w:ascii="Times New Roman" w:hAnsi="Times New Roman" w:cs="Times New Roman"/>
          <w:color w:val="231F20"/>
          <w:sz w:val="28"/>
          <w:szCs w:val="28"/>
        </w:rPr>
        <w:t xml:space="preserve">Це, 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зокрема, системи інтерактивного </w:t>
      </w:r>
      <w:r w:rsidR="00656C44" w:rsidRPr="00656C44">
        <w:rPr>
          <w:rFonts w:ascii="Times New Roman" w:hAnsi="Times New Roman" w:cs="Times New Roman"/>
          <w:color w:val="231F20"/>
          <w:sz w:val="28"/>
          <w:szCs w:val="28"/>
        </w:rPr>
        <w:t>навчання («Мозковий ш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турм»), технології креативного, </w:t>
      </w:r>
      <w:r w:rsidR="00656C44" w:rsidRPr="00656C44">
        <w:rPr>
          <w:rFonts w:ascii="Times New Roman" w:hAnsi="Times New Roman" w:cs="Times New Roman"/>
          <w:color w:val="231F20"/>
          <w:sz w:val="28"/>
          <w:szCs w:val="28"/>
        </w:rPr>
        <w:t>дослідницького та інформаційного характеру.</w:t>
      </w:r>
    </w:p>
    <w:p w:rsidR="00A520BE" w:rsidRDefault="0035065F" w:rsidP="0020603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5065F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Література</w:t>
      </w:r>
      <w:r w:rsidRPr="0035065F">
        <w:rPr>
          <w:rFonts w:ascii="Times New Roman" w:hAnsi="Times New Roman" w:cs="Times New Roman"/>
          <w:color w:val="231F20"/>
          <w:sz w:val="28"/>
          <w:szCs w:val="28"/>
        </w:rPr>
        <w:br/>
        <w:t xml:space="preserve">1.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Беспалько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В.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Образование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с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участием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компьютеров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педагогика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третьего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тысячеле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>тия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) / В. </w:t>
      </w:r>
      <w:proofErr w:type="spellStart"/>
      <w:r w:rsidR="00A520BE">
        <w:rPr>
          <w:rFonts w:ascii="Times New Roman" w:hAnsi="Times New Roman" w:cs="Times New Roman"/>
          <w:color w:val="231F20"/>
          <w:sz w:val="28"/>
          <w:szCs w:val="28"/>
        </w:rPr>
        <w:t>Беспалько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– Москва : </w:t>
      </w:r>
      <w:r w:rsidRPr="0035065F">
        <w:rPr>
          <w:rFonts w:ascii="Times New Roman" w:hAnsi="Times New Roman" w:cs="Times New Roman"/>
          <w:color w:val="231F20"/>
          <w:sz w:val="28"/>
          <w:szCs w:val="28"/>
        </w:rPr>
        <w:t>ПМПСИ ; Воронеж : МОДЭК, 2002.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5065F">
        <w:rPr>
          <w:rFonts w:ascii="Times New Roman" w:hAnsi="Times New Roman" w:cs="Times New Roman"/>
          <w:color w:val="231F20"/>
          <w:sz w:val="28"/>
          <w:szCs w:val="28"/>
        </w:rPr>
        <w:t>−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 352 с. </w:t>
      </w:r>
    </w:p>
    <w:p w:rsidR="00A520BE" w:rsidRDefault="0035065F" w:rsidP="0020603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2. Гончар О. Т. Чим живемо : На шляхах до українського Відродження. – Київ : </w:t>
      </w:r>
      <w:proofErr w:type="spellStart"/>
      <w:r w:rsidR="00A520BE">
        <w:rPr>
          <w:rFonts w:ascii="Times New Roman" w:hAnsi="Times New Roman" w:cs="Times New Roman"/>
          <w:color w:val="231F20"/>
          <w:sz w:val="28"/>
          <w:szCs w:val="28"/>
        </w:rPr>
        <w:t>Укр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>. письменник, 1992. – 400 с.</w:t>
      </w:r>
    </w:p>
    <w:p w:rsidR="00A520BE" w:rsidRDefault="0035065F" w:rsidP="0020603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Гуржій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А. Засоби навч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ання: </w:t>
      </w:r>
      <w:proofErr w:type="spellStart"/>
      <w:r w:rsidR="00A520BE">
        <w:rPr>
          <w:rFonts w:ascii="Times New Roman" w:hAnsi="Times New Roman" w:cs="Times New Roman"/>
          <w:color w:val="231F20"/>
          <w:sz w:val="28"/>
          <w:szCs w:val="28"/>
        </w:rPr>
        <w:t>навч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A520BE">
        <w:rPr>
          <w:rFonts w:ascii="Times New Roman" w:hAnsi="Times New Roman" w:cs="Times New Roman"/>
          <w:color w:val="231F20"/>
          <w:sz w:val="28"/>
          <w:szCs w:val="28"/>
        </w:rPr>
        <w:t>посіб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/ А. </w:t>
      </w:r>
      <w:proofErr w:type="spellStart"/>
      <w:r w:rsidR="00A520BE">
        <w:rPr>
          <w:rFonts w:ascii="Times New Roman" w:hAnsi="Times New Roman" w:cs="Times New Roman"/>
          <w:color w:val="231F20"/>
          <w:sz w:val="28"/>
          <w:szCs w:val="28"/>
        </w:rPr>
        <w:t>Гуржій</w:t>
      </w:r>
      <w:proofErr w:type="spellEnd"/>
      <w:r w:rsidR="00A520BE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35065F">
        <w:rPr>
          <w:rFonts w:ascii="Times New Roman" w:hAnsi="Times New Roman" w:cs="Times New Roman"/>
          <w:color w:val="231F20"/>
          <w:sz w:val="28"/>
          <w:szCs w:val="28"/>
        </w:rPr>
        <w:t>Ю. Жук, В. Волинськ</w:t>
      </w:r>
      <w:r w:rsidR="00A520BE">
        <w:rPr>
          <w:rFonts w:ascii="Times New Roman" w:hAnsi="Times New Roman" w:cs="Times New Roman"/>
          <w:color w:val="231F20"/>
          <w:sz w:val="28"/>
          <w:szCs w:val="28"/>
        </w:rPr>
        <w:t>ий.− Київ : ІЗМН, 1997.− 208 с.</w:t>
      </w:r>
    </w:p>
    <w:p w:rsidR="00206037" w:rsidRDefault="0035065F" w:rsidP="0020603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4. Потебня О. Естетика і поетика слова : збірник /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упоряд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., вступ. ст., приміт. І. В.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Іваньо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, А. І. </w:t>
      </w:r>
      <w:r w:rsidR="00206037">
        <w:rPr>
          <w:rFonts w:ascii="Times New Roman" w:hAnsi="Times New Roman" w:cs="Times New Roman"/>
          <w:color w:val="231F20"/>
          <w:sz w:val="28"/>
          <w:szCs w:val="28"/>
        </w:rPr>
        <w:t xml:space="preserve">Колодної ; пер. </w:t>
      </w:r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А. Колодної. – </w:t>
      </w:r>
      <w:r w:rsidR="00206037">
        <w:rPr>
          <w:rFonts w:ascii="Times New Roman" w:hAnsi="Times New Roman" w:cs="Times New Roman"/>
          <w:color w:val="231F20"/>
          <w:sz w:val="28"/>
          <w:szCs w:val="28"/>
        </w:rPr>
        <w:t>Київ : Мистецтво, 1985. – 302 с</w:t>
      </w:r>
    </w:p>
    <w:p w:rsidR="00656C44" w:rsidRDefault="0035065F" w:rsidP="00206037">
      <w:pPr>
        <w:spacing w:after="0" w:line="360" w:lineRule="auto"/>
        <w:jc w:val="both"/>
        <w:rPr>
          <w:rFonts w:ascii="Tinos" w:hAnsi="Tinos"/>
          <w:color w:val="231F20"/>
          <w:sz w:val="28"/>
          <w:szCs w:val="28"/>
        </w:rPr>
      </w:pPr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Рах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Г. </w:t>
      </w:r>
      <w:proofErr w:type="spellStart"/>
      <w:r w:rsidRPr="0035065F">
        <w:rPr>
          <w:rFonts w:ascii="Times New Roman" w:hAnsi="Times New Roman" w:cs="Times New Roman"/>
          <w:color w:val="231F20"/>
          <w:sz w:val="28"/>
          <w:szCs w:val="28"/>
        </w:rPr>
        <w:t>Технические</w:t>
      </w:r>
      <w:proofErr w:type="spellEnd"/>
      <w:r w:rsidRPr="0035065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общеобразовательной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школе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 xml:space="preserve"> / Г.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Рах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 xml:space="preserve">, И. </w:t>
      </w:r>
      <w:proofErr w:type="spellStart"/>
      <w:r w:rsidRPr="00206037">
        <w:rPr>
          <w:rFonts w:ascii="Times New Roman" w:hAnsi="Times New Roman" w:cs="Times New Roman"/>
          <w:color w:val="231F20"/>
          <w:sz w:val="28"/>
          <w:szCs w:val="28"/>
        </w:rPr>
        <w:t>Дрига</w:t>
      </w:r>
      <w:proofErr w:type="spellEnd"/>
      <w:r w:rsidRPr="00206037">
        <w:rPr>
          <w:rFonts w:ascii="Times New Roman" w:hAnsi="Times New Roman" w:cs="Times New Roman"/>
          <w:color w:val="231F20"/>
          <w:sz w:val="28"/>
          <w:szCs w:val="28"/>
        </w:rPr>
        <w:t>, Э. Кузнецов,</w:t>
      </w:r>
      <w:r w:rsidR="00206037" w:rsidRPr="00206037">
        <w:rPr>
          <w:rFonts w:ascii="Tinos" w:hAnsi="Tinos"/>
          <w:color w:val="231F20"/>
          <w:sz w:val="28"/>
          <w:szCs w:val="28"/>
        </w:rPr>
        <w:t xml:space="preserve"> </w:t>
      </w:r>
      <w:r w:rsidR="00206037" w:rsidRPr="00206037">
        <w:rPr>
          <w:rFonts w:ascii="Tinos" w:hAnsi="Tinos"/>
          <w:color w:val="231F20"/>
          <w:sz w:val="28"/>
          <w:szCs w:val="28"/>
        </w:rPr>
        <w:t xml:space="preserve">С. </w:t>
      </w:r>
      <w:proofErr w:type="spellStart"/>
      <w:r w:rsidR="00206037" w:rsidRPr="00206037">
        <w:rPr>
          <w:rFonts w:ascii="Tinos" w:hAnsi="Tinos"/>
          <w:color w:val="231F20"/>
          <w:sz w:val="28"/>
          <w:szCs w:val="28"/>
        </w:rPr>
        <w:t>Жданов</w:t>
      </w:r>
      <w:proofErr w:type="spellEnd"/>
      <w:r w:rsidR="00206037" w:rsidRPr="00206037">
        <w:rPr>
          <w:rFonts w:ascii="Tinos" w:hAnsi="Tinos"/>
          <w:color w:val="231F20"/>
          <w:sz w:val="28"/>
          <w:szCs w:val="28"/>
        </w:rPr>
        <w:t xml:space="preserve">.− Москва : </w:t>
      </w:r>
      <w:proofErr w:type="spellStart"/>
      <w:r w:rsidR="00206037" w:rsidRPr="00206037">
        <w:rPr>
          <w:rFonts w:ascii="Tinos" w:hAnsi="Tinos"/>
          <w:color w:val="231F20"/>
          <w:sz w:val="28"/>
          <w:szCs w:val="28"/>
        </w:rPr>
        <w:t>Просвещение</w:t>
      </w:r>
      <w:proofErr w:type="spellEnd"/>
      <w:r w:rsidR="00206037" w:rsidRPr="00206037">
        <w:rPr>
          <w:rFonts w:ascii="Tinos" w:hAnsi="Tinos"/>
          <w:color w:val="231F20"/>
          <w:sz w:val="28"/>
          <w:szCs w:val="28"/>
        </w:rPr>
        <w:t>, 1993. – 287 с.</w:t>
      </w:r>
    </w:p>
    <w:p w:rsidR="0075663B" w:rsidRDefault="0075663B">
      <w:pPr>
        <w:rPr>
          <w:rFonts w:ascii="Tinos" w:hAnsi="Tinos"/>
          <w:color w:val="231F20"/>
          <w:sz w:val="28"/>
          <w:szCs w:val="28"/>
        </w:rPr>
      </w:pPr>
      <w:r>
        <w:rPr>
          <w:rFonts w:ascii="Tinos" w:hAnsi="Tinos"/>
          <w:color w:val="231F20"/>
          <w:sz w:val="28"/>
          <w:szCs w:val="28"/>
        </w:rPr>
        <w:br w:type="page"/>
      </w:r>
    </w:p>
    <w:p w:rsidR="0075663B" w:rsidRDefault="0075663B" w:rsidP="0075663B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Зміст</w:t>
      </w:r>
    </w:p>
    <w:p w:rsidR="0075663B" w:rsidRPr="0075663B" w:rsidRDefault="0075663B" w:rsidP="0075663B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Т. В. </w:t>
      </w:r>
      <w:proofErr w:type="spellStart"/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Скорбач</w:t>
      </w:r>
      <w:proofErr w:type="spellEnd"/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А. К. Нестеренко, О. В. Калініченко, А. А. </w:t>
      </w:r>
      <w:proofErr w:type="spellStart"/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Семашко</w:t>
      </w:r>
      <w:proofErr w:type="spellEnd"/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І. І. </w:t>
      </w:r>
      <w:proofErr w:type="spellStart"/>
      <w:r w:rsidRPr="0075663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Кулікова</w:t>
      </w:r>
      <w:proofErr w:type="spellEnd"/>
      <w:r w:rsidRPr="0075663B">
        <w:rPr>
          <w:rFonts w:ascii="Times New Roman" w:hAnsi="Times New Roman" w:cs="Times New Roman"/>
          <w:color w:val="231F20"/>
          <w:sz w:val="28"/>
          <w:szCs w:val="28"/>
        </w:rPr>
        <w:br/>
        <w:t>ДЕРЖАВНА МОВА В СИСТЕМІ ВИЩОЇ МЕДИЧНОЇ ОСВІТИ.............................</w:t>
      </w: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</w:t>
      </w:r>
      <w:bookmarkStart w:id="0" w:name="_GoBack"/>
      <w:bookmarkEnd w:id="0"/>
      <w:r w:rsidRPr="0075663B">
        <w:rPr>
          <w:rFonts w:ascii="Times New Roman" w:hAnsi="Times New Roman" w:cs="Times New Roman"/>
          <w:color w:val="231F20"/>
          <w:sz w:val="28"/>
          <w:szCs w:val="28"/>
        </w:rPr>
        <w:t>..С.</w:t>
      </w:r>
      <w:r w:rsidRPr="0075663B">
        <w:rPr>
          <w:rFonts w:ascii="Times New Roman" w:hAnsi="Times New Roman" w:cs="Times New Roman"/>
          <w:color w:val="231F20"/>
          <w:sz w:val="28"/>
          <w:szCs w:val="28"/>
        </w:rPr>
        <w:t>136</w:t>
      </w:r>
      <w:r w:rsidRPr="0075663B">
        <w:rPr>
          <w:rFonts w:ascii="Times New Roman" w:hAnsi="Times New Roman" w:cs="Times New Roman"/>
          <w:color w:val="231F20"/>
          <w:sz w:val="28"/>
          <w:szCs w:val="28"/>
        </w:rPr>
        <w:t xml:space="preserve"> -137.</w:t>
      </w:r>
    </w:p>
    <w:p w:rsidR="0075663B" w:rsidRPr="0075663B" w:rsidRDefault="0075663B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75663B" w:rsidRPr="0075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Tino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73"/>
    <w:rsid w:val="00206037"/>
    <w:rsid w:val="0035065F"/>
    <w:rsid w:val="00656C44"/>
    <w:rsid w:val="0075663B"/>
    <w:rsid w:val="00966573"/>
    <w:rsid w:val="00A520BE"/>
    <w:rsid w:val="00A84C3B"/>
    <w:rsid w:val="00C23DA2"/>
    <w:rsid w:val="00D04A1A"/>
    <w:rsid w:val="00DE521B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0303-BA65-4DC1-8BD9-A4E2A8C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2017-05-24T14:19:00Z</dcterms:created>
  <dcterms:modified xsi:type="dcterms:W3CDTF">2017-05-24T14:19:00Z</dcterms:modified>
</cp:coreProperties>
</file>