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D" w:rsidRDefault="003031DD" w:rsidP="003031DD">
      <w:pPr>
        <w:framePr w:wrap="none" w:vAnchor="page" w:hAnchor="page" w:x="1568" w:y="872"/>
        <w:spacing w:line="250" w:lineRule="exact"/>
        <w:ind w:left="20"/>
      </w:pPr>
      <w:r>
        <w:rPr>
          <w:rStyle w:val="a3"/>
          <w:lang w:eastAsia="ru-RU"/>
        </w:rPr>
        <w:t>Стратегічне управління розвитком фізичної культури і спорту</w:t>
      </w:r>
      <w:r>
        <w:rPr>
          <w:rStyle w:val="125pt"/>
        </w:rPr>
        <w:t xml:space="preserve">, </w:t>
      </w:r>
      <w:r>
        <w:rPr>
          <w:rStyle w:val="a3"/>
          <w:lang w:eastAsia="ru-RU"/>
        </w:rPr>
        <w:t>Харків, 2017</w:t>
      </w:r>
    </w:p>
    <w:p w:rsidR="003031DD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0"/>
        <w:jc w:val="both"/>
        <w:rPr>
          <w:lang w:val="en-US"/>
        </w:rPr>
      </w:pPr>
      <w:r>
        <w:t>ПІДВИЩЕННЯ РІВНЯ РОЗВИТКУ ФІЗИЧНОЇ ПІДГОТОВЛЕНОСТІ ГІ</w:t>
      </w:r>
      <w:r w:rsidRPr="00A0481F">
        <w:rPr>
          <w:rStyle w:val="1"/>
          <w:b/>
          <w:bCs/>
          <w:lang w:eastAsia="ru-RU"/>
        </w:rPr>
        <w:t>МНА</w:t>
      </w:r>
      <w:r>
        <w:t xml:space="preserve">СТОК 10-12 РОКІВ З ВИКОРИСТАННЯМ МЕТОДУ КРУГОВОГО ТРЕНУВАННЯ </w:t>
      </w:r>
    </w:p>
    <w:p w:rsidR="003031DD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0"/>
        <w:jc w:val="both"/>
      </w:pPr>
      <w:r>
        <w:t xml:space="preserve">Дейнеко А.Х., доцент, кандидат наук з фізичного виховання і спорту, </w:t>
      </w:r>
      <w:r>
        <w:rPr>
          <w:lang w:val="en-US"/>
        </w:rPr>
        <w:t>Ph</w:t>
      </w:r>
      <w:r w:rsidRPr="00A0481F">
        <w:t>.</w:t>
      </w:r>
      <w:r>
        <w:rPr>
          <w:lang w:val="en-US"/>
        </w:rPr>
        <w:t>D</w:t>
      </w:r>
      <w:r w:rsidRPr="00A0481F">
        <w:t>.</w:t>
      </w:r>
    </w:p>
    <w:p w:rsidR="003031DD" w:rsidRDefault="003031DD" w:rsidP="003031DD">
      <w:pPr>
        <w:pStyle w:val="60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/>
        <w:jc w:val="center"/>
      </w:pPr>
      <w:r>
        <w:rPr>
          <w:rStyle w:val="60pt"/>
          <w:i/>
          <w:iCs/>
          <w:lang w:eastAsia="ru-RU"/>
        </w:rPr>
        <w:t>Харківська державна академія фізичної культури (Харків)</w:t>
      </w:r>
    </w:p>
    <w:p w:rsidR="003031DD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firstLine="0"/>
        <w:jc w:val="left"/>
      </w:pPr>
      <w:r>
        <w:t>Вишня О.В., старший викладач</w:t>
      </w:r>
    </w:p>
    <w:p w:rsidR="003031DD" w:rsidRDefault="003031DD" w:rsidP="003031DD">
      <w:pPr>
        <w:pStyle w:val="60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/>
        <w:jc w:val="center"/>
      </w:pPr>
      <w:r>
        <w:rPr>
          <w:rStyle w:val="60pt"/>
          <w:i/>
          <w:iCs/>
          <w:lang w:eastAsia="ru-RU"/>
        </w:rPr>
        <w:t>Харківський національний медичний університет (Харків)</w:t>
      </w:r>
    </w:p>
    <w:p w:rsidR="003031DD" w:rsidRPr="00A0481F" w:rsidRDefault="003031DD" w:rsidP="003031DD">
      <w:pPr>
        <w:pStyle w:val="40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560"/>
        <w:rPr>
          <w:lang w:val="uk-UA"/>
        </w:rPr>
      </w:pPr>
      <w:r>
        <w:rPr>
          <w:lang w:val="uk-UA"/>
        </w:rPr>
        <w:t>Однією з першочергових задач багаторічної спортивної підготовки в художній гімнастиці згідно з Навчальною програмою є розвиток фізичних якостей гімнасток. У зв'язку з цим важливу роль у тренувальному процесі гімнасток відіграє загальна фізична підготовка, яка сприяє підвищенню функціональних можливостей, загальної працездатності, є основою для спеціальної підготовки і досягнення високих результатів в обраному виді спорту.</w:t>
      </w:r>
    </w:p>
    <w:p w:rsidR="003031DD" w:rsidRDefault="003031DD" w:rsidP="003031DD">
      <w:pPr>
        <w:pStyle w:val="40"/>
        <w:framePr w:w="9394" w:h="14130" w:hRule="exact" w:wrap="none" w:vAnchor="page" w:hAnchor="page" w:x="1271" w:y="1262"/>
        <w:shd w:val="clear" w:color="auto" w:fill="auto"/>
        <w:spacing w:after="780" w:line="413" w:lineRule="exact"/>
        <w:ind w:left="20" w:right="40" w:firstLine="560"/>
      </w:pPr>
      <w:r>
        <w:rPr>
          <w:rStyle w:val="41"/>
          <w:lang w:eastAsia="ru-RU"/>
        </w:rPr>
        <w:t xml:space="preserve">Ключові слова: </w:t>
      </w:r>
      <w:r>
        <w:rPr>
          <w:lang w:val="uk-UA"/>
        </w:rPr>
        <w:t>художня гімнастика, фізична підготовленість, метод кругового тренування, дівчата 10-12 років.</w:t>
      </w:r>
    </w:p>
    <w:p w:rsidR="003031DD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560"/>
        <w:jc w:val="both"/>
      </w:pPr>
      <w:r>
        <w:t xml:space="preserve">Вступ. </w:t>
      </w:r>
      <w:r w:rsidRPr="00A0481F">
        <w:rPr>
          <w:b w:val="0"/>
        </w:rPr>
        <w:t xml:space="preserve">Аналіз літературних джерел показав, що існуючі методики розвитку фізичної підготовленості тих, хто займаються художньою гімнастикою, не є максимально ефективними та в умовах зростаючої змагальної конкуренції не завжди є актуальними в сучасній гімнастиці [2, 3, 4]. У зв'язку з цим тренери </w:t>
      </w:r>
      <w:r w:rsidRPr="00A0481F">
        <w:rPr>
          <w:b w:val="0"/>
          <w:color w:val="0000FF"/>
        </w:rPr>
        <w:t>інтуїтивно</w:t>
      </w:r>
      <w:r w:rsidRPr="00A0481F">
        <w:rPr>
          <w:b w:val="0"/>
        </w:rPr>
        <w:t xml:space="preserve"> ведуть пошук засобів і методів, які дозволили б досягти підвищення рівня розвитку фізичної підготовленості гімнасток [1, 2, 4]. На думку сучасних вчених ефективний комплексний розвиток фізичних якостей можливий за рахунок використання методу кругового тренування </w:t>
      </w:r>
      <w:hyperlink w:anchor="bookmark0" w:tooltip="Current Document">
        <w:r w:rsidRPr="00A0481F">
          <w:rPr>
            <w:b w:val="0"/>
          </w:rPr>
          <w:t>[1,</w:t>
        </w:r>
      </w:hyperlink>
      <w:r w:rsidRPr="00A0481F">
        <w:rPr>
          <w:b w:val="0"/>
        </w:rPr>
        <w:t xml:space="preserve"> 5 ]. Так як кругове тренування являє строго регламентований процес, де вправи виконуються з точними нормами навантаження і відпочинку в контексті забезпечення якості навчально-тренувального і виховного процесу спортсменів, актуальність його застосування залишається і сьогодні</w:t>
      </w:r>
      <w:r>
        <w:t xml:space="preserve"> </w:t>
      </w:r>
      <w:r w:rsidRPr="00A0481F">
        <w:t>[</w:t>
      </w:r>
      <w:r w:rsidRPr="00A0481F">
        <w:rPr>
          <w:lang w:val="en-US"/>
        </w:rPr>
        <w:t>Error</w:t>
      </w:r>
      <w:r w:rsidRPr="00A0481F">
        <w:t xml:space="preserve">! </w:t>
      </w:r>
      <w:r w:rsidRPr="00A0481F">
        <w:rPr>
          <w:lang w:val="en-US"/>
        </w:rPr>
        <w:t>Reference</w:t>
      </w:r>
      <w:r w:rsidRPr="00A0481F">
        <w:t xml:space="preserve"> </w:t>
      </w:r>
      <w:r w:rsidRPr="00A0481F">
        <w:rPr>
          <w:lang w:val="en-US"/>
        </w:rPr>
        <w:t>source</w:t>
      </w:r>
      <w:r w:rsidRPr="00A0481F">
        <w:t xml:space="preserve"> </w:t>
      </w:r>
      <w:r w:rsidRPr="00A0481F">
        <w:rPr>
          <w:lang w:val="en-US"/>
        </w:rPr>
        <w:t>not</w:t>
      </w:r>
      <w:r w:rsidRPr="00A0481F">
        <w:t xml:space="preserve"> </w:t>
      </w:r>
      <w:r w:rsidRPr="00A0481F">
        <w:rPr>
          <w:lang w:val="en-US"/>
        </w:rPr>
        <w:t>found</w:t>
      </w:r>
      <w:hyperlink w:anchor="bookmark0" w:tooltip="Current Document">
        <w:r w:rsidRPr="00A0481F">
          <w:t>. 1,</w:t>
        </w:r>
      </w:hyperlink>
      <w:r w:rsidRPr="00A0481F">
        <w:t xml:space="preserve"> </w:t>
      </w:r>
      <w:r w:rsidRPr="00A0481F">
        <w:rPr>
          <w:rStyle w:val="CourierNew"/>
          <w:rFonts w:eastAsiaTheme="minorHAnsi"/>
          <w:sz w:val="20"/>
          <w:szCs w:val="20"/>
          <w:lang w:eastAsia="ru-RU"/>
        </w:rPr>
        <w:t>6</w:t>
      </w:r>
      <w:r w:rsidRPr="00A0481F">
        <w:t>].</w:t>
      </w:r>
    </w:p>
    <w:p w:rsidR="003031DD" w:rsidRPr="00A0481F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560"/>
        <w:jc w:val="both"/>
        <w:rPr>
          <w:b w:val="0"/>
        </w:rPr>
      </w:pPr>
      <w:r w:rsidRPr="00A0481F">
        <w:t xml:space="preserve">Мета: </w:t>
      </w:r>
      <w:r w:rsidRPr="00A0481F">
        <w:rPr>
          <w:b w:val="0"/>
        </w:rPr>
        <w:t xml:space="preserve">визначити вплив методу кругового тренування на рівень розвитку фізичної підготовленості дівчат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10-12</w:t>
      </w:r>
      <w:r w:rsidRPr="00A0481F">
        <w:rPr>
          <w:b w:val="0"/>
        </w:rPr>
        <w:t xml:space="preserve"> років в художній гімнастиці.</w:t>
      </w:r>
    </w:p>
    <w:p w:rsidR="003031DD" w:rsidRPr="00A0481F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560"/>
        <w:jc w:val="both"/>
        <w:rPr>
          <w:b w:val="0"/>
        </w:rPr>
      </w:pPr>
      <w:r>
        <w:t xml:space="preserve">Завдання дослідження: </w:t>
      </w:r>
      <w:r w:rsidRPr="00A0481F">
        <w:rPr>
          <w:b w:val="0"/>
        </w:rPr>
        <w:t>обґрунтувати ефективність застосування методу кругового тренування для розвитку фізичних якостей спортсменок у художній гімнастиці.</w:t>
      </w:r>
    </w:p>
    <w:p w:rsidR="003031DD" w:rsidRPr="00A0481F" w:rsidRDefault="003031DD" w:rsidP="003031DD">
      <w:pPr>
        <w:pStyle w:val="2"/>
        <w:framePr w:w="9394" w:h="14130" w:hRule="exact" w:wrap="none" w:vAnchor="page" w:hAnchor="page" w:x="1271" w:y="1262"/>
        <w:shd w:val="clear" w:color="auto" w:fill="auto"/>
        <w:spacing w:after="0" w:line="413" w:lineRule="exact"/>
        <w:ind w:left="20" w:right="40" w:firstLine="560"/>
        <w:jc w:val="both"/>
        <w:rPr>
          <w:b w:val="0"/>
        </w:rPr>
      </w:pPr>
      <w:r>
        <w:t xml:space="preserve">Матеріал і методи дослідження: </w:t>
      </w:r>
      <w:r w:rsidRPr="00A0481F">
        <w:rPr>
          <w:b w:val="0"/>
        </w:rPr>
        <w:t>теоретичний аналіз і узагальнення літературних джерел з визначеної теми; педагогічні спостереження; тестування; педагогічний експеримент; методи математичної статистики.</w:t>
      </w:r>
    </w:p>
    <w:p w:rsidR="003031DD" w:rsidRDefault="003031DD" w:rsidP="003031DD">
      <w:pPr>
        <w:pStyle w:val="30"/>
        <w:framePr w:wrap="none" w:vAnchor="page" w:hAnchor="page" w:x="5778" w:y="15742"/>
        <w:shd w:val="clear" w:color="auto" w:fill="auto"/>
        <w:spacing w:line="210" w:lineRule="exact"/>
        <w:ind w:left="20"/>
      </w:pPr>
      <w:r>
        <w:rPr>
          <w:rStyle w:val="30pt"/>
          <w:lang w:eastAsia="ru-RU"/>
        </w:rPr>
        <w:t>189</w:t>
      </w:r>
    </w:p>
    <w:p w:rsidR="003031DD" w:rsidRDefault="003031DD" w:rsidP="003031DD">
      <w:pPr>
        <w:rPr>
          <w:sz w:val="2"/>
          <w:szCs w:val="2"/>
        </w:rPr>
        <w:sectPr w:rsidR="003031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1DD" w:rsidRDefault="003031DD" w:rsidP="003031DD">
      <w:pPr>
        <w:framePr w:wrap="none" w:vAnchor="page" w:hAnchor="page" w:x="1576" w:y="872"/>
        <w:spacing w:line="250" w:lineRule="exact"/>
        <w:ind w:left="20"/>
      </w:pPr>
      <w:r>
        <w:rPr>
          <w:rStyle w:val="a3"/>
          <w:lang w:eastAsia="ru-RU"/>
        </w:rPr>
        <w:lastRenderedPageBreak/>
        <w:t>Стратегічне управління розвитком фізичної культури і спорту</w:t>
      </w:r>
      <w:r>
        <w:rPr>
          <w:rStyle w:val="125pt"/>
        </w:rPr>
        <w:t xml:space="preserve">, </w:t>
      </w:r>
      <w:r>
        <w:rPr>
          <w:rStyle w:val="a3"/>
          <w:lang w:eastAsia="ru-RU"/>
        </w:rPr>
        <w:t>Харків, 2017</w:t>
      </w:r>
    </w:p>
    <w:p w:rsidR="003031DD" w:rsidRPr="00A0481F" w:rsidRDefault="003031DD" w:rsidP="003031DD">
      <w:pPr>
        <w:pStyle w:val="2"/>
        <w:framePr w:w="9370" w:h="12892" w:hRule="exact" w:wrap="none" w:vAnchor="page" w:hAnchor="page" w:x="1283" w:y="1255"/>
        <w:shd w:val="clear" w:color="auto" w:fill="auto"/>
        <w:spacing w:after="0" w:line="413" w:lineRule="exact"/>
        <w:ind w:left="20" w:right="20" w:firstLine="560"/>
        <w:jc w:val="both"/>
        <w:rPr>
          <w:b w:val="0"/>
        </w:rPr>
      </w:pPr>
      <w:r>
        <w:t xml:space="preserve">Результати дослідження та їх обговорення. </w:t>
      </w:r>
      <w:r w:rsidRPr="00A0481F">
        <w:rPr>
          <w:b w:val="0"/>
        </w:rPr>
        <w:t xml:space="preserve">Для визначення рівня фізичної підготовленості дівчат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10-12</w:t>
      </w:r>
      <w:r w:rsidRPr="00A0481F">
        <w:rPr>
          <w:b w:val="0"/>
        </w:rPr>
        <w:t xml:space="preserve"> років було організовано та проведено дослідження на базі Дитячо-юнацької спортивної школи з художньої гімнастики м. Харкова. Проведений аналіз результатів початкового тестування для визначення рівня загальної фізичної підготовленості спортсменок, показав наступне: за рівнем силової підготовленості («піднімання прямих ніг у висі») 75% гімнасток мають індивідуальні результаті нижче середньогрупового. За рівнем розвитку гнучкості («міст із захопленням гомілковостопних суглобів із в.п. стійка ноги нарізно») 72% дівчат показали індивідуальні результати близькі до середньогрупового значення і 28% дівчат - результати, вищі за середньогрупове значення. За рівнем розвитку швидкісно-силових здібностей («стрибок поштовхом двома, руки на пояс»)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66</w:t>
      </w:r>
      <w:r w:rsidRPr="00A0481F">
        <w:rPr>
          <w:b w:val="0"/>
        </w:rPr>
        <w:t xml:space="preserve">% </w:t>
      </w:r>
      <w:r w:rsidRPr="00A0481F">
        <w:rPr>
          <w:b w:val="0"/>
          <w:color w:val="0000FF"/>
        </w:rPr>
        <w:t>дівчат, що займаються</w:t>
      </w:r>
      <w:r w:rsidRPr="00A0481F">
        <w:rPr>
          <w:b w:val="0"/>
        </w:rPr>
        <w:t xml:space="preserve"> відповідають середньогруповому значенню, 17 % дівчат отримали результати вищі і 17% - нижчі за середньогрупове значення. За оцінкою рівня розвитку швидкості («біг на місці 5 секунд») індивідуальні результати 60 </w:t>
      </w:r>
      <w:r w:rsidRPr="00A0481F">
        <w:rPr>
          <w:rStyle w:val="7pt"/>
        </w:rPr>
        <w:t>%</w:t>
      </w:r>
      <w:r w:rsidRPr="00A0481F">
        <w:rPr>
          <w:b w:val="0"/>
        </w:rPr>
        <w:t xml:space="preserve"> дівчат співпадають з середньогруповим значенням; 23 </w:t>
      </w:r>
      <w:r w:rsidRPr="00A0481F">
        <w:rPr>
          <w:rStyle w:val="7pt"/>
        </w:rPr>
        <w:t>%</w:t>
      </w:r>
      <w:r w:rsidRPr="00A0481F">
        <w:rPr>
          <w:b w:val="0"/>
        </w:rPr>
        <w:t xml:space="preserve"> є вищими і 17 </w:t>
      </w:r>
      <w:r w:rsidRPr="00A0481F">
        <w:rPr>
          <w:rStyle w:val="7pt"/>
        </w:rPr>
        <w:t>%</w:t>
      </w:r>
      <w:r>
        <w:rPr>
          <w:rStyle w:val="7pt"/>
        </w:rPr>
        <w:t xml:space="preserve"> </w:t>
      </w:r>
      <w:r w:rsidRPr="00A0481F">
        <w:rPr>
          <w:rStyle w:val="7pt"/>
          <w:i w:val="0"/>
        </w:rPr>
        <w:t xml:space="preserve">- </w:t>
      </w:r>
      <w:r w:rsidRPr="00A0481F">
        <w:rPr>
          <w:b w:val="0"/>
        </w:rPr>
        <w:t xml:space="preserve">нижчими за середньогрупове значення. За оцінкою рівня координаційних здібностей («статична рівновага за методикою Яроцького»)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66</w:t>
      </w:r>
      <w:r w:rsidRPr="00A0481F">
        <w:rPr>
          <w:b w:val="0"/>
        </w:rPr>
        <w:t xml:space="preserve"> % юних гімнасток відповідають середньогруповому значенню;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12</w:t>
      </w:r>
      <w:r w:rsidRPr="00A0481F">
        <w:rPr>
          <w:b w:val="0"/>
        </w:rPr>
        <w:t xml:space="preserve">% є вищими і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12</w:t>
      </w:r>
      <w:r w:rsidRPr="00A0481F">
        <w:rPr>
          <w:b w:val="0"/>
        </w:rPr>
        <w:t xml:space="preserve"> % - нижчими за середньогрупове значення. За оцінкою рівня швидкісно-силової витривалості («стрибки на скакалці за 1 хвилину»)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66</w:t>
      </w:r>
      <w:r w:rsidRPr="00A0481F">
        <w:rPr>
          <w:b w:val="0"/>
        </w:rPr>
        <w:t xml:space="preserve"> % юних гімнасток відповідають середньогруповому значенню і 34% - нижче за нього.</w:t>
      </w:r>
    </w:p>
    <w:p w:rsidR="003031DD" w:rsidRPr="00A0481F" w:rsidRDefault="003031DD" w:rsidP="003031DD">
      <w:pPr>
        <w:pStyle w:val="2"/>
        <w:framePr w:w="9370" w:h="12892" w:hRule="exact" w:wrap="none" w:vAnchor="page" w:hAnchor="page" w:x="1283" w:y="1255"/>
        <w:shd w:val="clear" w:color="auto" w:fill="auto"/>
        <w:spacing w:after="0" w:line="413" w:lineRule="exact"/>
        <w:ind w:left="20" w:right="20" w:firstLine="560"/>
        <w:jc w:val="both"/>
        <w:rPr>
          <w:b w:val="0"/>
        </w:rPr>
      </w:pPr>
      <w:r w:rsidRPr="00A0481F">
        <w:rPr>
          <w:b w:val="0"/>
        </w:rPr>
        <w:t xml:space="preserve">На основі отриманих результатів була розроблена </w:t>
      </w:r>
      <w:r w:rsidRPr="00A0481F">
        <w:rPr>
          <w:b w:val="0"/>
          <w:color w:val="0000FF"/>
        </w:rPr>
        <w:t>експериментальна</w:t>
      </w:r>
      <w:r w:rsidRPr="00A0481F">
        <w:rPr>
          <w:b w:val="0"/>
        </w:rPr>
        <w:t xml:space="preserve"> методика, яка передбачала розвиток фізичних якостей, тісно пов'язаний з освоєнням програмного матеріалу з художньої гімнастики даної вікової категорії дівчат. Тому, в комплекси кругового тренування були введені фізичні вправи, близькі за своєю структурою до вмінь і навичок притаманних художній гімнастиці, що сприяло підвищенню рівня розвитку фізичної підготовленості юних спортсменок. При розробці комплексів вправ кругового тренування використовувалися технічно не складні вправи, рекомендовані програмою з художньої гімнастики, доповнені та ускладнені в залежності від підготовленості спортсменок.</w:t>
      </w:r>
    </w:p>
    <w:p w:rsidR="003031DD" w:rsidRPr="00A0481F" w:rsidRDefault="003031DD" w:rsidP="003031DD">
      <w:pPr>
        <w:pStyle w:val="2"/>
        <w:framePr w:w="9370" w:h="12892" w:hRule="exact" w:wrap="none" w:vAnchor="page" w:hAnchor="page" w:x="1283" w:y="1255"/>
        <w:shd w:val="clear" w:color="auto" w:fill="auto"/>
        <w:spacing w:after="0" w:line="413" w:lineRule="exact"/>
        <w:ind w:left="20" w:right="20" w:firstLine="560"/>
        <w:jc w:val="both"/>
        <w:rPr>
          <w:b w:val="0"/>
        </w:rPr>
      </w:pPr>
      <w:r w:rsidRPr="00A0481F">
        <w:rPr>
          <w:b w:val="0"/>
        </w:rPr>
        <w:t xml:space="preserve">Порівняльний аналіз змін рівня фізичної підготовленості юних гімнасток за період експерименту представлений у таблиці </w:t>
      </w:r>
      <w:r w:rsidRPr="00A0481F">
        <w:rPr>
          <w:rStyle w:val="CourierNew"/>
          <w:rFonts w:eastAsiaTheme="minorHAnsi"/>
          <w:sz w:val="19"/>
          <w:szCs w:val="19"/>
          <w:lang w:eastAsia="ru-RU"/>
        </w:rPr>
        <w:t>1</w:t>
      </w:r>
      <w:r w:rsidRPr="00A0481F">
        <w:rPr>
          <w:b w:val="0"/>
        </w:rPr>
        <w:t>.</w:t>
      </w:r>
    </w:p>
    <w:p w:rsidR="003031DD" w:rsidRDefault="003031DD" w:rsidP="003031DD">
      <w:pPr>
        <w:pStyle w:val="30"/>
        <w:framePr w:wrap="none" w:vAnchor="page" w:hAnchor="page" w:x="5785" w:y="15740"/>
        <w:shd w:val="clear" w:color="auto" w:fill="auto"/>
        <w:spacing w:line="210" w:lineRule="exact"/>
        <w:ind w:left="40"/>
      </w:pPr>
      <w:r>
        <w:rPr>
          <w:rStyle w:val="30pt"/>
          <w:lang w:eastAsia="ru-RU"/>
        </w:rPr>
        <w:t>190</w:t>
      </w:r>
    </w:p>
    <w:p w:rsidR="003031DD" w:rsidRDefault="003031DD" w:rsidP="003031DD">
      <w:pPr>
        <w:rPr>
          <w:sz w:val="2"/>
          <w:szCs w:val="2"/>
        </w:rPr>
        <w:sectPr w:rsidR="003031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1DD" w:rsidRDefault="003031DD" w:rsidP="003031DD">
      <w:pPr>
        <w:framePr w:wrap="none" w:vAnchor="page" w:hAnchor="page" w:x="1578" w:y="872"/>
        <w:spacing w:line="250" w:lineRule="exact"/>
        <w:ind w:left="20"/>
      </w:pPr>
      <w:r>
        <w:rPr>
          <w:rStyle w:val="a3"/>
          <w:lang w:eastAsia="ru-RU"/>
        </w:rPr>
        <w:lastRenderedPageBreak/>
        <w:t>Стратегічне управління розвитком фізичної культури і спорту</w:t>
      </w:r>
      <w:r>
        <w:rPr>
          <w:rStyle w:val="125pt"/>
        </w:rPr>
        <w:t xml:space="preserve">, </w:t>
      </w:r>
      <w:r>
        <w:rPr>
          <w:rStyle w:val="a3"/>
          <w:lang w:eastAsia="ru-RU"/>
        </w:rPr>
        <w:t>Харків, 2017</w:t>
      </w:r>
    </w:p>
    <w:p w:rsidR="003031DD" w:rsidRDefault="003031DD" w:rsidP="003031DD">
      <w:pPr>
        <w:pStyle w:val="32"/>
        <w:framePr w:wrap="none" w:vAnchor="page" w:hAnchor="page" w:x="9661" w:y="1419"/>
        <w:shd w:val="clear" w:color="auto" w:fill="auto"/>
        <w:spacing w:line="190" w:lineRule="exact"/>
      </w:pPr>
      <w:r>
        <w:t>Таблиця 1</w:t>
      </w:r>
    </w:p>
    <w:p w:rsidR="003031DD" w:rsidRDefault="003031DD" w:rsidP="003031DD">
      <w:pPr>
        <w:framePr w:w="6370" w:h="900" w:hRule="exact" w:wrap="none" w:vAnchor="page" w:hAnchor="page" w:x="2773" w:y="1647"/>
        <w:tabs>
          <w:tab w:val="left" w:leader="underscore" w:pos="1983"/>
          <w:tab w:val="left" w:leader="underscore" w:pos="5146"/>
          <w:tab w:val="left" w:leader="underscore" w:pos="5986"/>
        </w:tabs>
        <w:spacing w:line="278" w:lineRule="exact"/>
        <w:ind w:left="20"/>
        <w:jc w:val="center"/>
      </w:pPr>
      <w:r>
        <w:t>Статистичні показники фізичних якостей юних гімнасток до та після проведення педагогічного експерименту</w:t>
      </w:r>
    </w:p>
    <w:p w:rsidR="003031DD" w:rsidRDefault="003031DD" w:rsidP="003031DD">
      <w:pPr>
        <w:framePr w:w="6370" w:h="900" w:hRule="exact" w:wrap="none" w:vAnchor="page" w:hAnchor="page" w:x="2773" w:y="1647"/>
        <w:tabs>
          <w:tab w:val="left" w:leader="underscore" w:pos="1983"/>
          <w:tab w:val="left" w:leader="underscore" w:pos="5146"/>
          <w:tab w:val="left" w:leader="underscore" w:pos="5986"/>
        </w:tabs>
        <w:spacing w:line="278" w:lineRule="exact"/>
        <w:ind w:left="20"/>
        <w:jc w:val="center"/>
      </w:pPr>
      <w:r>
        <w:rPr>
          <w:rStyle w:val="20"/>
          <w:b w:val="0"/>
          <w:bCs w:val="0"/>
        </w:rPr>
        <w:t>(</w:t>
      </w:r>
      <w:r>
        <w:rPr>
          <w:rStyle w:val="20"/>
          <w:b w:val="0"/>
          <w:bCs w:val="0"/>
          <w:lang w:val="en-US"/>
        </w:rPr>
        <w:t>t</w:t>
      </w:r>
      <w:r w:rsidRPr="00246912">
        <w:rPr>
          <w:rStyle w:val="20"/>
          <w:b w:val="0"/>
          <w:bCs w:val="0"/>
          <w:vertAlign w:val="subscript"/>
        </w:rPr>
        <w:t>гр</w:t>
      </w:r>
      <w:r>
        <w:rPr>
          <w:rStyle w:val="20"/>
          <w:b w:val="0"/>
          <w:bCs w:val="0"/>
        </w:rPr>
        <w:t>. = 2,07 при р &lt;  0,05)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1186"/>
        <w:gridCol w:w="1229"/>
        <w:gridCol w:w="840"/>
        <w:gridCol w:w="902"/>
        <w:gridCol w:w="1114"/>
      </w:tblGrid>
      <w:tr w:rsidR="003031DD" w:rsidTr="00F729A8">
        <w:trPr>
          <w:trHeight w:hRule="exact" w:val="370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Фізичні якості та назва тесту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X ±т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X ±т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Pr="0078668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240" w:firstLine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8668D">
              <w:rPr>
                <w:vertAlign w:val="subscript"/>
              </w:rPr>
              <w:t>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Pr="0078668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120" w:line="190" w:lineRule="exact"/>
              <w:ind w:firstLine="0"/>
            </w:pPr>
            <w:r>
              <w:t>Приріст</w:t>
            </w:r>
          </w:p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before="120" w:after="120" w:line="190" w:lineRule="exact"/>
              <w:ind w:firstLine="0"/>
            </w:pPr>
            <w:r>
              <w:t>рез-в,</w:t>
            </w:r>
          </w:p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before="120" w:after="0" w:line="190" w:lineRule="exact"/>
              <w:ind w:firstLine="0"/>
            </w:pPr>
            <w:r>
              <w:t>%</w:t>
            </w:r>
          </w:p>
        </w:tc>
      </w:tr>
      <w:tr w:rsidR="003031DD" w:rsidTr="00F729A8">
        <w:trPr>
          <w:trHeight w:hRule="exact" w:val="754"/>
        </w:trPr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DD" w:rsidRDefault="003031DD" w:rsidP="00F729A8">
            <w:pPr>
              <w:framePr w:w="9586" w:h="5208" w:wrap="none" w:vAnchor="page" w:hAnchor="page" w:x="1175" w:y="249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120" w:firstLine="0"/>
            </w:pPr>
            <w:r>
              <w:t>До екс.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120" w:line="190" w:lineRule="exact"/>
              <w:ind w:left="120" w:firstLine="0"/>
            </w:pPr>
            <w:r>
              <w:t>Після</w:t>
            </w:r>
          </w:p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before="120" w:after="0" w:line="190" w:lineRule="exact"/>
              <w:ind w:left="120" w:firstLine="0"/>
            </w:pPr>
            <w:r>
              <w:t>екс.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DD" w:rsidRDefault="003031DD" w:rsidP="00F729A8">
            <w:pPr>
              <w:framePr w:w="9586" w:h="5208" w:wrap="none" w:vAnchor="page" w:hAnchor="page" w:x="1175" w:y="2499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DD" w:rsidRDefault="003031DD" w:rsidP="00F729A8">
            <w:pPr>
              <w:framePr w:w="9586" w:h="5208" w:wrap="none" w:vAnchor="page" w:hAnchor="page" w:x="1175" w:y="2499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DD" w:rsidRDefault="003031DD" w:rsidP="00F729A8">
            <w:pPr>
              <w:framePr w:w="9586" w:h="5208" w:wrap="none" w:vAnchor="page" w:hAnchor="page" w:x="1175" w:y="2499"/>
            </w:pPr>
          </w:p>
        </w:tc>
      </w:tr>
      <w:tr w:rsidR="003031DD" w:rsidTr="00F729A8">
        <w:trPr>
          <w:trHeight w:hRule="exact" w:val="67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 xml:space="preserve">Сила </w:t>
            </w:r>
            <w:r w:rsidRPr="0078668D">
              <w:rPr>
                <w:b w:val="0"/>
              </w:rPr>
              <w:t>«піднімання прямих ніг у висі» (кількість разів)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26,0±3,58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32,0±3,30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74" w:firstLine="0"/>
            </w:pPr>
            <w:r>
              <w:t>1,25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&gt;0,05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23%</w:t>
            </w:r>
          </w:p>
        </w:tc>
      </w:tr>
      <w:tr w:rsidR="003031DD" w:rsidTr="00F729A8">
        <w:trPr>
          <w:trHeight w:hRule="exact" w:val="8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 xml:space="preserve">Гнучкість </w:t>
            </w:r>
            <w:r w:rsidRPr="0078668D">
              <w:rPr>
                <w:b w:val="0"/>
              </w:rPr>
              <w:t>«Міст із захопленням гомілковостопних суглобів із в.п.; стійка ноги нарізно» (с)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120" w:firstLine="0"/>
            </w:pPr>
            <w:r>
              <w:t>7,0±0,29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9,0±0,41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74" w:firstLine="0"/>
            </w:pPr>
            <w:r>
              <w:t>2,76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&lt;0,05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29%</w:t>
            </w:r>
          </w:p>
        </w:tc>
      </w:tr>
      <w:tr w:rsidR="003031DD" w:rsidTr="00F729A8">
        <w:trPr>
          <w:trHeight w:hRule="exact" w:val="5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 xml:space="preserve">Швидкісно-силові </w:t>
            </w:r>
            <w:r w:rsidRPr="0078668D">
              <w:rPr>
                <w:b w:val="0"/>
              </w:rPr>
              <w:t>«стрибок поштовхом двома, руки на пояс» (см)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21,5±0,37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23,1±0,26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74" w:firstLine="0"/>
            </w:pPr>
            <w:r>
              <w:t>3,62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&lt;0,05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7%</w:t>
            </w:r>
          </w:p>
        </w:tc>
      </w:tr>
      <w:tr w:rsidR="003031DD" w:rsidTr="00F729A8">
        <w:trPr>
          <w:trHeight w:hRule="exact" w:val="58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 xml:space="preserve">Швидкість </w:t>
            </w:r>
            <w:r w:rsidRPr="0078668D">
              <w:rPr>
                <w:b w:val="0"/>
              </w:rPr>
              <w:t>«біг на місці 5 с» (кількість разів)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18,0±1,49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20,0±1,49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74" w:firstLine="0"/>
            </w:pPr>
            <w:r>
              <w:t>0,71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&gt;0,05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rPr>
                <w:rStyle w:val="CourierNew"/>
                <w:rFonts w:eastAsiaTheme="minorHAnsi"/>
                <w:lang w:eastAsia="ru-RU"/>
              </w:rPr>
              <w:t>11</w:t>
            </w:r>
            <w:r>
              <w:t>%</w:t>
            </w:r>
          </w:p>
        </w:tc>
      </w:tr>
      <w:tr w:rsidR="003031DD" w:rsidTr="00F729A8">
        <w:trPr>
          <w:trHeight w:hRule="exact" w:val="5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 xml:space="preserve">Координація </w:t>
            </w:r>
            <w:r w:rsidRPr="0078668D">
              <w:rPr>
                <w:b w:val="0"/>
              </w:rPr>
              <w:t>«статична рівновага за методикою Яроцького» (с)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2,62±0,40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3,23±0,15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74" w:firstLine="0"/>
            </w:pPr>
            <w:r>
              <w:t>3,34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&lt;0,05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23%</w:t>
            </w:r>
          </w:p>
        </w:tc>
      </w:tr>
      <w:tr w:rsidR="003031DD" w:rsidTr="00F729A8">
        <w:trPr>
          <w:trHeight w:hRule="exact" w:val="85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DD" w:rsidRPr="0078668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</w:pPr>
            <w:r>
              <w:t>Швидкісно-силова витривалість</w:t>
            </w:r>
          </w:p>
          <w:p w:rsidR="003031DD" w:rsidRPr="0078668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240" w:lineRule="auto"/>
              <w:ind w:left="119" w:firstLine="0"/>
              <w:jc w:val="left"/>
              <w:rPr>
                <w:b w:val="0"/>
              </w:rPr>
            </w:pPr>
            <w:r w:rsidRPr="0078668D">
              <w:rPr>
                <w:b w:val="0"/>
              </w:rPr>
              <w:t xml:space="preserve">«стрибки на скакалці за </w:t>
            </w:r>
            <w:r w:rsidRPr="0078668D">
              <w:rPr>
                <w:rStyle w:val="CourierNew"/>
                <w:rFonts w:eastAsiaTheme="minorHAnsi"/>
                <w:lang w:eastAsia="ru-RU"/>
              </w:rPr>
              <w:t>1</w:t>
            </w:r>
            <w:r w:rsidRPr="0078668D">
              <w:rPr>
                <w:b w:val="0"/>
              </w:rPr>
              <w:t xml:space="preserve"> хвилину» (кількість разів)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left="120" w:firstLine="0"/>
            </w:pPr>
            <w:r>
              <w:t>58±3,52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68±3,65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DD" w:rsidRPr="0078668D" w:rsidRDefault="003031DD" w:rsidP="00F729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78668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2.12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&lt;0,05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DD" w:rsidRDefault="003031DD" w:rsidP="00F729A8">
            <w:pPr>
              <w:pStyle w:val="2"/>
              <w:framePr w:w="9586" w:h="5208" w:wrap="none" w:vAnchor="page" w:hAnchor="page" w:x="1175" w:y="2499"/>
              <w:shd w:val="clear" w:color="auto" w:fill="auto"/>
              <w:spacing w:after="0" w:line="190" w:lineRule="exact"/>
              <w:ind w:firstLine="0"/>
            </w:pPr>
            <w:r>
              <w:t>17%</w:t>
            </w:r>
          </w:p>
        </w:tc>
      </w:tr>
    </w:tbl>
    <w:p w:rsidR="003031DD" w:rsidRPr="0078668D" w:rsidRDefault="003031DD" w:rsidP="003031DD">
      <w:pPr>
        <w:pStyle w:val="2"/>
        <w:framePr w:w="9595" w:h="7477" w:hRule="exact" w:wrap="none" w:vAnchor="page" w:hAnchor="page" w:x="1170" w:y="7987"/>
        <w:shd w:val="clear" w:color="auto" w:fill="auto"/>
        <w:spacing w:after="0" w:line="413" w:lineRule="exact"/>
        <w:ind w:left="120" w:right="140" w:firstLine="700"/>
        <w:jc w:val="both"/>
        <w:rPr>
          <w:b w:val="0"/>
        </w:rPr>
      </w:pPr>
      <w:r w:rsidRPr="0078668D">
        <w:rPr>
          <w:b w:val="0"/>
        </w:rPr>
        <w:t>Як видно з матеріалів дослідження, у тесті «Піднімання прямих ніг у висі» покращення результату наприкінці експерименту склало 23 %. Дівчата з експериментальної групи показали середньогруповий результат 26,0±3,58 разів до проведення експерименту і 32,0±3,30 після. Різниця між цими показниками, відповідно до критерію Ст</w:t>
      </w:r>
      <w:r>
        <w:rPr>
          <w:b w:val="0"/>
        </w:rPr>
        <w:t>ь</w:t>
      </w:r>
      <w:r w:rsidRPr="0078668D">
        <w:rPr>
          <w:b w:val="0"/>
        </w:rPr>
        <w:t>юдента є статистично недостовірною, оскільки t</w:t>
      </w:r>
      <w:r w:rsidRPr="0078668D">
        <w:rPr>
          <w:b w:val="0"/>
          <w:vertAlign w:val="subscript"/>
        </w:rPr>
        <w:t>p</w:t>
      </w:r>
      <w:r>
        <w:rPr>
          <w:b w:val="0"/>
          <w:vertAlign w:val="subscript"/>
        </w:rPr>
        <w:t xml:space="preserve"> </w:t>
      </w:r>
      <w:r w:rsidRPr="0078668D">
        <w:rPr>
          <w:b w:val="0"/>
        </w:rPr>
        <w:t>&lt;</w:t>
      </w:r>
      <w:r>
        <w:rPr>
          <w:b w:val="0"/>
        </w:rPr>
        <w:t xml:space="preserve"> </w:t>
      </w:r>
      <w:r w:rsidRPr="0078668D">
        <w:rPr>
          <w:b w:val="0"/>
        </w:rPr>
        <w:t>t</w:t>
      </w:r>
      <w:r>
        <w:rPr>
          <w:b w:val="0"/>
          <w:vertAlign w:val="subscript"/>
        </w:rPr>
        <w:t>гр</w:t>
      </w:r>
      <w:r>
        <w:rPr>
          <w:b w:val="0"/>
        </w:rPr>
        <w:t>.</w:t>
      </w:r>
      <w:r w:rsidRPr="0078668D">
        <w:rPr>
          <w:b w:val="0"/>
        </w:rPr>
        <w:t xml:space="preserve"> (табл.1). У процесі порівняльного аналізу показників розвитку гнучкості за тестом «Міст із захопленням гомілковостопних суглобів із вихідного положення, стійка ноги нарізно» дівчата експериментальної групи показали середній результат 7,0±0,29 с до проведення експерименту і 9,0±0,41 с після. Різниця між цими показниками статистично достовірна (р&lt;0,05). Результати дослідження за тестом «Стрибок поштовхом двома, руки на пояс» показали, що експериментальна група дівчат виконала цю вправу з середньогруповим результатом 21,5±0,37 см до проведення експерименту і 23,1±0,26 см після. Порівняння цих середніх результатів, свідчить, що різниця між ними статистично достовірна (р&lt;0,05). Покращення результату у експериментальній групі складає 7% (табл. 1). У тесті для оцінки рівня швидкісної підготовленості «Біг на місці 5 с» дівчата експериментальної групи показали результат 18,0±1,49 разів до проведення експерименту і 20,0±1,49 разів наприкінці. І хоча покращення результату цієї вправи становить </w:t>
      </w:r>
      <w:r w:rsidRPr="0078668D">
        <w:rPr>
          <w:rStyle w:val="CourierNew"/>
          <w:rFonts w:eastAsiaTheme="minorHAnsi"/>
          <w:lang w:eastAsia="ru-RU"/>
        </w:rPr>
        <w:t>11</w:t>
      </w:r>
      <w:r w:rsidRPr="0078668D">
        <w:rPr>
          <w:b w:val="0"/>
        </w:rPr>
        <w:t>%, за критерієм Стьюдента різниця між ними є статистично недостовірною (tp=0,71&lt;tгр=2,07). Аналіз</w:t>
      </w:r>
      <w:r w:rsidRPr="0078668D">
        <w:t xml:space="preserve"> </w:t>
      </w:r>
      <w:r w:rsidRPr="0078668D">
        <w:rPr>
          <w:b w:val="0"/>
        </w:rPr>
        <w:t>матеріалів дослідження показав, що у тесті «Статична рівновага за методикою Яроцького» покращення результату наприкінці експерименту склало 23 %.</w:t>
      </w:r>
    </w:p>
    <w:p w:rsidR="003031DD" w:rsidRDefault="003031DD" w:rsidP="003031DD">
      <w:pPr>
        <w:pStyle w:val="30"/>
        <w:framePr w:w="9413" w:h="239" w:hRule="exact" w:wrap="none" w:vAnchor="page" w:hAnchor="page" w:x="1261" w:y="15771"/>
        <w:shd w:val="clear" w:color="auto" w:fill="auto"/>
        <w:spacing w:line="210" w:lineRule="exact"/>
        <w:jc w:val="center"/>
      </w:pPr>
      <w:r>
        <w:rPr>
          <w:rStyle w:val="30pt"/>
          <w:lang w:eastAsia="ru-RU"/>
        </w:rPr>
        <w:t>191</w:t>
      </w:r>
    </w:p>
    <w:p w:rsidR="003031DD" w:rsidRDefault="003031DD" w:rsidP="003031DD">
      <w:pPr>
        <w:rPr>
          <w:sz w:val="2"/>
          <w:szCs w:val="2"/>
        </w:rPr>
        <w:sectPr w:rsidR="003031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1DD" w:rsidRDefault="003031DD" w:rsidP="003031DD">
      <w:pPr>
        <w:framePr w:wrap="none" w:vAnchor="page" w:hAnchor="page" w:x="1571" w:y="872"/>
        <w:spacing w:line="250" w:lineRule="exact"/>
        <w:ind w:left="20"/>
      </w:pPr>
      <w:r>
        <w:rPr>
          <w:rStyle w:val="a3"/>
          <w:lang w:eastAsia="ru-RU"/>
        </w:rPr>
        <w:lastRenderedPageBreak/>
        <w:t>Стратегічне управління розвитком фізичної культури і спорту</w:t>
      </w:r>
      <w:r>
        <w:rPr>
          <w:rStyle w:val="125pt"/>
        </w:rPr>
        <w:t xml:space="preserve">, </w:t>
      </w:r>
      <w:r>
        <w:rPr>
          <w:rStyle w:val="a3"/>
          <w:lang w:eastAsia="ru-RU"/>
        </w:rPr>
        <w:t>Харків, 2017</w:t>
      </w:r>
    </w:p>
    <w:p w:rsidR="003031DD" w:rsidRPr="0078668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 w:line="413" w:lineRule="exact"/>
        <w:ind w:left="20" w:right="40" w:firstLine="0"/>
        <w:jc w:val="both"/>
        <w:rPr>
          <w:b w:val="0"/>
        </w:rPr>
      </w:pPr>
      <w:r w:rsidRPr="0078668D">
        <w:rPr>
          <w:b w:val="0"/>
        </w:rPr>
        <w:t xml:space="preserve">Юні спортсменки показали середньогруповий результат 2,62±0,40 с до та 3,23±0,15 с після проведення експерименту (табл. 1). Різниця між цими показниками за критерієм Стьюдента є статистично достовірною (р&lt;0,05). Середньогрупові результати за тестом «стрибки на скакалці за одну хвилину» на початку експерименту становили 58,0±3,52 разів; наприкінці експерименту - 68,0±3,65 разів. Їх порівняння за критерієм Стьюдента свідчить, що різниця між ними статистично достовірна </w:t>
      </w:r>
      <w:r>
        <w:rPr>
          <w:b w:val="0"/>
          <w:lang w:val="en-US"/>
        </w:rPr>
        <w:t>t</w:t>
      </w:r>
      <w:r>
        <w:rPr>
          <w:b w:val="0"/>
          <w:vertAlign w:val="subscript"/>
        </w:rPr>
        <w:t>р</w:t>
      </w:r>
      <w:r w:rsidRPr="0078668D">
        <w:rPr>
          <w:b w:val="0"/>
        </w:rPr>
        <w:t xml:space="preserve"> = 2,12 &gt; </w:t>
      </w:r>
      <w:r>
        <w:rPr>
          <w:b w:val="0"/>
          <w:lang w:val="en-US"/>
        </w:rPr>
        <w:t>t</w:t>
      </w:r>
      <w:r>
        <w:rPr>
          <w:b w:val="0"/>
          <w:vertAlign w:val="subscript"/>
        </w:rPr>
        <w:t>гр</w:t>
      </w:r>
      <w:r w:rsidRPr="0078668D">
        <w:rPr>
          <w:b w:val="0"/>
        </w:rPr>
        <w:t xml:space="preserve"> =</w:t>
      </w:r>
      <w:r>
        <w:rPr>
          <w:b w:val="0"/>
        </w:rPr>
        <w:t xml:space="preserve"> </w:t>
      </w:r>
      <w:r w:rsidRPr="0078668D">
        <w:rPr>
          <w:b w:val="0"/>
        </w:rPr>
        <w:t>2,07). На основі отриманих результатів, можна зробити висновок, що впровадження розробленої методики позитивно вплинуло на рівень розвитку швидкісно-силової витривалості гімнасток - покращення результату становило 17% .</w:t>
      </w:r>
    </w:p>
    <w:p w:rsidR="003031D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 w:line="360" w:lineRule="auto"/>
        <w:ind w:left="23" w:right="40" w:firstLine="720"/>
        <w:jc w:val="both"/>
      </w:pPr>
    </w:p>
    <w:p w:rsidR="003031DD" w:rsidRPr="0078668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 w:line="360" w:lineRule="auto"/>
        <w:ind w:left="23" w:right="40" w:firstLine="720"/>
        <w:jc w:val="both"/>
        <w:rPr>
          <w:b w:val="0"/>
        </w:rPr>
      </w:pPr>
      <w:r>
        <w:t xml:space="preserve">Висновки. </w:t>
      </w:r>
      <w:r w:rsidRPr="0078668D">
        <w:rPr>
          <w:b w:val="0"/>
        </w:rPr>
        <w:t>Результати проведеного дослідження свідчать про те, що розроблена методика кругового тренування напряму вплинула на розвиток рівня загальної фізичної підготовленості дівчат експериментальної групи. Це пов’язано як із загально</w:t>
      </w:r>
      <w:r>
        <w:rPr>
          <w:b w:val="0"/>
        </w:rPr>
        <w:t xml:space="preserve"> </w:t>
      </w:r>
      <w:r w:rsidRPr="0078668D">
        <w:rPr>
          <w:b w:val="0"/>
        </w:rPr>
        <w:t>розвивальним впливом підібраних вправ, так і з введеними елементами змагальності. Таким чином, об'єднання окремих ациклічних рухів в штучно-циклічну структуру шляхом серійних їх повторень під час кругового тренування дало можливість комплексного розвитку рухових якостей гімнасток і сприяло підвищенню загальної працездатності їх організму.</w:t>
      </w:r>
    </w:p>
    <w:p w:rsidR="003031DD" w:rsidRPr="0078668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 w:line="360" w:lineRule="auto"/>
        <w:ind w:left="23" w:right="40" w:firstLine="560"/>
        <w:jc w:val="both"/>
        <w:rPr>
          <w:b w:val="0"/>
        </w:rPr>
      </w:pPr>
      <w:bookmarkStart w:id="0" w:name="bookmark0"/>
      <w:r w:rsidRPr="0078668D">
        <w:t>Перспективи подальших досліджень</w:t>
      </w:r>
      <w:r w:rsidRPr="0078668D">
        <w:rPr>
          <w:b w:val="0"/>
        </w:rPr>
        <w:t xml:space="preserve"> полягають у розробці комплексів вправ кругового тренування для гімнасток етапу спеціалізованої базової підготовки віком </w:t>
      </w:r>
      <w:r w:rsidRPr="0078668D">
        <w:rPr>
          <w:rStyle w:val="CourierNew"/>
          <w:rFonts w:eastAsiaTheme="minorHAnsi"/>
          <w:sz w:val="19"/>
          <w:szCs w:val="19"/>
          <w:lang w:eastAsia="ru-RU"/>
        </w:rPr>
        <w:t>12-15</w:t>
      </w:r>
      <w:r w:rsidRPr="0078668D">
        <w:rPr>
          <w:rStyle w:val="CourierNew"/>
          <w:rFonts w:eastAsiaTheme="minorHAnsi"/>
          <w:lang w:eastAsia="ru-RU"/>
        </w:rPr>
        <w:t xml:space="preserve"> </w:t>
      </w:r>
      <w:r w:rsidRPr="0078668D">
        <w:rPr>
          <w:b w:val="0"/>
        </w:rPr>
        <w:t>років.</w:t>
      </w:r>
      <w:bookmarkEnd w:id="0"/>
    </w:p>
    <w:p w:rsidR="003031D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/>
        <w:ind w:left="2580" w:firstLine="0"/>
        <w:jc w:val="left"/>
      </w:pPr>
    </w:p>
    <w:p w:rsidR="003031D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/>
        <w:ind w:left="2580" w:firstLine="0"/>
        <w:jc w:val="left"/>
      </w:pPr>
      <w:r>
        <w:t>СПИСОК ВИКОРИСТАНОЇ ЛІТЕРАТУРИ</w:t>
      </w:r>
    </w:p>
    <w:p w:rsidR="003031DD" w:rsidRDefault="003031DD" w:rsidP="003031DD">
      <w:pPr>
        <w:pStyle w:val="2"/>
        <w:framePr w:w="9398" w:h="13964" w:hRule="exact" w:wrap="none" w:vAnchor="page" w:hAnchor="page" w:x="1268" w:y="1262"/>
        <w:shd w:val="clear" w:color="auto" w:fill="auto"/>
        <w:spacing w:after="0"/>
        <w:ind w:left="2580" w:firstLine="0"/>
        <w:jc w:val="left"/>
      </w:pP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264"/>
      </w:pPr>
      <w:r>
        <w:rPr>
          <w:lang w:val="uk-UA"/>
        </w:rPr>
        <w:t>Андрєєва Р. Особливості побудови навчально-тренувального процесу юних гімнасток - художниць /Р. Андрєєва //Молода спортивна наука України. - 2009. - Т. 1. - С. 6-9.</w:t>
      </w: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264"/>
      </w:pPr>
      <w:r>
        <w:t>Береснева И. А. Особенности развития гибкости у художественных гимнасток 5-7 лет разных соматотипов / И. А. Береснева, К. Е. Ефимова; А. Б. Юшин // Физическая культура, №6. - 2006. - С. 13-14.</w:t>
      </w: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264"/>
      </w:pPr>
      <w:r>
        <w:t>Ботяев В. Л. Анализ соответствия перспективно-прогностическими координационной подготовленности юных гимнасток, занимающихся на начальном этапе специализированной подготовки (на примере спортивной и художественной гимнастики) /В. Л. Ботяев. - Теория и практика физической культуры. - 2014.-№10 - С. 94-97.</w:t>
      </w: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264"/>
      </w:pPr>
      <w:r>
        <w:t>Нестерова Т. В. Совершенствование системы многолетней подготовки спортсменок в художественной гимнастике / Т. В. Нестерова // Наука в олимпийском спорте, 2007. - № 1. - С. 66-73.</w:t>
      </w: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298"/>
          <w:tab w:val="left" w:pos="567"/>
          <w:tab w:val="left" w:pos="1698"/>
        </w:tabs>
        <w:spacing w:after="0" w:line="274" w:lineRule="exact"/>
        <w:ind w:left="20" w:right="40" w:firstLine="264"/>
      </w:pPr>
      <w:r>
        <w:t>Платонов В.Н. Система подготовки спортсменов в олимпийском спорте. Том</w:t>
      </w:r>
      <w:r>
        <w:rPr>
          <w:lang w:val="uk-UA"/>
        </w:rPr>
        <w:t xml:space="preserve"> 4. </w:t>
      </w:r>
      <w:r>
        <w:t>Учебник для студ. выс. уч. зав. физ. восп. и спорта / Под ред. В.Н. Платонова - Киев: Олимпийская литература, 2004. - 566 с.</w:t>
      </w:r>
    </w:p>
    <w:p w:rsidR="003031DD" w:rsidRDefault="003031DD" w:rsidP="003031DD">
      <w:pPr>
        <w:pStyle w:val="40"/>
        <w:framePr w:w="9398" w:h="13964" w:hRule="exact" w:wrap="none" w:vAnchor="page" w:hAnchor="page" w:x="1268" w:y="126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40" w:firstLine="264"/>
      </w:pPr>
      <w:r>
        <w:t xml:space="preserve">Холодов Ж.К. </w:t>
      </w:r>
      <w:r>
        <w:rPr>
          <w:lang w:val="uk-UA"/>
        </w:rPr>
        <w:t xml:space="preserve">Теорія і </w:t>
      </w:r>
      <w:r>
        <w:t xml:space="preserve">методика </w:t>
      </w:r>
      <w:r>
        <w:rPr>
          <w:lang w:val="uk-UA"/>
        </w:rPr>
        <w:t xml:space="preserve">фізичного виховання і спорту: </w:t>
      </w:r>
      <w:r>
        <w:t xml:space="preserve">Учеб. </w:t>
      </w:r>
      <w:r>
        <w:rPr>
          <w:lang w:val="uk-UA"/>
        </w:rPr>
        <w:t xml:space="preserve">посібник для студ. вищ. навч. закладів. - 2-е вид., испр. і </w:t>
      </w:r>
      <w:r>
        <w:t xml:space="preserve">доп. </w:t>
      </w:r>
      <w:r>
        <w:rPr>
          <w:lang w:val="uk-UA"/>
        </w:rPr>
        <w:t xml:space="preserve">/Ж.К. </w:t>
      </w:r>
      <w:r>
        <w:t xml:space="preserve">Холодов, </w:t>
      </w:r>
      <w:r>
        <w:rPr>
          <w:lang w:val="uk-UA"/>
        </w:rPr>
        <w:t xml:space="preserve">В.С. Кузнєцов. - </w:t>
      </w:r>
      <w:r>
        <w:t xml:space="preserve">М.: </w:t>
      </w:r>
      <w:r>
        <w:rPr>
          <w:lang w:val="uk-UA"/>
        </w:rPr>
        <w:t>Видавничий центр Академія, 2003. - 480 с.</w:t>
      </w:r>
    </w:p>
    <w:p w:rsidR="003031DD" w:rsidRDefault="003031DD" w:rsidP="003031DD">
      <w:pPr>
        <w:pStyle w:val="30"/>
        <w:framePr w:wrap="none" w:vAnchor="page" w:hAnchor="page" w:x="5780" w:y="15742"/>
        <w:shd w:val="clear" w:color="auto" w:fill="auto"/>
        <w:spacing w:line="210" w:lineRule="exact"/>
        <w:ind w:left="20"/>
      </w:pPr>
      <w:r>
        <w:rPr>
          <w:rStyle w:val="30pt"/>
          <w:lang w:eastAsia="ru-RU"/>
        </w:rPr>
        <w:t>192</w:t>
      </w:r>
    </w:p>
    <w:p w:rsidR="003031DD" w:rsidRDefault="003031DD" w:rsidP="003031DD">
      <w:pPr>
        <w:rPr>
          <w:sz w:val="2"/>
          <w:szCs w:val="2"/>
        </w:rPr>
      </w:pPr>
    </w:p>
    <w:p w:rsidR="003F6D7E" w:rsidRDefault="003F6D7E">
      <w:bookmarkStart w:id="1" w:name="_GoBack"/>
      <w:bookmarkEnd w:id="1"/>
    </w:p>
    <w:sectPr w:rsidR="003F6D7E" w:rsidSect="0067009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18F"/>
    <w:multiLevelType w:val="multilevel"/>
    <w:tmpl w:val="323A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F"/>
    <w:rsid w:val="003031DD"/>
    <w:rsid w:val="003F6D7E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1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031DD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u w:val="single"/>
      <w:lang w:val="uk-UA" w:eastAsia="x-none"/>
    </w:rPr>
  </w:style>
  <w:style w:type="character" w:customStyle="1" w:styleId="125pt">
    <w:name w:val="Колонтитул + 12.5 pt"/>
    <w:basedOn w:val="a0"/>
    <w:rsid w:val="003031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single"/>
      <w:lang w:val="uk-UA" w:eastAsia="x-none"/>
    </w:rPr>
  </w:style>
  <w:style w:type="character" w:customStyle="1" w:styleId="a4">
    <w:name w:val="Основной текст_"/>
    <w:basedOn w:val="a0"/>
    <w:link w:val="2"/>
    <w:locked/>
    <w:rsid w:val="003031DD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3031DD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uk-UA" w:eastAsia="x-none"/>
    </w:rPr>
  </w:style>
  <w:style w:type="character" w:customStyle="1" w:styleId="6">
    <w:name w:val="Основной текст (6)_"/>
    <w:basedOn w:val="a0"/>
    <w:link w:val="60"/>
    <w:locked/>
    <w:rsid w:val="003031DD"/>
    <w:rPr>
      <w:rFonts w:ascii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3031DD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uk-UA" w:eastAsia="x-none"/>
    </w:rPr>
  </w:style>
  <w:style w:type="character" w:customStyle="1" w:styleId="4">
    <w:name w:val="Основной текст (4)_"/>
    <w:basedOn w:val="a0"/>
    <w:link w:val="40"/>
    <w:locked/>
    <w:rsid w:val="003031DD"/>
    <w:rPr>
      <w:rFonts w:ascii="Times New Roman" w:hAnsi="Times New Roman" w:cs="Times New Roman"/>
      <w:i/>
      <w:iCs/>
      <w:sz w:val="19"/>
      <w:szCs w:val="19"/>
      <w:shd w:val="clear" w:color="auto" w:fill="FFFFFF"/>
      <w:lang w:eastAsia="x-none"/>
    </w:rPr>
  </w:style>
  <w:style w:type="character" w:customStyle="1" w:styleId="41">
    <w:name w:val="Основной текст (4) + Полужирный"/>
    <w:basedOn w:val="4"/>
    <w:rsid w:val="003031DD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uk-UA" w:eastAsia="x-none"/>
    </w:rPr>
  </w:style>
  <w:style w:type="character" w:customStyle="1" w:styleId="CourierNew">
    <w:name w:val="Основной текст + Courier New"/>
    <w:basedOn w:val="a4"/>
    <w:rsid w:val="003031DD"/>
    <w:rPr>
      <w:rFonts w:ascii="Courier New" w:eastAsia="Times New Roman" w:hAnsi="Courier New" w:cs="Courier New"/>
      <w:b/>
      <w:bCs/>
      <w:color w:val="000000"/>
      <w:spacing w:val="15"/>
      <w:w w:val="100"/>
      <w:position w:val="0"/>
      <w:sz w:val="8"/>
      <w:szCs w:val="8"/>
      <w:shd w:val="clear" w:color="auto" w:fill="FFFFFF"/>
      <w:lang w:val="uk-UA" w:eastAsia="x-none"/>
    </w:rPr>
  </w:style>
  <w:style w:type="character" w:customStyle="1" w:styleId="3">
    <w:name w:val="Колонтитул (3)_"/>
    <w:basedOn w:val="a0"/>
    <w:link w:val="30"/>
    <w:locked/>
    <w:rsid w:val="003031DD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0pt">
    <w:name w:val="Колонтитул (3) + Интервал 0 pt"/>
    <w:basedOn w:val="3"/>
    <w:rsid w:val="003031DD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uk-UA" w:eastAsia="x-none"/>
    </w:rPr>
  </w:style>
  <w:style w:type="character" w:customStyle="1" w:styleId="7pt">
    <w:name w:val="Основной текст + 7 pt"/>
    <w:basedOn w:val="a4"/>
    <w:rsid w:val="003031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1">
    <w:name w:val="Подпись к таблице (3)_"/>
    <w:basedOn w:val="a0"/>
    <w:link w:val="32"/>
    <w:locked/>
    <w:rsid w:val="003031D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">
    <w:name w:val="Подпись к таблице (2)"/>
    <w:basedOn w:val="a0"/>
    <w:rsid w:val="003031DD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single"/>
      <w:lang w:val="uk-UA" w:eastAsia="x-none"/>
    </w:rPr>
  </w:style>
  <w:style w:type="paragraph" w:customStyle="1" w:styleId="2">
    <w:name w:val="Основной текст2"/>
    <w:basedOn w:val="a"/>
    <w:link w:val="a4"/>
    <w:rsid w:val="003031DD"/>
    <w:pPr>
      <w:shd w:val="clear" w:color="auto" w:fill="FFFFFF"/>
      <w:spacing w:after="60" w:line="274" w:lineRule="exact"/>
      <w:ind w:hanging="1840"/>
      <w:jc w:val="center"/>
    </w:pPr>
    <w:rPr>
      <w:rFonts w:ascii="Times New Roman" w:eastAsiaTheme="minorHAnsi" w:hAnsi="Times New Roman" w:cs="Times New Roman"/>
      <w:b/>
      <w:bCs/>
      <w:color w:val="auto"/>
      <w:spacing w:val="1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3031D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3031DD"/>
    <w:pPr>
      <w:shd w:val="clear" w:color="auto" w:fill="FFFFFF"/>
      <w:spacing w:after="240" w:line="283" w:lineRule="exact"/>
      <w:ind w:hanging="360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ru-RU" w:eastAsia="x-none"/>
    </w:rPr>
  </w:style>
  <w:style w:type="paragraph" w:customStyle="1" w:styleId="30">
    <w:name w:val="Колонтитул (3)"/>
    <w:basedOn w:val="a"/>
    <w:link w:val="3"/>
    <w:rsid w:val="003031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2">
    <w:name w:val="Подпись к таблице (3)"/>
    <w:basedOn w:val="a"/>
    <w:link w:val="31"/>
    <w:rsid w:val="003031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1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031DD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u w:val="single"/>
      <w:lang w:val="uk-UA" w:eastAsia="x-none"/>
    </w:rPr>
  </w:style>
  <w:style w:type="character" w:customStyle="1" w:styleId="125pt">
    <w:name w:val="Колонтитул + 12.5 pt"/>
    <w:basedOn w:val="a0"/>
    <w:rsid w:val="003031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single"/>
      <w:lang w:val="uk-UA" w:eastAsia="x-none"/>
    </w:rPr>
  </w:style>
  <w:style w:type="character" w:customStyle="1" w:styleId="a4">
    <w:name w:val="Основной текст_"/>
    <w:basedOn w:val="a0"/>
    <w:link w:val="2"/>
    <w:locked/>
    <w:rsid w:val="003031DD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3031DD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uk-UA" w:eastAsia="x-none"/>
    </w:rPr>
  </w:style>
  <w:style w:type="character" w:customStyle="1" w:styleId="6">
    <w:name w:val="Основной текст (6)_"/>
    <w:basedOn w:val="a0"/>
    <w:link w:val="60"/>
    <w:locked/>
    <w:rsid w:val="003031DD"/>
    <w:rPr>
      <w:rFonts w:ascii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3031DD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uk-UA" w:eastAsia="x-none"/>
    </w:rPr>
  </w:style>
  <w:style w:type="character" w:customStyle="1" w:styleId="4">
    <w:name w:val="Основной текст (4)_"/>
    <w:basedOn w:val="a0"/>
    <w:link w:val="40"/>
    <w:locked/>
    <w:rsid w:val="003031DD"/>
    <w:rPr>
      <w:rFonts w:ascii="Times New Roman" w:hAnsi="Times New Roman" w:cs="Times New Roman"/>
      <w:i/>
      <w:iCs/>
      <w:sz w:val="19"/>
      <w:szCs w:val="19"/>
      <w:shd w:val="clear" w:color="auto" w:fill="FFFFFF"/>
      <w:lang w:eastAsia="x-none"/>
    </w:rPr>
  </w:style>
  <w:style w:type="character" w:customStyle="1" w:styleId="41">
    <w:name w:val="Основной текст (4) + Полужирный"/>
    <w:basedOn w:val="4"/>
    <w:rsid w:val="003031DD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uk-UA" w:eastAsia="x-none"/>
    </w:rPr>
  </w:style>
  <w:style w:type="character" w:customStyle="1" w:styleId="CourierNew">
    <w:name w:val="Основной текст + Courier New"/>
    <w:basedOn w:val="a4"/>
    <w:rsid w:val="003031DD"/>
    <w:rPr>
      <w:rFonts w:ascii="Courier New" w:eastAsia="Times New Roman" w:hAnsi="Courier New" w:cs="Courier New"/>
      <w:b/>
      <w:bCs/>
      <w:color w:val="000000"/>
      <w:spacing w:val="15"/>
      <w:w w:val="100"/>
      <w:position w:val="0"/>
      <w:sz w:val="8"/>
      <w:szCs w:val="8"/>
      <w:shd w:val="clear" w:color="auto" w:fill="FFFFFF"/>
      <w:lang w:val="uk-UA" w:eastAsia="x-none"/>
    </w:rPr>
  </w:style>
  <w:style w:type="character" w:customStyle="1" w:styleId="3">
    <w:name w:val="Колонтитул (3)_"/>
    <w:basedOn w:val="a0"/>
    <w:link w:val="30"/>
    <w:locked/>
    <w:rsid w:val="003031DD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0pt">
    <w:name w:val="Колонтитул (3) + Интервал 0 pt"/>
    <w:basedOn w:val="3"/>
    <w:rsid w:val="003031DD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uk-UA" w:eastAsia="x-none"/>
    </w:rPr>
  </w:style>
  <w:style w:type="character" w:customStyle="1" w:styleId="7pt">
    <w:name w:val="Основной текст + 7 pt"/>
    <w:basedOn w:val="a4"/>
    <w:rsid w:val="003031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1">
    <w:name w:val="Подпись к таблице (3)_"/>
    <w:basedOn w:val="a0"/>
    <w:link w:val="32"/>
    <w:locked/>
    <w:rsid w:val="003031D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">
    <w:name w:val="Подпись к таблице (2)"/>
    <w:basedOn w:val="a0"/>
    <w:rsid w:val="003031DD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u w:val="single"/>
      <w:lang w:val="uk-UA" w:eastAsia="x-none"/>
    </w:rPr>
  </w:style>
  <w:style w:type="paragraph" w:customStyle="1" w:styleId="2">
    <w:name w:val="Основной текст2"/>
    <w:basedOn w:val="a"/>
    <w:link w:val="a4"/>
    <w:rsid w:val="003031DD"/>
    <w:pPr>
      <w:shd w:val="clear" w:color="auto" w:fill="FFFFFF"/>
      <w:spacing w:after="60" w:line="274" w:lineRule="exact"/>
      <w:ind w:hanging="1840"/>
      <w:jc w:val="center"/>
    </w:pPr>
    <w:rPr>
      <w:rFonts w:ascii="Times New Roman" w:eastAsiaTheme="minorHAnsi" w:hAnsi="Times New Roman" w:cs="Times New Roman"/>
      <w:b/>
      <w:bCs/>
      <w:color w:val="auto"/>
      <w:spacing w:val="1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3031D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3031DD"/>
    <w:pPr>
      <w:shd w:val="clear" w:color="auto" w:fill="FFFFFF"/>
      <w:spacing w:after="240" w:line="283" w:lineRule="exact"/>
      <w:ind w:hanging="360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ru-RU" w:eastAsia="x-none"/>
    </w:rPr>
  </w:style>
  <w:style w:type="paragraph" w:customStyle="1" w:styleId="30">
    <w:name w:val="Колонтитул (3)"/>
    <w:basedOn w:val="a"/>
    <w:link w:val="3"/>
    <w:rsid w:val="003031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2">
    <w:name w:val="Подпись к таблице (3)"/>
    <w:basedOn w:val="a"/>
    <w:link w:val="31"/>
    <w:rsid w:val="003031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8703</Characters>
  <Application>Microsoft Office Word</Application>
  <DocSecurity>0</DocSecurity>
  <Lines>72</Lines>
  <Paragraphs>20</Paragraphs>
  <ScaleCrop>false</ScaleCrop>
  <Company>diakov.net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2017-05-26T09:03:00Z</dcterms:created>
  <dcterms:modified xsi:type="dcterms:W3CDTF">2017-05-26T09:03:00Z</dcterms:modified>
</cp:coreProperties>
</file>