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CC" w:rsidRPr="00A334A3" w:rsidRDefault="007D67CC" w:rsidP="007D67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ТРИГЕРНІ ФАКТОРИ </w:t>
      </w:r>
      <w:r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ГЕМОРАГІЧНОГО ВАСКУЛІТУ У ДІТЕЙ</w:t>
      </w:r>
    </w:p>
    <w:p w:rsidR="00A334A3" w:rsidRPr="007D67CC" w:rsidRDefault="00A334A3" w:rsidP="00A334A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7D67CC">
        <w:rPr>
          <w:rFonts w:ascii="Times New Roman" w:hAnsi="Times New Roman" w:cs="Times New Roman"/>
          <w:i/>
          <w:sz w:val="28"/>
          <w:szCs w:val="28"/>
          <w:lang w:val="uk-UA"/>
        </w:rPr>
        <w:t>Потіхенська</w:t>
      </w:r>
      <w:proofErr w:type="spellEnd"/>
      <w:r w:rsidRPr="007D67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Х.</w:t>
      </w:r>
    </w:p>
    <w:p w:rsidR="00A334A3" w:rsidRPr="00A334A3" w:rsidRDefault="00A334A3" w:rsidP="00A334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34A3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університет, кафедра педіатрії №2</w:t>
      </w:r>
    </w:p>
    <w:p w:rsidR="00B61F2A" w:rsidRPr="00A334A3" w:rsidRDefault="00535C56" w:rsidP="00A33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E033E">
        <w:rPr>
          <w:rFonts w:ascii="Times New Roman" w:hAnsi="Times New Roman" w:cs="Times New Roman"/>
          <w:sz w:val="28"/>
          <w:szCs w:val="28"/>
          <w:lang w:val="uk-UA"/>
        </w:rPr>
        <w:t>Актуальн</w:t>
      </w:r>
      <w:r w:rsidRPr="00A334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83192" w:rsidRPr="007E033E">
        <w:rPr>
          <w:rFonts w:ascii="Times New Roman" w:hAnsi="Times New Roman" w:cs="Times New Roman"/>
          <w:sz w:val="28"/>
          <w:szCs w:val="28"/>
          <w:lang w:val="uk-UA"/>
        </w:rPr>
        <w:t xml:space="preserve">сть. </w:t>
      </w:r>
      <w:proofErr w:type="spellStart"/>
      <w:r w:rsidR="00A83192" w:rsidRPr="007E033E">
        <w:rPr>
          <w:rFonts w:ascii="Times New Roman" w:hAnsi="Times New Roman" w:cs="Times New Roman"/>
          <w:sz w:val="28"/>
          <w:szCs w:val="28"/>
          <w:lang w:val="uk-UA"/>
        </w:rPr>
        <w:t>Геморагічний</w:t>
      </w:r>
      <w:proofErr w:type="spellEnd"/>
      <w:r w:rsidR="00A83192" w:rsidRPr="007E033E">
        <w:rPr>
          <w:rFonts w:ascii="Times New Roman" w:hAnsi="Times New Roman" w:cs="Times New Roman"/>
          <w:sz w:val="28"/>
          <w:szCs w:val="28"/>
          <w:lang w:val="uk-UA"/>
        </w:rPr>
        <w:t xml:space="preserve"> васкуліт (ГВ) серед системних васкулітів посідає провідне місце</w:t>
      </w:r>
      <w:r w:rsidR="00D34EE7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у дітей. Не дивлячись на </w:t>
      </w:r>
      <w:proofErr w:type="spellStart"/>
      <w:r w:rsidR="00D34EE7" w:rsidRPr="00A334A3">
        <w:rPr>
          <w:rFonts w:ascii="Times New Roman" w:hAnsi="Times New Roman" w:cs="Times New Roman"/>
          <w:sz w:val="28"/>
          <w:szCs w:val="28"/>
          <w:lang w:val="uk-UA"/>
        </w:rPr>
        <w:t>нез</w:t>
      </w:r>
      <w:proofErr w:type="spellEnd"/>
      <w:r w:rsidR="00D34EE7" w:rsidRPr="00A334A3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D34EE7" w:rsidRPr="00A334A3">
        <w:rPr>
          <w:rFonts w:ascii="Times New Roman" w:hAnsi="Times New Roman" w:cs="Times New Roman"/>
          <w:sz w:val="28"/>
          <w:szCs w:val="28"/>
        </w:rPr>
        <w:t>ясований</w:t>
      </w:r>
      <w:proofErr w:type="spellEnd"/>
      <w:r w:rsidR="00D34EE7" w:rsidRPr="00A334A3">
        <w:rPr>
          <w:rFonts w:ascii="Times New Roman" w:hAnsi="Times New Roman" w:cs="Times New Roman"/>
          <w:sz w:val="28"/>
          <w:szCs w:val="28"/>
        </w:rPr>
        <w:t xml:space="preserve"> патогенез, доведено, </w:t>
      </w:r>
      <w:proofErr w:type="spellStart"/>
      <w:r w:rsidR="00D34EE7" w:rsidRPr="00A334A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34EE7" w:rsidRPr="00A334A3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 w:rsidR="00D34EE7" w:rsidRPr="00A334A3">
        <w:rPr>
          <w:rFonts w:ascii="Times New Roman" w:hAnsi="Times New Roman" w:cs="Times New Roman"/>
          <w:sz w:val="28"/>
          <w:szCs w:val="28"/>
        </w:rPr>
        <w:t>різноманітність</w:t>
      </w:r>
      <w:proofErr w:type="spellEnd"/>
      <w:r w:rsidR="00D34EE7" w:rsidRPr="00A3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EE7" w:rsidRPr="00A334A3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="00D34EE7" w:rsidRPr="00A3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4EE7" w:rsidRPr="00A334A3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="00D34EE7" w:rsidRPr="00A3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EE7" w:rsidRPr="00A334A3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="00D34EE7" w:rsidRPr="00A3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EE7" w:rsidRPr="00A334A3">
        <w:rPr>
          <w:rFonts w:ascii="Times New Roman" w:hAnsi="Times New Roman" w:cs="Times New Roman"/>
          <w:sz w:val="28"/>
          <w:szCs w:val="28"/>
        </w:rPr>
        <w:t>агентів</w:t>
      </w:r>
      <w:proofErr w:type="spellEnd"/>
      <w:r w:rsidR="00D34EE7" w:rsidRPr="00A3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4EE7" w:rsidRPr="00A334A3">
        <w:rPr>
          <w:rFonts w:ascii="Times New Roman" w:hAnsi="Times New Roman" w:cs="Times New Roman"/>
          <w:sz w:val="28"/>
          <w:szCs w:val="28"/>
        </w:rPr>
        <w:t>ліків</w:t>
      </w:r>
      <w:proofErr w:type="spellEnd"/>
      <w:r w:rsidR="00D34EE7" w:rsidRPr="00A334A3">
        <w:rPr>
          <w:rFonts w:ascii="Times New Roman" w:hAnsi="Times New Roman" w:cs="Times New Roman"/>
          <w:sz w:val="28"/>
          <w:szCs w:val="28"/>
        </w:rPr>
        <w:t xml:space="preserve"> та вакцин</w:t>
      </w:r>
      <w:r w:rsidR="00D34EE7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являються тригерними у розвитку ГВ.</w:t>
      </w:r>
    </w:p>
    <w:p w:rsidR="00C8461A" w:rsidRPr="00A334A3" w:rsidRDefault="00C8461A" w:rsidP="00A33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4A3">
        <w:rPr>
          <w:rFonts w:ascii="Times New Roman" w:hAnsi="Times New Roman" w:cs="Times New Roman"/>
          <w:sz w:val="28"/>
          <w:szCs w:val="28"/>
          <w:lang w:val="uk-UA"/>
        </w:rPr>
        <w:t>Мета:</w:t>
      </w:r>
      <w:r w:rsidR="00106A8E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причетність інфекційних за</w:t>
      </w:r>
      <w:r w:rsidR="00A334A3">
        <w:rPr>
          <w:rFonts w:ascii="Times New Roman" w:hAnsi="Times New Roman" w:cs="Times New Roman"/>
          <w:sz w:val="28"/>
          <w:szCs w:val="28"/>
          <w:lang w:val="uk-UA"/>
        </w:rPr>
        <w:t>хворювань</w:t>
      </w:r>
      <w:r w:rsidR="00106A8E" w:rsidRPr="00A334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33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A8E" w:rsidRPr="00A334A3">
        <w:rPr>
          <w:rFonts w:ascii="Times New Roman" w:hAnsi="Times New Roman" w:cs="Times New Roman"/>
          <w:sz w:val="28"/>
          <w:szCs w:val="28"/>
          <w:lang w:val="uk-UA"/>
        </w:rPr>
        <w:t>прийом ліків та проведеної вакцинації у передуванні захворювання на ГВ.</w:t>
      </w:r>
    </w:p>
    <w:p w:rsidR="00236636" w:rsidRPr="00A334A3" w:rsidRDefault="00C8461A" w:rsidP="00A33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та методи: </w:t>
      </w:r>
      <w:r w:rsidR="00236636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виконано на базі кафедри педіатрії №2 Харківського національного медичного університету - Харківській міській клінічній дитячій лікарні №16. </w:t>
      </w:r>
      <w:r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проведені у 44 дітей, хворих на ГВ, віком від 2 до 18  років зі шкірною, </w:t>
      </w:r>
      <w:proofErr w:type="spellStart"/>
      <w:r w:rsidRPr="00A334A3">
        <w:rPr>
          <w:rFonts w:ascii="Times New Roman" w:hAnsi="Times New Roman" w:cs="Times New Roman"/>
          <w:sz w:val="28"/>
          <w:szCs w:val="28"/>
          <w:lang w:val="uk-UA"/>
        </w:rPr>
        <w:t>шкірно</w:t>
      </w:r>
      <w:proofErr w:type="spellEnd"/>
      <w:r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34A3">
        <w:rPr>
          <w:rFonts w:ascii="Times New Roman" w:hAnsi="Times New Roman" w:cs="Times New Roman"/>
          <w:sz w:val="28"/>
          <w:szCs w:val="28"/>
          <w:lang w:val="uk-UA"/>
        </w:rPr>
        <w:t>–суглобовою</w:t>
      </w:r>
      <w:proofErr w:type="spellEnd"/>
      <w:r w:rsidRPr="00A334A3">
        <w:rPr>
          <w:rFonts w:ascii="Times New Roman" w:hAnsi="Times New Roman" w:cs="Times New Roman"/>
          <w:sz w:val="28"/>
          <w:szCs w:val="28"/>
          <w:lang w:val="uk-UA"/>
        </w:rPr>
        <w:t>, змішаною формами, із І, ІІ, ІІІ ступенями активності.</w:t>
      </w:r>
      <w:r w:rsidR="00106A8E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Були проаналізовані скарги дітей, вивчений анамнез життя та захворювання.</w:t>
      </w:r>
    </w:p>
    <w:p w:rsidR="00C8461A" w:rsidRPr="00A334A3" w:rsidRDefault="00236636" w:rsidP="00A33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4A3">
        <w:rPr>
          <w:rFonts w:ascii="Times New Roman" w:hAnsi="Times New Roman" w:cs="Times New Roman"/>
          <w:sz w:val="28"/>
          <w:szCs w:val="28"/>
          <w:lang w:val="uk-UA"/>
        </w:rPr>
        <w:t>Результати: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опитування, тривалість захворювання від моменту виникнення перших клінічних проявів до госпіталізації в профільне відділення тривала від доби до трьох тижнів.</w:t>
      </w:r>
      <w:r w:rsidR="00C8461A" w:rsidRPr="007E0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>Обтяжений алергологічний анамнез спостерігався у 19 дітей (43,</w:t>
      </w:r>
      <w:r w:rsidR="00136EBE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52662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>, що складає майже половину від усіх дітей.  У 8 дітей відмічалася харчова алергія (18,</w:t>
      </w:r>
      <w:r w:rsidR="00136EB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53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A5317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, у 4 дітей – медикаментозна </w:t>
      </w:r>
      <w:r w:rsidR="00A53173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>ажливу роль у розвитку ГВ відіграють гострі інфекції. У 27 дітей (61,</w:t>
      </w:r>
      <w:r w:rsidR="00136EB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D1B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0D1B6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гострі інфекційні захворювання передували ро</w:t>
      </w:r>
      <w:r w:rsidR="0052662A">
        <w:rPr>
          <w:rFonts w:ascii="Times New Roman" w:hAnsi="Times New Roman" w:cs="Times New Roman"/>
          <w:sz w:val="28"/>
          <w:szCs w:val="28"/>
          <w:lang w:val="uk-UA"/>
        </w:rPr>
        <w:t>звитку ГВ.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У 7 дітей (15,9</w:t>
      </w:r>
      <w:r w:rsidR="000D1B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0D1B6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 почалось після п</w:t>
      </w:r>
      <w:r w:rsidR="00106A8E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орушення дієти. У 2 дітей (4,5 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0D1B6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ГВ </w:t>
      </w:r>
      <w:proofErr w:type="spellStart"/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>розвинувся</w:t>
      </w:r>
      <w:proofErr w:type="spellEnd"/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після укусу комахи. У 17 дітей (38,6</w:t>
      </w:r>
      <w:r w:rsidR="00136E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136EB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 виявлені хронічні вогнища інфекції, такі як: хронічний тонзиліт, </w:t>
      </w:r>
      <w:proofErr w:type="spellStart"/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>синусит</w:t>
      </w:r>
      <w:proofErr w:type="spellEnd"/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>. Переважну більшість склали дівчатка -12 (70,</w:t>
      </w:r>
      <w:r w:rsidR="00136EBE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136EB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хворих</w:t>
      </w:r>
      <w:r w:rsidR="000D1B6B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="00136E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B6B">
        <w:rPr>
          <w:rFonts w:ascii="Times New Roman" w:hAnsi="Times New Roman" w:cs="Times New Roman"/>
          <w:sz w:val="28"/>
          <w:szCs w:val="28"/>
          <w:lang w:val="uk-UA"/>
        </w:rPr>
        <w:t>= 0,02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>. У 7 дітей (15,</w:t>
      </w:r>
      <w:r w:rsidR="00136E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%</w:t>
      </w:r>
      <w:r w:rsidR="00136EB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виявлено </w:t>
      </w:r>
      <w:proofErr w:type="spellStart"/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>персистуючу</w:t>
      </w:r>
      <w:proofErr w:type="spellEnd"/>
      <w:r w:rsidR="000D1B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1B6B">
        <w:rPr>
          <w:rFonts w:ascii="Times New Roman" w:hAnsi="Times New Roman" w:cs="Times New Roman"/>
          <w:sz w:val="28"/>
          <w:szCs w:val="28"/>
          <w:lang w:val="uk-UA"/>
        </w:rPr>
        <w:t>цитомегаловірусну</w:t>
      </w:r>
      <w:proofErr w:type="spellEnd"/>
      <w:r w:rsidR="000D1B6B">
        <w:rPr>
          <w:rFonts w:ascii="Times New Roman" w:hAnsi="Times New Roman" w:cs="Times New Roman"/>
          <w:sz w:val="28"/>
          <w:szCs w:val="28"/>
          <w:lang w:val="uk-UA"/>
        </w:rPr>
        <w:t xml:space="preserve"> інфекцію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1B6B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У 8 дітей (18,</w:t>
      </w:r>
      <w:r w:rsidR="00136EBE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0D1B6B" w:rsidRPr="00A334A3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136EB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D1B6B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 провокуючого фактору розвитку ГВ не встановлено.</w:t>
      </w:r>
    </w:p>
    <w:p w:rsidR="00C8461A" w:rsidRPr="00A334A3" w:rsidRDefault="00C8461A" w:rsidP="00A33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4A3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Висновки:</w:t>
      </w:r>
      <w:r w:rsidR="00236636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EBE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аналіз отриманих даних дозволив у </w:t>
      </w:r>
      <w:r w:rsidR="007E033E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136EBE">
        <w:rPr>
          <w:rFonts w:ascii="Times New Roman" w:hAnsi="Times New Roman" w:cs="Times New Roman"/>
          <w:sz w:val="28"/>
          <w:szCs w:val="28"/>
          <w:lang w:val="uk-UA"/>
        </w:rPr>
        <w:t xml:space="preserve"> % дітей </w:t>
      </w:r>
      <w:r w:rsidR="007E033E">
        <w:rPr>
          <w:rFonts w:ascii="Times New Roman" w:hAnsi="Times New Roman" w:cs="Times New Roman"/>
          <w:sz w:val="28"/>
          <w:szCs w:val="28"/>
          <w:lang w:val="uk-UA"/>
        </w:rPr>
        <w:t>виявити інфекційні агенти, що передували розвиткові ГВ. Такі результати дають змогу припустити, що саме інфекційні захворювання являються тригерними факторами у розвитку ГВ.</w:t>
      </w:r>
    </w:p>
    <w:sectPr w:rsidR="00C8461A" w:rsidRPr="00A334A3" w:rsidSect="007D67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92"/>
    <w:rsid w:val="000D1B6B"/>
    <w:rsid w:val="00106A8E"/>
    <w:rsid w:val="00136EBE"/>
    <w:rsid w:val="00236636"/>
    <w:rsid w:val="0052662A"/>
    <w:rsid w:val="00535C56"/>
    <w:rsid w:val="007D67CC"/>
    <w:rsid w:val="007E033E"/>
    <w:rsid w:val="008655B0"/>
    <w:rsid w:val="00A334A3"/>
    <w:rsid w:val="00A53173"/>
    <w:rsid w:val="00A83192"/>
    <w:rsid w:val="00B61F2A"/>
    <w:rsid w:val="00C8461A"/>
    <w:rsid w:val="00D34EE7"/>
    <w:rsid w:val="00E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dcterms:created xsi:type="dcterms:W3CDTF">2017-01-26T19:09:00Z</dcterms:created>
  <dcterms:modified xsi:type="dcterms:W3CDTF">2017-01-26T19:09:00Z</dcterms:modified>
</cp:coreProperties>
</file>