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66" w:rsidRPr="00984634" w:rsidRDefault="00984634" w:rsidP="009A0D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Оптимізація діагностики та лікування дітей з синдромом бронхіальної обструкції</w:t>
      </w:r>
    </w:p>
    <w:p w:rsidR="00050D52" w:rsidRPr="00050D52" w:rsidRDefault="00502166" w:rsidP="009A0D9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50D52" w:rsidRPr="00050D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0D52" w:rsidRPr="00050D52">
        <w:rPr>
          <w:rFonts w:ascii="Times New Roman" w:hAnsi="Times New Roman" w:cs="Times New Roman"/>
          <w:sz w:val="28"/>
          <w:szCs w:val="28"/>
        </w:rPr>
        <w:t>С.Сенаторова</w:t>
      </w:r>
      <w:proofErr w:type="spellEnd"/>
      <w:r w:rsidR="00050D52" w:rsidRPr="00050D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50D52" w:rsidRPr="00050D52">
        <w:rPr>
          <w:rFonts w:ascii="Times New Roman" w:hAnsi="Times New Roman" w:cs="Times New Roman"/>
          <w:sz w:val="28"/>
          <w:szCs w:val="28"/>
        </w:rPr>
        <w:t>Н.В.Башк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50D52" w:rsidRPr="00050D52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050D52" w:rsidRPr="00050D52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0D52" w:rsidRPr="00050D52">
        <w:rPr>
          <w:rFonts w:ascii="Times New Roman" w:hAnsi="Times New Roman" w:cs="Times New Roman"/>
          <w:sz w:val="28"/>
          <w:szCs w:val="28"/>
        </w:rPr>
        <w:t>.Стрелкова</w:t>
      </w:r>
    </w:p>
    <w:p w:rsidR="00050D52" w:rsidRDefault="00050D52" w:rsidP="009A0D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2EBF" w:rsidRDefault="00EA5054" w:rsidP="00EA5054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Обструктивний бронхіт (ОБ) - друге за поширюваністю захворювання органів дихання у дітей [Зайцева, С.В., 2013 роки]. Частота ОБ серед дітей раннього віку становить 220 випадків на 1000 дітей, а у дітей першого року життя - 40-45 випадків на 1000 дитячого населення [Чернишова О.Є., </w:t>
      </w:r>
      <w:proofErr w:type="spellStart"/>
      <w:r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Поповиченко</w:t>
      </w:r>
      <w:proofErr w:type="spellEnd"/>
      <w:r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Л.Л.,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>]. За дан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авторів, серед госпіталізованих дітей кількіс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ОБ становить 34% всіх хворих</w:t>
      </w:r>
      <w:r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[Зайцева, С.В., 2013 роки]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веде за собою також й </w:t>
      </w:r>
      <w:r w:rsidRPr="00773AF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непрацездатність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одного з батьків на термін хвороби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реконвалісценсії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дитини, що в середньому займає від 2-3 до 8 тижнів</w:t>
      </w:r>
      <w:r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дітей з обтяженим сімейним анамнезом за алергічними захворюваннями, зазвичай, ОБ розвивається частіше (в 30 - 40% випадків); це також характерно для дітей, які часто (більше 6 разів на рік) хворіють респіраторними інфекціями [Зайцева, С.В., 2013 роки], в тому числі на рекурентний </w:t>
      </w:r>
      <w:r w:rsidR="00F72EB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/або рецидивуючий бронхіт. Рекурентний обструктивний бронхіт має поширеність 16,4 на 1000 дітей, частіше хворіють діти дошкільного віку, а серед часто </w:t>
      </w:r>
      <w:proofErr w:type="spellStart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хворіючих</w:t>
      </w:r>
      <w:proofErr w:type="spellEnd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(за зверненнями) рекурентний бронхіт встановлюється у  27% і обструктивний бронхіт - у 17,2% дітей [Зайцева, С.В. , 2013 роки]. Важливу роль в </w:t>
      </w:r>
      <w:proofErr w:type="spellStart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рецидивуванні</w:t>
      </w:r>
      <w:proofErr w:type="spellEnd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обструктивного бронхіту відіграють спадкова і конституціональна схильність, які сприяють виникненню захворювання під впливом етіологічних чинників [А.С. Сенаторова., 2013 роки]. В подальшому рекурентний ОБ може мати </w:t>
      </w:r>
      <w:r w:rsidR="00F72EB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вихід</w:t>
      </w:r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бронхіальну астму (БА). Проведен</w:t>
      </w:r>
      <w:r w:rsidR="00F72EB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США популяційн</w:t>
      </w:r>
      <w:r w:rsidR="00F72EB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</w:t>
      </w:r>
      <w:r w:rsidR="00F72EBF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ження за участю більше 90 тисяч</w:t>
      </w:r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встановило кореляцію ступеня тяжкості обструктивного бронхіту, перенесеного в грудному віці, з ризиком розвитку БА в дошкільному віці [</w:t>
      </w:r>
      <w:proofErr w:type="spellStart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>Carroll</w:t>
      </w:r>
      <w:proofErr w:type="spellEnd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K.N. </w:t>
      </w:r>
      <w:proofErr w:type="spellStart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>etal</w:t>
      </w:r>
      <w:proofErr w:type="spellEnd"/>
      <w:r w:rsidR="00F72EBF" w:rsidRPr="0043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2012]. </w:t>
      </w:r>
      <w:r w:rsidR="00F72EBF" w:rsidRPr="00437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великих епідеміологічних досліджень свідчать про те, що вчасна діагностика БА запізнюється: тривалість періоду між першими проявами хвороби і встановленням діагнозу у середньому перевищує 4 роки [О.М. </w:t>
      </w:r>
      <w:proofErr w:type="spellStart"/>
      <w:r w:rsidR="00F72EBF" w:rsidRPr="00437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Охотнікова</w:t>
      </w:r>
      <w:proofErr w:type="spellEnd"/>
      <w:r w:rsidR="00F72EBF" w:rsidRPr="00437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2011].</w:t>
      </w:r>
    </w:p>
    <w:p w:rsidR="00707EFE" w:rsidRDefault="00EA5054" w:rsidP="00EA50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Якщо  обструктивний бронхіт виникає повторно слід виключити такі захворювання як </w:t>
      </w:r>
      <w:r w:rsid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бронхіальна астма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1616" w:rsidRP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616"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об'ємне утворення середостіння, дилатація легеневої артерії при вроджених вадах серця</w:t>
      </w:r>
      <w:r w:rsid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наявність </w:t>
      </w:r>
      <w:proofErr w:type="spellStart"/>
      <w:r w:rsid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чужерідного</w:t>
      </w:r>
      <w:proofErr w:type="spellEnd"/>
      <w:r w:rsid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тіла в просвіті бронху,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B1616"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падкові аномалії обміну (</w:t>
      </w:r>
      <w:proofErr w:type="spellStart"/>
      <w:r w:rsidR="00CB1616"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муковісцидоз</w:t>
      </w:r>
      <w:proofErr w:type="spellEnd"/>
      <w:r w:rsidR="00CB1616"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дефіцит</w:t>
      </w:r>
      <w:r w:rsid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616"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α1-антитрипсину, </w:t>
      </w:r>
      <w:proofErr w:type="spellStart"/>
      <w:r w:rsidR="00CB1616"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мукополісахаридози</w:t>
      </w:r>
      <w:proofErr w:type="spellEnd"/>
      <w:r w:rsidR="00CB1616"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B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тобто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діференційувати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07EFE"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ронхообструктивний</w:t>
      </w:r>
      <w:proofErr w:type="spellEnd"/>
      <w:r w:rsidR="00707EFE"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синдром (БОС)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707EFE"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7EFE"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патофизиологическое</w:t>
      </w:r>
      <w:proofErr w:type="spellEnd"/>
      <w:r w:rsidR="00707EFE"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поняття, що характеризує порушення бронхіальної прохідності при дуже широкому колі гострих і хронічних захворювань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07EFE"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2211" w:rsidRDefault="00707EFE" w:rsidP="009A0D9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механізми </w:t>
      </w:r>
      <w:proofErr w:type="spellStart"/>
      <w:r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бронхообструкції</w:t>
      </w:r>
      <w:proofErr w:type="spellEnd"/>
      <w:r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представлені на </w:t>
      </w:r>
      <w:r w:rsidR="0029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рис.1</w:t>
      </w:r>
      <w:r w:rsidR="00292211" w:rsidRPr="0029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92211" w:rsidRDefault="00292211" w:rsidP="00292211">
      <w:pPr>
        <w:spacing w:before="100" w:beforeAutospacing="1" w:after="100" w:afterAutospacing="1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</w:t>
      </w:r>
      <w:r w:rsidRPr="00292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07EFE" w:rsidRDefault="00292211" w:rsidP="0029221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механізми </w:t>
      </w:r>
      <w:proofErr w:type="spellStart"/>
      <w:r w:rsidRPr="00707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бронхообструкції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707EFE" w:rsidRPr="00292211" w:rsidTr="009A0D98">
        <w:tc>
          <w:tcPr>
            <w:tcW w:w="4785" w:type="dxa"/>
          </w:tcPr>
          <w:p w:rsidR="00707EFE" w:rsidRDefault="00707EFE" w:rsidP="009A0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E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2E780" wp14:editId="590814E8">
                  <wp:extent cx="2711450" cy="29591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874" cy="296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707EFE" w:rsidRPr="00707EFE" w:rsidRDefault="00707EFE" w:rsidP="009A0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 - 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слиз в просвіті бронху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чужерідне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тіло, слиз та ін.)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707EFE" w:rsidRPr="00707EFE" w:rsidRDefault="00707EFE" w:rsidP="009A0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потовщення (н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абряк) слизової оболонки стінки</w:t>
            </w:r>
            <w:r w:rsidR="00CB1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бронх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(обструктивний бронхіт)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707EFE" w:rsidRPr="00707EFE" w:rsidRDefault="00707EFE" w:rsidP="009A0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3 - 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скорочення бронхіальних м'язів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(бронхіальна астма)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707EFE" w:rsidRDefault="00707EFE" w:rsidP="009A0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компресія бронх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07E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ззовні (об'ємне утворення середостіння, дилатація легеневої артерії при вроджених вадах серця).</w:t>
            </w:r>
          </w:p>
        </w:tc>
      </w:tr>
      <w:tr w:rsidR="00707EFE" w:rsidTr="009A0D98">
        <w:tc>
          <w:tcPr>
            <w:tcW w:w="10031" w:type="dxa"/>
            <w:gridSpan w:val="2"/>
          </w:tcPr>
          <w:p w:rsidR="00707EFE" w:rsidRDefault="00707EFE" w:rsidP="009A0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134B1" w:rsidRPr="007134B1" w:rsidRDefault="007134B1" w:rsidP="009A0D9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Клінічна картина БОС у дітей визначається в першу чергу факторами, що викликали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</w:t>
      </w:r>
      <w:r w:rsidR="00416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обстру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кц</w:t>
      </w:r>
      <w:r w:rsidR="00416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більшості випадків БОС пов'язаний з проявами гострої респіраторної вірусної інфекції (гострий обструктивний бронхіт). У зв'язку з цим на початку хвороби відзначається підйом температури тіла, катаральні зміни верхніх дихальних шляхів, порушення загального стану дитини; їх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вираженість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характер багато в чому варіюють в залежності від того, який збудник привів до хвороби. Ознаки експіраторного утруднення дихання можуть з'явитися як у перший день захворювання, так і в процесі перебігу вірусної інфекції (на 3-5-й день хвороби). Поступово збільшується частота дихання і тривалість видиху. Дихання стає шумним і свистячим, що пов'язано з тим,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мірі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гіперсекреції, 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накопичення секрету в просвіті бронхів через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задишк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лихоманку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відбувається зміна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вязкостних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властивостей секрету - він «підсихає», що і веде до появи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дзижчат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(низьких) і свистячих (високих) сухих хрипів.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Ураження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бронхів носить поширений характер, а тому жорстке дихання з сухими свистячими і дзижчать хрипами чутно однаково над усією поверхнею грудної клітини. Хрипи можуть бути чутні на відстані. Чим молодша дитина, тим частіше у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еї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крім сухих, можуть бути і вологі хрипи. Якщо в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генезі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обструкції бронхів провідну роль відіграє спастичний компонент, то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аускультативні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над легкими зазвичай більш різноманітні і лабільні протягом дня.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вираженості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задишки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 більш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допоміжн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мускулатур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втягнення міжреберних просторів,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епігастрію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надключичних ямок, роздування (напруга) крил носа. Нерідко виявляється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періоральний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ціаноз, блідість шкірних покривів, дитина стає неспокійною, намагається прийняти сидяче положення з опорою на руки. Дихальна недостатність тим більше виражена, чим молодша дитина, але зазвичай при БОС вона не перевищує II ступеня. При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фізикальному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обстеженні, крім розсіяних сухих хрипів і жорсткого дихання, виявляють ознаки здуття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легенів</w:t>
      </w:r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звуження меж відносної серцевої тупості, коробковий відтінок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перкуторного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тону. Зміни в периферичної крові відповідають характеру інфекції. Бактеріальна флора нашаровується рідко - не більше 5%. </w:t>
      </w:r>
      <w:proofErr w:type="spellStart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Рентгенологічно</w:t>
      </w:r>
      <w:proofErr w:type="spellEnd"/>
      <w:r w:rsidRPr="00713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крім двостороннього посилення легеневого малюнка і розширення коріння легенів, виявляють: низьке стояння сплощених куполів діафрагми, підвищення прозорості легеневих полів, подовження легеневих полів, горизонтальне розташування ребер на рентгенограмі, тобто ознаки здуття легких.</w:t>
      </w:r>
    </w:p>
    <w:p w:rsidR="009A0D98" w:rsidRPr="009A0D98" w:rsidRDefault="009A0D98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пневмонії, що протікає з БОС синдромом, характерно поступове початок, іноді на тлі респіраторної вірусної інфекції; БОС розвивається на 2-4-й день захворювання, при цьому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постерігається стійка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фебрильна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температура, виражені прояви токсикозу, асиметрія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фізикальних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(осередки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крепитации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локальні, дрібні, звучні, вологі на тлі розсіяних сухих і свистячих хрипів). Остаточний діагноз встановлюється після проведення рентгенографії органів грудної клітини, 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якій виявляється посилення легеневого малюнка, осередки інфільтрації різної величини.</w:t>
      </w:r>
    </w:p>
    <w:p w:rsidR="009A0D98" w:rsidRPr="009A0D98" w:rsidRDefault="009A0D98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Синдром обструкції дихальних шляхів лежить і в основі гострого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бронхіоліту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більш характерний для дітей першого півріччя життя. При гострому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бронхіоліті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відзначається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субфебрильна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нормальна температура тіла, прогресуюча виражена дихальна недостатність. Ознаки інтоксикації незначні. Характерний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періоральний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акроціаноз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сухий кашель, велика кількість дрібних вологих хрипів з обох сторін - «вологе» легке і незначна кількість сухих хрипів. При проведенні рентгенографії органів грудної клітини відзначається посилення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бронхососудістого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малюнка, осередки інфільтрації різної величини, збільшення прозорості легеневих полів.</w:t>
      </w:r>
    </w:p>
    <w:p w:rsidR="009A0D98" w:rsidRPr="009A0D98" w:rsidRDefault="009A0D98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більші труднощі представляє диференціальна діагностика гострого обструктивного бронхіту з бронхіальною астмою (БА). БА характеризується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нападоподібний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розвитком обструкції, не пов'язаної з вірусною інфекцією, є контакт з алергеном. У хворих простежується обтяжений алергологічний сімейний анамнез, ознаки харчової алергії,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атопічного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дерматиту, алергічного риніту як в комплексі, так і самостійно. Епізоди сухого кашлю найчастіше виникають в нічний час і поєднуються з нападами задухи. При лабораторному дослідженні відзначається збільшення рівня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IgE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підвищення еозинофілів в крові, зниження рівня T-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супресорів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сироваткового і секреторного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IgA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Особливі труднощі в постановці діагнозу БА виникають в ранньому дитячому віці. </w:t>
      </w:r>
    </w:p>
    <w:p w:rsidR="009A0D98" w:rsidRDefault="009A0D98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відзначити, що за симптоми бронхіальної обструкції нерідко приймають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позалегеневі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причини гучного дихання (вроджений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стридор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стенозуючий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ларингіт, аспірація їжею, внутрішньо грудний освіту). </w:t>
      </w:r>
    </w:p>
    <w:p w:rsidR="009A0D98" w:rsidRPr="009A0D98" w:rsidRDefault="009A0D98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Останнім часом великої актуальності набуває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бронхолегенев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дисплазі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(БЛД). БЛД - придбане хронічне обструктивне захворювання легень, що розвивається внаслідок респіраторного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дистрес-синдрому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новонароджених і / або штучної вентиляції легенів (ШВЛ) з високими концентраціями кисню, що супроводжується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гіпоксемією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зміненої реактивності бронхів з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гіперчутливістю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дихальних шляхів і характерними рентгенологічними змінами. В етіології БЛД беруть участь багато 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факторів: вплив кисню у високих концентраціях, ШВЛ, набряк легенів, шунт зліва направо при відкритому артеріальному протоці, повторні бактеріальні пневмонії, спадкова схильність, гіповітаміноз А і Е. У діагностиці БЛД велике значення мають дані анамнезу: передчасні пологи, маса при народженні менше 1500 г, СДР з перших годин життя, ШВЛ жорсткими параметрами більше 6 діб, </w:t>
      </w:r>
      <w:proofErr w:type="spellStart"/>
      <w:r w:rsidR="00D21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киснезалежність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менше 1 міс. Основними клінічними симптомами є кашель і стійкі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фізикальні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зміни, наростання обструктивних порушень при нашаруванні вірусної інфекції, ознаки прихованої дихальної недостатності, яка виникає при навантаженні - </w:t>
      </w:r>
      <w:r w:rsid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смоктанні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русі, плачі, при цьому нерідко розвивається легеневе серце в ранньому віці, неврологічна симптоматика, відставання у фізичному розвитку . Остаточно діагноз встановлюється після проведення рентгенологічного дослідження при наявності ознак фіброзу у вигляді деформації і локального посилення легеневого малюнка або легкої ін</w:t>
      </w:r>
      <w:r w:rsid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тонації легеневих полів в </w:t>
      </w:r>
      <w:proofErr w:type="spellStart"/>
      <w:r w:rsid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средньо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медіальних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відділах, що чергуються з ділянками здуття легеневої тканини, переважно в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ніжн</w:t>
      </w:r>
      <w:r w:rsid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латеральних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відділах у дітей старше 1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яців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0D98" w:rsidRPr="009A0D98" w:rsidRDefault="009A0D98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рідкісних захворювань з групи «хвороб малих дихальних шляхів» особливе місце займає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облітеруючий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констриктивний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бронхіоліт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нерідко протікає з вираженими проявами БОС.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Облітеруючий</w:t>
      </w:r>
      <w:proofErr w:type="spellEnd"/>
      <w:r w:rsid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бронхіоліт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прояв неспецифічних тканинних реакцій на різні ушкоджують стимули на рівні дрібних дихальних шляхів. В результаті пошкодження епітелію бронхіол відбувається міграція і проліферація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мезенхімних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клітин в просвіт і стінку бронхіол, що приводить в кінцевому підсумку до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депозиции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них сполучної тканини з подальшим розвитком фіброзу. Причини розвитку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облітеруючого</w:t>
      </w:r>
      <w:proofErr w:type="spellEnd"/>
      <w:r w:rsidR="00A15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бронхіоліту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досить різноманітні. Найбільш часто це захворювання розвивається після трансплантації комплексу серце-легені, кісткового мозку, після вірусних інфекцій, інгаляції токсичних речовин, на тлі дифузних захворювань сполучної тканини, після прийому медикаментів, променевої терапії, запальних захворювань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кишечника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основі розвитку патологічного процесу лежить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аутоімунне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запалення. У клінічній картині кардинальним ознакою захворювання є прогресуюча задишка, яка супроводжується малопродуктивним кашлем, сухими </w:t>
      </w: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свистячими хрипами. Золотим стандартом діагностики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облітеруючого</w:t>
      </w:r>
      <w:proofErr w:type="spellEnd"/>
      <w:r w:rsid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бронхіоліту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проведення комп'ютерної томографії високої роздільної здатності, за результатами якої проводиться постановка остаточного діагнозу.</w:t>
      </w:r>
    </w:p>
    <w:p w:rsidR="009A0D98" w:rsidRDefault="009A0D98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Останнім часом відзначається зростання вад розвитку бронхолегеневої системи. Найбільш часто зустрічаються стенози трахеї, аномалії розгалуження бронхів, синдром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Вільямса-Кемпбелла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бронхоектатична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емфізема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Лешке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патогенезі розвитку БОС при даних станах провідне місце займає змінюється аеродинамічний опір дихальних шляхів, розвивається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дискінезія</w:t>
      </w:r>
      <w:proofErr w:type="spellEnd"/>
      <w:r w:rsid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трахеобронхіального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дерева. Різкі зміни просвіту бронхів під час дихання призводять до затримки повітря і мокротиння в ділянках бронхів, дистальних по відношенню до місця обструкції, що створює умови для розвитку емфіземи і запального процесу. При цьому БОС носить затяжний характер, відзначається відсутність ефекту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бронходилататоров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аускультативной</w:t>
      </w:r>
      <w:proofErr w:type="spellEnd"/>
      <w:r w:rsidRPr="009A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картині переважають вологі хрипи. Основним критерієм, що допомагає при постановці діагнозу, є проведення лікувально-діагностичної бронхоскопії.</w:t>
      </w:r>
    </w:p>
    <w:p w:rsidR="00F72EBF" w:rsidRPr="00437DA0" w:rsidRDefault="00717536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Актуальність проблеми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дисплазії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сполучної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тканини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значною поширеністю ознак </w:t>
      </w:r>
      <w:proofErr w:type="spellStart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дісморфогенез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даними різних авторів, частота зустрічальності ДСТ становить від 13 до 70% [Нестер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енко З.В.,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Омельченко Л.И., </w:t>
      </w:r>
      <w:proofErr w:type="spellStart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Ошлянская</w:t>
      </w:r>
      <w:proofErr w:type="spellEnd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2009;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Починок Т.В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Козакова Л.М.,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717536">
        <w:rPr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Ластівка І.В.,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717536">
        <w:rPr>
          <w:lang w:val="uk-UA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Цимбаліста О.Л., Гаврилюк О.І.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proofErr w:type="spellStart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Чурилина</w:t>
      </w:r>
      <w:proofErr w:type="spellEnd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</w:t>
      </w:r>
      <w:proofErr w:type="spellStart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Москалюк</w:t>
      </w:r>
      <w:proofErr w:type="spellEnd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О.Н., </w:t>
      </w:r>
      <w:proofErr w:type="spellStart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Чалая</w:t>
      </w:r>
      <w:proofErr w:type="spellEnd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Л.Ф.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).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сучасні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науковій літературі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накоплюю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proofErr w:type="spellEnd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відомості, які доводять 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 у формуванні різних видів соматичної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патології, в т. ч. захворювань респіраторного тракту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proofErr w:type="spellStart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Чемоданов</w:t>
      </w:r>
      <w:proofErr w:type="spellEnd"/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В., Краснова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2010.].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Своєрідність перебігу гострих бронхітів у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обумовлено не тільки етіологічними агентами,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й індивідуальними особливостями організму,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числа яких відносять ДСТ. ДСТ є патологічн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обумовлен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порушенням метаболізму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сполучної тканин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 ембріональному і постнаталь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періодах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Нестеренко З. В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1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2008]. </w:t>
      </w:r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Орган дихання знаходиться в особливих умовах постійної фізичного навантаження, внаслідок чого до сполучнотканинних білків - колагену та еластину - пред'являються зовсім інші вимоги, ніж до білків печінки, </w:t>
      </w:r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нирок та інших органів. Саме ці білки визначають стабільність та податливість, які необхідні для виконання основної функції – функції газообміну [Євтушенко С.К., Лісовський Є.В., Євтушенко О.С. 2009]. Морфологічні зміни бронхолегеневої системи при дисплазії сполучної тканини призводять до змін функції м'язово-хрящового каркаса </w:t>
      </w:r>
      <w:proofErr w:type="spellStart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трахеобронхіального</w:t>
      </w:r>
      <w:proofErr w:type="spellEnd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дерева та альвеолярної тканини, роблячи їх підвищено еластичними, що негативно позначається на дренажній функції бронхів та </w:t>
      </w:r>
      <w:proofErr w:type="spellStart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стромальної</w:t>
      </w:r>
      <w:proofErr w:type="spellEnd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стійкості а</w:t>
      </w:r>
      <w:r w:rsidR="00F72EBF">
        <w:rPr>
          <w:rFonts w:ascii="Times New Roman" w:hAnsi="Times New Roman" w:cs="Times New Roman"/>
          <w:sz w:val="28"/>
          <w:szCs w:val="28"/>
          <w:lang w:val="uk-UA"/>
        </w:rPr>
        <w:t xml:space="preserve">львеол [Нестеренко З.В., 2012]. </w:t>
      </w:r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Функціональна неспроможність сполучнотканинних структур легеневої тканини призводить до розвитку різнобічної патології органів дихання [В.Г.</w:t>
      </w:r>
      <w:proofErr w:type="spellStart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Арсентьев</w:t>
      </w:r>
      <w:proofErr w:type="spellEnd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, О.Б.</w:t>
      </w:r>
      <w:proofErr w:type="spellStart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Лецюк</w:t>
      </w:r>
      <w:proofErr w:type="spellEnd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, Н.П.</w:t>
      </w:r>
      <w:proofErr w:type="spellStart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>Шабалов</w:t>
      </w:r>
      <w:proofErr w:type="spellEnd"/>
      <w:r w:rsidR="00F72EBF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. і ін., 2014]. </w:t>
      </w:r>
    </w:p>
    <w:p w:rsidR="00F72EBF" w:rsidRPr="00437DA0" w:rsidRDefault="00F72EBF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встановлено, що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диспластик-залежні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морфо-функціональні зміни систем органів істотно позначаються на перебігу супутніх захворювань, визначаючи затяжний перебіг та хронізацію гострих процесів, меншу ефективність традиційних схем лікування, більш тривалий період реконвалесценції [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Torshin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I.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Gromova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O. A. 2011,].</w:t>
      </w:r>
    </w:p>
    <w:p w:rsidR="00F72EBF" w:rsidRPr="00437DA0" w:rsidRDefault="00F72EBF" w:rsidP="009A0D9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DA0">
        <w:rPr>
          <w:rFonts w:ascii="Times New Roman" w:hAnsi="Times New Roman" w:cs="Times New Roman"/>
          <w:sz w:val="28"/>
          <w:szCs w:val="28"/>
          <w:lang w:val="uk-UA"/>
        </w:rPr>
        <w:t>Незважаючи на існування численних клінічних практичних посібників, в тому числі часто цитованому основного положення клінічної практики Американської академії педіатрії (AAP), опублікованого в 2006 році, [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Parikh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K,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Hall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Teach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SJ., 2014] є велика різниця в підходах до діагностики</w:t>
      </w:r>
      <w:r w:rsidR="00502166">
        <w:rPr>
          <w:rFonts w:ascii="Times New Roman" w:hAnsi="Times New Roman" w:cs="Times New Roman"/>
          <w:sz w:val="28"/>
          <w:szCs w:val="28"/>
          <w:lang w:val="uk-UA"/>
        </w:rPr>
        <w:t>, лікування</w:t>
      </w:r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та спостереженн</w:t>
      </w:r>
      <w:r>
        <w:rPr>
          <w:rFonts w:ascii="Times New Roman" w:hAnsi="Times New Roman" w:cs="Times New Roman"/>
          <w:sz w:val="28"/>
          <w:szCs w:val="28"/>
          <w:lang w:val="uk-UA"/>
        </w:rPr>
        <w:t>ям за дітьми</w:t>
      </w:r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з ОБ [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Jeremy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N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Friedman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Michael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J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Rieder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Jennifer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M </w:t>
      </w:r>
      <w:proofErr w:type="spellStart"/>
      <w:r w:rsidRPr="00437DA0">
        <w:rPr>
          <w:rFonts w:ascii="Times New Roman" w:hAnsi="Times New Roman" w:cs="Times New Roman"/>
          <w:sz w:val="28"/>
          <w:szCs w:val="28"/>
          <w:lang w:val="uk-UA"/>
        </w:rPr>
        <w:t>Walton</w:t>
      </w:r>
      <w:proofErr w:type="spellEnd"/>
      <w:r w:rsidRPr="00437DA0">
        <w:rPr>
          <w:rFonts w:ascii="Times New Roman" w:hAnsi="Times New Roman" w:cs="Times New Roman"/>
          <w:sz w:val="28"/>
          <w:szCs w:val="28"/>
          <w:lang w:val="uk-UA"/>
        </w:rPr>
        <w:t>, 2014].</w:t>
      </w:r>
    </w:p>
    <w:p w:rsidR="009D0C96" w:rsidRDefault="00EB78D5" w:rsidP="002922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гострих бронхітах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бронхолег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еневій</w:t>
      </w:r>
      <w:proofErr w:type="spellEnd"/>
      <w:r w:rsidR="009D0C96">
        <w:rPr>
          <w:rFonts w:ascii="Times New Roman" w:hAnsi="Times New Roman" w:cs="Times New Roman"/>
          <w:sz w:val="28"/>
          <w:szCs w:val="28"/>
          <w:lang w:val="uk-UA"/>
        </w:rPr>
        <w:t xml:space="preserve"> системі під впливом запа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лення змінюються фізіологі</w:t>
      </w:r>
      <w:r w:rsidR="00D277D4">
        <w:rPr>
          <w:rFonts w:ascii="Times New Roman" w:hAnsi="Times New Roman" w:cs="Times New Roman"/>
          <w:sz w:val="28"/>
          <w:szCs w:val="28"/>
          <w:lang w:val="uk-UA"/>
        </w:rPr>
        <w:t>я утворення слизу, його фізико-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хіміч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 xml:space="preserve">ні властивості, </w:t>
      </w:r>
      <w:proofErr w:type="spellStart"/>
      <w:r w:rsidR="009D0C96">
        <w:rPr>
          <w:rFonts w:ascii="Times New Roman" w:hAnsi="Times New Roman" w:cs="Times New Roman"/>
          <w:sz w:val="28"/>
          <w:szCs w:val="28"/>
          <w:lang w:val="uk-UA"/>
        </w:rPr>
        <w:t>мукоциліарний</w:t>
      </w:r>
      <w:proofErr w:type="spellEnd"/>
      <w:r w:rsidR="009D0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ліренс, 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погіршується ві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дходження слизу і, 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як наслідок, збільшується нако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пичення його в дихальних шляхах, що призводить до подальшого приєднання бактеріа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льної інфекції. Тому в комплек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сне лік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ування пацієнтів із респіратор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захворюваннями верхніх дихаль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них шляхів, загостренням хронічних захворювань легень завжди включають лік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арські засоби, що сприяють зни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женню в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’язкості та еластичності мокро</w:t>
      </w:r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тиння, покращують </w:t>
      </w:r>
      <w:proofErr w:type="spellStart"/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>експекторацію</w:t>
      </w:r>
      <w:proofErr w:type="spellEnd"/>
      <w:r w:rsidR="00D277D4"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0C96" w:rsidRDefault="00D277D4" w:rsidP="00D277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7D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 xml:space="preserve">учасні препарати мають як </w:t>
      </w:r>
      <w:proofErr w:type="spellStart"/>
      <w:r w:rsidR="009D0C96">
        <w:rPr>
          <w:rFonts w:ascii="Times New Roman" w:hAnsi="Times New Roman" w:cs="Times New Roman"/>
          <w:sz w:val="28"/>
          <w:szCs w:val="28"/>
          <w:lang w:val="uk-UA"/>
        </w:rPr>
        <w:t>муко</w:t>
      </w:r>
      <w:r w:rsidRPr="00D277D4">
        <w:rPr>
          <w:rFonts w:ascii="Times New Roman" w:hAnsi="Times New Roman" w:cs="Times New Roman"/>
          <w:sz w:val="28"/>
          <w:szCs w:val="28"/>
          <w:lang w:val="uk-UA"/>
        </w:rPr>
        <w:t>регуляторну</w:t>
      </w:r>
      <w:proofErr w:type="spellEnd"/>
      <w:r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 w:rsidRPr="00D277D4">
        <w:rPr>
          <w:rFonts w:ascii="Times New Roman" w:hAnsi="Times New Roman" w:cs="Times New Roman"/>
          <w:sz w:val="28"/>
          <w:szCs w:val="28"/>
          <w:lang w:val="uk-UA"/>
        </w:rPr>
        <w:t>муколітичну</w:t>
      </w:r>
      <w:proofErr w:type="spellEnd"/>
      <w:r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 дію, що нерідко 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визначає універсальні пока</w:t>
      </w:r>
      <w:r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зання до їх застосування при гострих і </w:t>
      </w:r>
      <w:r w:rsidRPr="00D277D4">
        <w:rPr>
          <w:rFonts w:ascii="Times New Roman" w:hAnsi="Times New Roman" w:cs="Times New Roman"/>
          <w:sz w:val="28"/>
          <w:szCs w:val="28"/>
          <w:lang w:val="uk-UA"/>
        </w:rPr>
        <w:lastRenderedPageBreak/>
        <w:t>хронічних захворюваннях верхніх та нижніх дихальних шляхів. У сві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>товій практиці золотим стандар</w:t>
      </w:r>
      <w:r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том </w:t>
      </w:r>
      <w:proofErr w:type="spellStart"/>
      <w:r w:rsidRPr="00D277D4">
        <w:rPr>
          <w:rFonts w:ascii="Times New Roman" w:hAnsi="Times New Roman" w:cs="Times New Roman"/>
          <w:sz w:val="28"/>
          <w:szCs w:val="28"/>
          <w:lang w:val="uk-UA"/>
        </w:rPr>
        <w:t>муколітичної</w:t>
      </w:r>
      <w:proofErr w:type="spellEnd"/>
      <w:r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 терапії є </w:t>
      </w:r>
      <w:proofErr w:type="spellStart"/>
      <w:r w:rsidRPr="00D277D4">
        <w:rPr>
          <w:rFonts w:ascii="Times New Roman" w:hAnsi="Times New Roman" w:cs="Times New Roman"/>
          <w:sz w:val="28"/>
          <w:szCs w:val="28"/>
          <w:lang w:val="uk-UA"/>
        </w:rPr>
        <w:t>амброксолу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7D4">
        <w:rPr>
          <w:rFonts w:ascii="Times New Roman" w:hAnsi="Times New Roman" w:cs="Times New Roman"/>
          <w:sz w:val="28"/>
          <w:szCs w:val="28"/>
          <w:lang w:val="uk-UA"/>
        </w:rPr>
        <w:t>гідрохлорид</w:t>
      </w:r>
      <w:proofErr w:type="spellEnd"/>
      <w:r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 – препарат з комплексним механізмом дії та</w:t>
      </w:r>
      <w:r w:rsidR="009D0C96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різноманітними те</w:t>
      </w:r>
      <w:r w:rsidRPr="00D277D4">
        <w:rPr>
          <w:rFonts w:ascii="Times New Roman" w:hAnsi="Times New Roman" w:cs="Times New Roman"/>
          <w:sz w:val="28"/>
          <w:szCs w:val="28"/>
          <w:lang w:val="uk-UA"/>
        </w:rPr>
        <w:t xml:space="preserve">рапевтичними ефектами. </w:t>
      </w:r>
      <w:proofErr w:type="spellStart"/>
      <w:r w:rsidRPr="009D0C96">
        <w:rPr>
          <w:rFonts w:ascii="Times New Roman" w:hAnsi="Times New Roman" w:cs="Times New Roman"/>
          <w:sz w:val="28"/>
          <w:szCs w:val="28"/>
          <w:lang w:val="uk-UA"/>
        </w:rPr>
        <w:t>Амброксол</w:t>
      </w:r>
      <w:proofErr w:type="spellEnd"/>
      <w:r w:rsidRPr="009D0C9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</w:t>
      </w:r>
      <w:proofErr w:type="spellStart"/>
      <w:r w:rsidRPr="009D0C96">
        <w:rPr>
          <w:rFonts w:ascii="Times New Roman" w:hAnsi="Times New Roman" w:cs="Times New Roman"/>
          <w:sz w:val="28"/>
          <w:szCs w:val="28"/>
          <w:lang w:val="uk-UA"/>
        </w:rPr>
        <w:t>муколітичних</w:t>
      </w:r>
      <w:proofErr w:type="spellEnd"/>
      <w:r w:rsidRPr="009D0C96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 новог</w:t>
      </w:r>
      <w:r w:rsidR="009D0C96" w:rsidRPr="009D0C96">
        <w:rPr>
          <w:rFonts w:ascii="Times New Roman" w:hAnsi="Times New Roman" w:cs="Times New Roman"/>
          <w:sz w:val="28"/>
          <w:szCs w:val="28"/>
          <w:lang w:val="uk-UA"/>
        </w:rPr>
        <w:t xml:space="preserve">о покоління, є метаболітом </w:t>
      </w:r>
      <w:proofErr w:type="spellStart"/>
      <w:r w:rsidR="009D0C96" w:rsidRPr="009D0C96">
        <w:rPr>
          <w:rFonts w:ascii="Times New Roman" w:hAnsi="Times New Roman" w:cs="Times New Roman"/>
          <w:sz w:val="28"/>
          <w:szCs w:val="28"/>
          <w:lang w:val="uk-UA"/>
        </w:rPr>
        <w:t>бром</w:t>
      </w:r>
      <w:r w:rsidRPr="009D0C96">
        <w:rPr>
          <w:rFonts w:ascii="Times New Roman" w:hAnsi="Times New Roman" w:cs="Times New Roman"/>
          <w:sz w:val="28"/>
          <w:szCs w:val="28"/>
          <w:lang w:val="uk-UA"/>
        </w:rPr>
        <w:t>гексину</w:t>
      </w:r>
      <w:proofErr w:type="spellEnd"/>
      <w:r w:rsidRPr="009D0C96">
        <w:rPr>
          <w:rFonts w:ascii="Times New Roman" w:hAnsi="Times New Roman" w:cs="Times New Roman"/>
          <w:sz w:val="28"/>
          <w:szCs w:val="28"/>
          <w:lang w:val="uk-UA"/>
        </w:rPr>
        <w:t xml:space="preserve"> і забезпечує більш виражений відхаркувальний ефект. </w:t>
      </w:r>
    </w:p>
    <w:p w:rsidR="009D0C96" w:rsidRDefault="009D0C96" w:rsidP="00D277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F1">
        <w:rPr>
          <w:rFonts w:ascii="Times New Roman" w:hAnsi="Times New Roman" w:cs="Times New Roman"/>
          <w:sz w:val="28"/>
          <w:szCs w:val="28"/>
          <w:lang w:val="uk-UA"/>
        </w:rPr>
        <w:t>У сучасн</w:t>
      </w:r>
      <w:r w:rsidR="00D277D4" w:rsidRPr="00AF13F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7D4" w:rsidRPr="00AF13F1">
        <w:rPr>
          <w:rFonts w:ascii="Times New Roman" w:hAnsi="Times New Roman" w:cs="Times New Roman"/>
          <w:sz w:val="28"/>
          <w:szCs w:val="28"/>
          <w:lang w:val="uk-UA"/>
        </w:rPr>
        <w:t>лікарській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7D4" w:rsidRPr="00AF13F1">
        <w:rPr>
          <w:rFonts w:ascii="Times New Roman" w:hAnsi="Times New Roman" w:cs="Times New Roman"/>
          <w:sz w:val="28"/>
          <w:szCs w:val="28"/>
          <w:lang w:val="uk-UA"/>
        </w:rPr>
        <w:t>практиці широко застосовуються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7D4" w:rsidRPr="00AF13F1">
        <w:rPr>
          <w:rFonts w:ascii="Times New Roman" w:hAnsi="Times New Roman" w:cs="Times New Roman"/>
          <w:sz w:val="28"/>
          <w:szCs w:val="28"/>
          <w:lang w:val="uk-UA"/>
        </w:rPr>
        <w:t>комбіновані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7D4" w:rsidRPr="00AF13F1">
        <w:rPr>
          <w:rFonts w:ascii="Times New Roman" w:hAnsi="Times New Roman" w:cs="Times New Roman"/>
          <w:sz w:val="28"/>
          <w:szCs w:val="28"/>
          <w:lang w:val="uk-UA"/>
        </w:rPr>
        <w:t>препарати. Комбіновані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7D4" w:rsidRPr="00AF13F1">
        <w:rPr>
          <w:rFonts w:ascii="Times New Roman" w:hAnsi="Times New Roman" w:cs="Times New Roman"/>
          <w:sz w:val="28"/>
          <w:szCs w:val="28"/>
          <w:lang w:val="uk-UA"/>
        </w:rPr>
        <w:t>муколітичні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засоби на фармацевтичном</w:t>
      </w:r>
      <w:r w:rsidR="00D277D4" w:rsidRPr="00AF13F1">
        <w:rPr>
          <w:rFonts w:ascii="Times New Roman" w:hAnsi="Times New Roman" w:cs="Times New Roman"/>
          <w:sz w:val="28"/>
          <w:szCs w:val="28"/>
          <w:lang w:val="uk-UA"/>
        </w:rPr>
        <w:t>у ринку Укра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їни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 широким </w:t>
      </w:r>
      <w:proofErr w:type="spellStart"/>
      <w:r w:rsidRPr="00AF13F1">
        <w:rPr>
          <w:rFonts w:ascii="Times New Roman" w:hAnsi="Times New Roman" w:cs="Times New Roman"/>
          <w:sz w:val="28"/>
          <w:szCs w:val="28"/>
          <w:lang w:val="uk-UA"/>
        </w:rPr>
        <w:t>різномаїттям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препаратів.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У своєму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D277D4" w:rsidRPr="00A70BB3">
        <w:rPr>
          <w:rFonts w:ascii="Times New Roman" w:hAnsi="Times New Roman" w:cs="Times New Roman"/>
          <w:sz w:val="28"/>
          <w:szCs w:val="28"/>
          <w:lang w:val="uk-UA"/>
        </w:rPr>
        <w:t>ладі вони м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ожуть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містити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бронхолітики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D277D4" w:rsidRPr="00A70BB3">
        <w:rPr>
          <w:rFonts w:ascii="Times New Roman" w:hAnsi="Times New Roman" w:cs="Times New Roman"/>
          <w:sz w:val="28"/>
          <w:szCs w:val="28"/>
          <w:lang w:val="uk-UA"/>
        </w:rPr>
        <w:t>тигіст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амінні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протикашльові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>, жарозни</w:t>
      </w:r>
      <w:r w:rsidR="00D277D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жувальні та </w:t>
      </w:r>
      <w:proofErr w:type="spellStart"/>
      <w:r w:rsidR="00A70BB3">
        <w:rPr>
          <w:rFonts w:ascii="Times New Roman" w:hAnsi="Times New Roman" w:cs="Times New Roman"/>
          <w:sz w:val="28"/>
          <w:szCs w:val="28"/>
          <w:lang w:val="uk-UA"/>
        </w:rPr>
        <w:t>мукоактивні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7D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компоненти. </w:t>
      </w:r>
    </w:p>
    <w:p w:rsidR="009D0C96" w:rsidRDefault="00D277D4" w:rsidP="00D277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C96">
        <w:rPr>
          <w:rFonts w:ascii="Times New Roman" w:hAnsi="Times New Roman" w:cs="Times New Roman"/>
          <w:sz w:val="28"/>
          <w:szCs w:val="28"/>
          <w:lang w:val="uk-UA"/>
        </w:rPr>
        <w:t>Пацієнти з обтяженим алергологічним анамнезом часто схильні до розвитку гост</w:t>
      </w:r>
      <w:r w:rsidR="009D0C96" w:rsidRPr="009D0C96">
        <w:rPr>
          <w:rFonts w:ascii="Times New Roman" w:hAnsi="Times New Roman" w:cs="Times New Roman"/>
          <w:sz w:val="28"/>
          <w:szCs w:val="28"/>
          <w:lang w:val="uk-UA"/>
        </w:rPr>
        <w:t>рих запальних захворювань верх</w:t>
      </w:r>
      <w:r w:rsidRPr="009D0C96">
        <w:rPr>
          <w:rFonts w:ascii="Times New Roman" w:hAnsi="Times New Roman" w:cs="Times New Roman"/>
          <w:sz w:val="28"/>
          <w:szCs w:val="28"/>
          <w:lang w:val="uk-UA"/>
        </w:rPr>
        <w:t>ніх дихальних шляхів, що сприяє більш тяжкому п</w:t>
      </w:r>
      <w:r w:rsidR="009D0C96" w:rsidRPr="009D0C96">
        <w:rPr>
          <w:rFonts w:ascii="Times New Roman" w:hAnsi="Times New Roman" w:cs="Times New Roman"/>
          <w:sz w:val="28"/>
          <w:szCs w:val="28"/>
          <w:lang w:val="uk-UA"/>
        </w:rPr>
        <w:t>еребігу та високому ризику роз</w:t>
      </w:r>
      <w:r w:rsidRPr="009D0C96">
        <w:rPr>
          <w:rFonts w:ascii="Times New Roman" w:hAnsi="Times New Roman" w:cs="Times New Roman"/>
          <w:sz w:val="28"/>
          <w:szCs w:val="28"/>
          <w:lang w:val="uk-UA"/>
        </w:rPr>
        <w:t xml:space="preserve">витку ускладнень. </w:t>
      </w:r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дослідження </w:t>
      </w:r>
      <w:r w:rsidRPr="00D277D4">
        <w:rPr>
          <w:rFonts w:ascii="Times New Roman" w:hAnsi="Times New Roman" w:cs="Times New Roman"/>
          <w:sz w:val="28"/>
          <w:szCs w:val="28"/>
        </w:rPr>
        <w:t>J</w:t>
      </w:r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Montoro</w:t>
      </w:r>
      <w:proofErr w:type="spellEnd"/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D6BD8">
        <w:rPr>
          <w:rFonts w:ascii="Times New Roman" w:hAnsi="Times New Roman" w:cs="Times New Roman"/>
          <w:sz w:val="28"/>
          <w:szCs w:val="28"/>
          <w:lang w:val="uk-UA"/>
        </w:rPr>
        <w:t>співавт</w:t>
      </w:r>
      <w:proofErr w:type="spellEnd"/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. (2007), хворі, які мають обтяжений алергологічний анамнез, потребують застосування у комплексній терапії </w:t>
      </w:r>
      <w:proofErr w:type="spellStart"/>
      <w:r w:rsidRPr="00CD6BD8">
        <w:rPr>
          <w:rFonts w:ascii="Times New Roman" w:hAnsi="Times New Roman" w:cs="Times New Roman"/>
          <w:sz w:val="28"/>
          <w:szCs w:val="28"/>
          <w:lang w:val="uk-UA"/>
        </w:rPr>
        <w:t>антигістамінних</w:t>
      </w:r>
      <w:proofErr w:type="spellEnd"/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препаратів. При цьому за рахунок застосування адекватної </w:t>
      </w:r>
      <w:proofErr w:type="spellStart"/>
      <w:r w:rsidRPr="00CD6BD8">
        <w:rPr>
          <w:rFonts w:ascii="Times New Roman" w:hAnsi="Times New Roman" w:cs="Times New Roman"/>
          <w:sz w:val="28"/>
          <w:szCs w:val="28"/>
          <w:lang w:val="uk-UA"/>
        </w:rPr>
        <w:t>антигістамін</w:t>
      </w:r>
      <w:r w:rsidR="009D0C96" w:rsidRPr="00CD6BD8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9D0C96"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 терапії у пацієнтів із алер</w:t>
      </w:r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гічними захворюваннями </w:t>
      </w:r>
      <w:proofErr w:type="gramStart"/>
      <w:r w:rsidRPr="00CD6BD8">
        <w:rPr>
          <w:rFonts w:ascii="Times New Roman" w:hAnsi="Times New Roman" w:cs="Times New Roman"/>
          <w:sz w:val="28"/>
          <w:szCs w:val="28"/>
          <w:lang w:val="uk-UA"/>
        </w:rPr>
        <w:t>вдаєтьс</w:t>
      </w:r>
      <w:r w:rsidR="009D0C96" w:rsidRPr="00CD6BD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="009D0C96"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 зни</w:t>
      </w:r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зити </w:t>
      </w:r>
      <w:proofErr w:type="spellStart"/>
      <w:r w:rsidRPr="00CD6BD8">
        <w:rPr>
          <w:rFonts w:ascii="Times New Roman" w:hAnsi="Times New Roman" w:cs="Times New Roman"/>
          <w:sz w:val="28"/>
          <w:szCs w:val="28"/>
          <w:lang w:val="uk-UA"/>
        </w:rPr>
        <w:t>вираженість</w:t>
      </w:r>
      <w:proofErr w:type="spellEnd"/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 назальних (зменшення набрякло</w:t>
      </w:r>
      <w:r w:rsidR="009D0C96"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сті слизової оболонки носа, </w:t>
      </w:r>
      <w:proofErr w:type="spellStart"/>
      <w:r w:rsidR="009D0C96" w:rsidRPr="00CD6BD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CD6BD8">
        <w:rPr>
          <w:rFonts w:ascii="Times New Roman" w:hAnsi="Times New Roman" w:cs="Times New Roman"/>
          <w:sz w:val="28"/>
          <w:szCs w:val="28"/>
          <w:lang w:val="uk-UA"/>
        </w:rPr>
        <w:t>нореї</w:t>
      </w:r>
      <w:proofErr w:type="spellEnd"/>
      <w:r w:rsidRPr="00CD6BD8">
        <w:rPr>
          <w:rFonts w:ascii="Times New Roman" w:hAnsi="Times New Roman" w:cs="Times New Roman"/>
          <w:sz w:val="28"/>
          <w:szCs w:val="28"/>
          <w:lang w:val="uk-UA"/>
        </w:rPr>
        <w:t xml:space="preserve">, чхання), бронхіальних (зменшення набряклості слизової оболонки бронхів, збільшення їх прохідності) та загальних симптомів. </w:t>
      </w:r>
      <w:proofErr w:type="spellStart"/>
      <w:r w:rsidRPr="00AF13F1">
        <w:rPr>
          <w:rFonts w:ascii="Times New Roman" w:hAnsi="Times New Roman" w:cs="Times New Roman"/>
          <w:sz w:val="28"/>
          <w:szCs w:val="28"/>
          <w:lang w:val="uk-UA"/>
        </w:rPr>
        <w:t>Антигістамінні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препарати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впливають на активність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запально-алергічного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процесу, знижуючи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можли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вість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алергічних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симп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томів на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тлі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лікування ГРВІ. У система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тичному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огляді </w:t>
      </w:r>
      <w:r w:rsidRPr="00D277D4">
        <w:rPr>
          <w:rFonts w:ascii="Times New Roman" w:hAnsi="Times New Roman" w:cs="Times New Roman"/>
          <w:sz w:val="28"/>
          <w:szCs w:val="28"/>
        </w:rPr>
        <w:t>P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77D4">
        <w:rPr>
          <w:rFonts w:ascii="Times New Roman" w:hAnsi="Times New Roman" w:cs="Times New Roman"/>
          <w:sz w:val="28"/>
          <w:szCs w:val="28"/>
        </w:rPr>
        <w:t>J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Sterk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 (1994) і наукових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роботах </w:t>
      </w:r>
      <w:r w:rsidRPr="00D277D4">
        <w:rPr>
          <w:rFonts w:ascii="Times New Roman" w:hAnsi="Times New Roman" w:cs="Times New Roman"/>
          <w:sz w:val="28"/>
          <w:szCs w:val="28"/>
        </w:rPr>
        <w:t>P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77D4">
        <w:rPr>
          <w:rFonts w:ascii="Times New Roman" w:hAnsi="Times New Roman" w:cs="Times New Roman"/>
          <w:sz w:val="28"/>
          <w:szCs w:val="28"/>
        </w:rPr>
        <w:t>W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Hellings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277D4">
        <w:rPr>
          <w:rFonts w:ascii="Times New Roman" w:hAnsi="Times New Roman" w:cs="Times New Roman"/>
          <w:sz w:val="28"/>
          <w:szCs w:val="28"/>
        </w:rPr>
        <w:t>E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77D4">
        <w:rPr>
          <w:rFonts w:ascii="Times New Roman" w:hAnsi="Times New Roman" w:cs="Times New Roman"/>
          <w:sz w:val="28"/>
          <w:szCs w:val="28"/>
        </w:rPr>
        <w:t>P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Prokopakis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 (2010) було показано, що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вірусна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інфекція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підвищенню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рівня як специфіч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ного, так і загального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Е, що, у свою чергу, є </w:t>
      </w:r>
      <w:proofErr w:type="spellStart"/>
      <w:r w:rsidRPr="00AF13F1">
        <w:rPr>
          <w:rFonts w:ascii="Times New Roman" w:hAnsi="Times New Roman" w:cs="Times New Roman"/>
          <w:sz w:val="28"/>
          <w:szCs w:val="28"/>
          <w:lang w:val="uk-UA"/>
        </w:rPr>
        <w:t>предик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тором</w:t>
      </w:r>
      <w:proofErr w:type="spellEnd"/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алергічних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реак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негайного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уповільненого типу, що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призводить до порушення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бронхіальної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прохідності, ушкодження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бронхіального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епітелію.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Тому при поєднанні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вірусно-бак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теріального та алергічного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запалення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3F1"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огенетично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обґрунтованим є при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комбінації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амброксолу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C96" w:rsidRPr="00AF13F1">
        <w:rPr>
          <w:rFonts w:ascii="Times New Roman" w:hAnsi="Times New Roman" w:cs="Times New Roman"/>
          <w:sz w:val="28"/>
          <w:szCs w:val="28"/>
          <w:lang w:val="uk-UA"/>
        </w:rPr>
        <w:t>гід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>рохлориду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F13F1">
        <w:rPr>
          <w:rFonts w:ascii="Times New Roman" w:hAnsi="Times New Roman" w:cs="Times New Roman"/>
          <w:sz w:val="28"/>
          <w:szCs w:val="28"/>
          <w:lang w:val="uk-UA"/>
        </w:rPr>
        <w:t>лоратадину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 – препарату </w:t>
      </w:r>
      <w:proofErr w:type="spellStart"/>
      <w:r w:rsidRPr="00AF13F1">
        <w:rPr>
          <w:rFonts w:ascii="Times New Roman" w:hAnsi="Times New Roman" w:cs="Times New Roman"/>
          <w:sz w:val="28"/>
          <w:szCs w:val="28"/>
          <w:lang w:val="uk-UA"/>
        </w:rPr>
        <w:t>Пульмолор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>® (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Movi</w:t>
      </w:r>
      <w:proofErr w:type="spellEnd"/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Швейцарія, патенти № 95517, № 95516 від 10.08.2011 р., Р.П. МОЗ України № </w:t>
      </w:r>
      <w:r w:rsidRPr="00D277D4">
        <w:rPr>
          <w:rFonts w:ascii="Times New Roman" w:hAnsi="Times New Roman" w:cs="Times New Roman"/>
          <w:sz w:val="28"/>
          <w:szCs w:val="28"/>
        </w:rPr>
        <w:t>UA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/10378/01/01, № </w:t>
      </w:r>
      <w:r w:rsidRPr="00D277D4">
        <w:rPr>
          <w:rFonts w:ascii="Times New Roman" w:hAnsi="Times New Roman" w:cs="Times New Roman"/>
          <w:sz w:val="28"/>
          <w:szCs w:val="28"/>
        </w:rPr>
        <w:t>UA</w:t>
      </w:r>
      <w:r w:rsidRPr="00AF13F1">
        <w:rPr>
          <w:rFonts w:ascii="Times New Roman" w:hAnsi="Times New Roman" w:cs="Times New Roman"/>
          <w:sz w:val="28"/>
          <w:szCs w:val="28"/>
          <w:lang w:val="uk-UA"/>
        </w:rPr>
        <w:t xml:space="preserve">/10378/02/01 від 22.01.2010 р.). </w:t>
      </w:r>
    </w:p>
    <w:p w:rsidR="00C47B42" w:rsidRPr="00C47B42" w:rsidRDefault="00C47B42" w:rsidP="00C47B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7B42">
        <w:rPr>
          <w:rFonts w:ascii="Times New Roman" w:hAnsi="Times New Roman" w:cs="Times New Roman"/>
          <w:sz w:val="28"/>
          <w:szCs w:val="28"/>
          <w:lang w:val="uk-UA"/>
        </w:rPr>
        <w:t>Пульмолор</w:t>
      </w:r>
      <w:proofErr w:type="spellEnd"/>
      <w:r w:rsidRPr="00C47B42">
        <w:rPr>
          <w:rFonts w:ascii="Times New Roman" w:hAnsi="Times New Roman" w:cs="Times New Roman"/>
          <w:sz w:val="28"/>
          <w:szCs w:val="28"/>
          <w:lang w:val="uk-UA"/>
        </w:rPr>
        <w:t>®</w:t>
      </w:r>
      <w:r w:rsid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B42">
        <w:rPr>
          <w:rFonts w:ascii="Times New Roman" w:hAnsi="Times New Roman" w:cs="Times New Roman"/>
          <w:sz w:val="28"/>
          <w:szCs w:val="28"/>
          <w:lang w:val="uk-UA"/>
        </w:rPr>
        <w:t>ефективний в якості симптоматичної терапії в лікуванні захворювань дихальних шляхів, в механізмі розвитку яких присутні:</w:t>
      </w:r>
    </w:p>
    <w:p w:rsidR="00C47B42" w:rsidRPr="00C47B42" w:rsidRDefault="00C47B42" w:rsidP="00C47B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42">
        <w:rPr>
          <w:rFonts w:ascii="Times New Roman" w:hAnsi="Times New Roman" w:cs="Times New Roman"/>
          <w:sz w:val="28"/>
          <w:szCs w:val="28"/>
          <w:lang w:val="uk-UA"/>
        </w:rPr>
        <w:t>- Спазми гладкої мускулатури великих і дрібних дихальних шляхів;</w:t>
      </w:r>
    </w:p>
    <w:p w:rsidR="00C47B42" w:rsidRPr="00C47B42" w:rsidRDefault="00C47B42" w:rsidP="00C47B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42">
        <w:rPr>
          <w:rFonts w:ascii="Times New Roman" w:hAnsi="Times New Roman" w:cs="Times New Roman"/>
          <w:sz w:val="28"/>
          <w:szCs w:val="28"/>
          <w:lang w:val="uk-UA"/>
        </w:rPr>
        <w:t>- Алергічний компонент;</w:t>
      </w:r>
    </w:p>
    <w:p w:rsidR="00C47B42" w:rsidRPr="00C47B42" w:rsidRDefault="00C47B42" w:rsidP="00C47B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42">
        <w:rPr>
          <w:rFonts w:ascii="Times New Roman" w:hAnsi="Times New Roman" w:cs="Times New Roman"/>
          <w:sz w:val="28"/>
          <w:szCs w:val="28"/>
          <w:lang w:val="uk-UA"/>
        </w:rPr>
        <w:t>- Порушена бронхіальна секреція;</w:t>
      </w:r>
    </w:p>
    <w:p w:rsidR="00C47B42" w:rsidRPr="00C47B42" w:rsidRDefault="00C47B42" w:rsidP="00C47B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42">
        <w:rPr>
          <w:rFonts w:ascii="Times New Roman" w:hAnsi="Times New Roman" w:cs="Times New Roman"/>
          <w:sz w:val="28"/>
          <w:szCs w:val="28"/>
          <w:lang w:val="uk-UA"/>
        </w:rPr>
        <w:t>- Погіршення просування слизу;</w:t>
      </w:r>
    </w:p>
    <w:p w:rsidR="00C47B42" w:rsidRPr="00C47B42" w:rsidRDefault="00C47B42" w:rsidP="00C47B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42">
        <w:rPr>
          <w:rFonts w:ascii="Times New Roman" w:hAnsi="Times New Roman" w:cs="Times New Roman"/>
          <w:sz w:val="28"/>
          <w:szCs w:val="28"/>
          <w:lang w:val="uk-UA"/>
        </w:rPr>
        <w:t>- Підвищена проникність капілярів;</w:t>
      </w:r>
    </w:p>
    <w:p w:rsidR="00C47B42" w:rsidRPr="00C47B42" w:rsidRDefault="00C47B42" w:rsidP="00C47B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42">
        <w:rPr>
          <w:rFonts w:ascii="Times New Roman" w:hAnsi="Times New Roman" w:cs="Times New Roman"/>
          <w:sz w:val="28"/>
          <w:szCs w:val="28"/>
          <w:lang w:val="uk-UA"/>
        </w:rPr>
        <w:t>- Набряк слизової (явища риніту).</w:t>
      </w:r>
    </w:p>
    <w:p w:rsidR="00D277D4" w:rsidRPr="00A70BB3" w:rsidRDefault="00D277D4" w:rsidP="00D277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Пул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ьмолор</w:t>
      </w:r>
      <w:proofErr w:type="spellEnd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® чинить виражену відхар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кувальну дію, пом’якшує та заспокоює сухий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кашель, полегшує дихання, нор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малізує секрецію бронхіального слизу, покращує відходження мокротиння, зменшує запалення дихальних шляхів та спазм гладкої мускулатури бронхів, а також 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>набряк тканин, у тому числі сли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зової оболонки носа, горла, гайморових пазух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і дихальних шляхів, має </w:t>
      </w:r>
      <w:proofErr w:type="spellStart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алергічний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ефект. Терапе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втичний вплив </w:t>
      </w:r>
      <w:proofErr w:type="spellStart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амброксолу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гідро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хлориду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зумов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лений посиленням фізіоло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гічної активності війчастого епітелію, що пришви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дшує транспорт мокротиння, сти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мулює природний захист легень шляхом збільшення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макрофагальної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лейко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цитів, супроводжується зменшен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гіперреактивності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бронхів унаслідок пригніч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ення виділення </w:t>
      </w:r>
      <w:proofErr w:type="spellStart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прозапальних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ци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токінів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та руйнування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мастоцитів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Препа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рат також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стимулює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секрецію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сурфактанта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та пригнічує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розпад у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пневмоцитах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>, має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помірний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протикашльовий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ефект при непроду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ктивному кашлі. Важливим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фізіо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логічним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ефектом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сурфактанта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>, синтез якого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впливом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амброксолу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гідрохло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риду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підвищує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ться в 1,5-1,7 </w:t>
      </w:r>
      <w:proofErr w:type="spellStart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, є противі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русна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активність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протеїну А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(одного із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урфактанта</w:t>
      </w:r>
      <w:proofErr w:type="spellEnd"/>
      <w:r w:rsidR="009D0C96" w:rsidRPr="00A70BB3">
        <w:rPr>
          <w:rFonts w:ascii="Times New Roman" w:hAnsi="Times New Roman" w:cs="Times New Roman"/>
          <w:sz w:val="28"/>
          <w:szCs w:val="28"/>
          <w:lang w:val="uk-UA"/>
        </w:rPr>
        <w:t>): протеїн А безпосе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редньо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взаємодіє з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гемагглютиніном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вірусу та нейтралізує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його.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Лоратадин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антигістамінний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препарат ІІ покоління, має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високу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специфічність та високу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C1B">
        <w:rPr>
          <w:rFonts w:ascii="Times New Roman" w:hAnsi="Times New Roman" w:cs="Times New Roman"/>
          <w:sz w:val="28"/>
          <w:szCs w:val="28"/>
          <w:lang w:val="uk-UA"/>
        </w:rPr>
        <w:t>спорідненість до Н1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гістамінових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рецепторів за відсутності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впливу на холінові та серотонінові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рецептори. На відміну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антигістамінних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препаратів І покоління,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лоратадин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не збільшує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в’язкість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бронхіаль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ного секрету, не впливає на концентрацію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уваги, пам’ять та не чинить снодійної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дії. Він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протиалергічну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дію, послаблює спазм гла</w:t>
      </w:r>
      <w:r w:rsidR="00C47B42" w:rsidRPr="00A70BB3">
        <w:rPr>
          <w:rFonts w:ascii="Times New Roman" w:hAnsi="Times New Roman" w:cs="Times New Roman"/>
          <w:sz w:val="28"/>
          <w:szCs w:val="28"/>
          <w:lang w:val="uk-UA"/>
        </w:rPr>
        <w:t>дкої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B42" w:rsidRPr="00A70BB3">
        <w:rPr>
          <w:rFonts w:ascii="Times New Roman" w:hAnsi="Times New Roman" w:cs="Times New Roman"/>
          <w:sz w:val="28"/>
          <w:szCs w:val="28"/>
          <w:lang w:val="uk-UA"/>
        </w:rPr>
        <w:t>мускулатури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B42" w:rsidRPr="00A70BB3">
        <w:rPr>
          <w:rFonts w:ascii="Times New Roman" w:hAnsi="Times New Roman" w:cs="Times New Roman"/>
          <w:sz w:val="28"/>
          <w:szCs w:val="28"/>
          <w:lang w:val="uk-UA"/>
        </w:rPr>
        <w:t>бронхів, змен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шує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чутливість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бронхів до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гістаміну</w:t>
      </w:r>
      <w:proofErr w:type="spellEnd"/>
      <w:r w:rsidRPr="00A70BB3">
        <w:rPr>
          <w:rFonts w:ascii="Times New Roman" w:hAnsi="Times New Roman" w:cs="Times New Roman"/>
          <w:sz w:val="28"/>
          <w:szCs w:val="28"/>
          <w:lang w:val="uk-UA"/>
        </w:rPr>
        <w:t>, усуває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сухий кашель алергічної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етіології, зменшує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проникність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капілярів та набряк тканин, нежить, с</w:t>
      </w:r>
      <w:r w:rsidR="00C47B42" w:rsidRPr="00A70BB3">
        <w:rPr>
          <w:rFonts w:ascii="Times New Roman" w:hAnsi="Times New Roman" w:cs="Times New Roman"/>
          <w:sz w:val="28"/>
          <w:szCs w:val="28"/>
          <w:lang w:val="uk-UA"/>
        </w:rPr>
        <w:t>льозотечу, чхання, свербіж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B42" w:rsidRPr="00A70BB3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небіння і н</w:t>
      </w:r>
      <w:r w:rsidR="00C47B42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оса, почервоніння очей. </w:t>
      </w:r>
      <w:proofErr w:type="spellStart"/>
      <w:r w:rsidR="00C47B42" w:rsidRPr="00A70BB3">
        <w:rPr>
          <w:rFonts w:ascii="Times New Roman" w:hAnsi="Times New Roman" w:cs="Times New Roman"/>
          <w:sz w:val="28"/>
          <w:szCs w:val="28"/>
          <w:lang w:val="uk-UA"/>
        </w:rPr>
        <w:t>Лората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дин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запобігає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розвитку та полегшує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перебіг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алергічних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реакцій, має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кращий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профіль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</w:t>
      </w:r>
      <w:proofErr w:type="spellStart"/>
      <w:r w:rsidRPr="00A70BB3">
        <w:rPr>
          <w:rFonts w:ascii="Times New Roman" w:hAnsi="Times New Roman" w:cs="Times New Roman"/>
          <w:sz w:val="28"/>
          <w:szCs w:val="28"/>
          <w:lang w:val="uk-UA"/>
        </w:rPr>
        <w:t>антигістамінними</w:t>
      </w:r>
      <w:proofErr w:type="spellEnd"/>
      <w:r w:rsidR="00922DA4"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BB3">
        <w:rPr>
          <w:rFonts w:ascii="Times New Roman" w:hAnsi="Times New Roman" w:cs="Times New Roman"/>
          <w:sz w:val="28"/>
          <w:szCs w:val="28"/>
          <w:lang w:val="uk-UA"/>
        </w:rPr>
        <w:t xml:space="preserve">засобами І покоління. </w:t>
      </w:r>
    </w:p>
    <w:p w:rsidR="00C47B42" w:rsidRDefault="00C47B42" w:rsidP="00D277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42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 дорослим і дітям старше 12 років внутрішньо по 1 таблетці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(або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суспензії) 2 рази на добу, дітям від 6 до 12 років </w:t>
      </w:r>
      <w:r w:rsidR="00867383">
        <w:rPr>
          <w:rFonts w:ascii="Times New Roman" w:hAnsi="Times New Roman" w:cs="Times New Roman"/>
          <w:sz w:val="28"/>
          <w:szCs w:val="28"/>
          <w:lang w:val="uk-UA"/>
        </w:rPr>
        <w:t>2,5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 суспензії </w:t>
      </w:r>
      <w:r w:rsidR="00867383">
        <w:rPr>
          <w:rFonts w:ascii="Times New Roman" w:hAnsi="Times New Roman" w:cs="Times New Roman"/>
          <w:sz w:val="28"/>
          <w:szCs w:val="28"/>
          <w:lang w:val="uk-UA"/>
        </w:rPr>
        <w:t>2-3</w:t>
      </w:r>
      <w:r w:rsidRPr="00C47B42">
        <w:rPr>
          <w:rFonts w:ascii="Times New Roman" w:hAnsi="Times New Roman" w:cs="Times New Roman"/>
          <w:sz w:val="28"/>
          <w:szCs w:val="28"/>
          <w:lang w:val="uk-UA"/>
        </w:rPr>
        <w:t xml:space="preserve"> раз</w:t>
      </w:r>
      <w:r w:rsidR="008673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7B42">
        <w:rPr>
          <w:rFonts w:ascii="Times New Roman" w:hAnsi="Times New Roman" w:cs="Times New Roman"/>
          <w:sz w:val="28"/>
          <w:szCs w:val="28"/>
          <w:lang w:val="uk-UA"/>
        </w:rPr>
        <w:t xml:space="preserve"> на добу.</w:t>
      </w:r>
      <w:r w:rsidR="0092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="0092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7D4">
        <w:rPr>
          <w:rFonts w:ascii="Times New Roman" w:hAnsi="Times New Roman" w:cs="Times New Roman"/>
          <w:sz w:val="28"/>
          <w:szCs w:val="28"/>
        </w:rPr>
        <w:t xml:space="preserve"> препарату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92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r w:rsidRPr="00D277D4">
        <w:rPr>
          <w:rFonts w:ascii="Times New Roman" w:hAnsi="Times New Roman" w:cs="Times New Roman"/>
          <w:sz w:val="28"/>
          <w:szCs w:val="28"/>
        </w:rPr>
        <w:t>валому</w:t>
      </w:r>
      <w:proofErr w:type="spellEnd"/>
      <w:r w:rsidR="0092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D277D4">
        <w:rPr>
          <w:rFonts w:ascii="Times New Roman" w:hAnsi="Times New Roman" w:cs="Times New Roman"/>
          <w:sz w:val="28"/>
          <w:szCs w:val="28"/>
        </w:rPr>
        <w:t xml:space="preserve"> (до 28 </w:t>
      </w:r>
      <w:proofErr w:type="spellStart"/>
      <w:r w:rsidRPr="00D277D4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D277D4">
        <w:rPr>
          <w:rFonts w:ascii="Times New Roman" w:hAnsi="Times New Roman" w:cs="Times New Roman"/>
          <w:sz w:val="28"/>
          <w:szCs w:val="28"/>
        </w:rPr>
        <w:t>).</w:t>
      </w:r>
    </w:p>
    <w:p w:rsidR="00867383" w:rsidRDefault="00867383" w:rsidP="006E48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нашим спостереженням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пульмонологічному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Харківської обласної дитячої клінічної лікарні 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 xml:space="preserve">знаходилось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дітей у віці 6 до 12 років, які </w:t>
      </w:r>
      <w:r w:rsidR="006E4847" w:rsidRPr="006E48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відповідали </w:t>
      </w:r>
      <w:r>
        <w:rPr>
          <w:rFonts w:ascii="Times New Roman" w:hAnsi="Times New Roman" w:cs="Times New Roman"/>
          <w:sz w:val="28"/>
          <w:szCs w:val="28"/>
          <w:lang w:val="uk-UA"/>
        </w:rPr>
        <w:t>критеріям включення у дослідження: 20 дітей (І група), які отримали «</w:t>
      </w:r>
      <w:proofErr w:type="spellStart"/>
      <w:r w:rsidR="006E4847" w:rsidRPr="009D0C96">
        <w:rPr>
          <w:rFonts w:ascii="Times New Roman" w:hAnsi="Times New Roman" w:cs="Times New Roman"/>
          <w:sz w:val="28"/>
          <w:szCs w:val="28"/>
          <w:lang w:val="uk-UA"/>
        </w:rPr>
        <w:t>Пульмолор®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10 дітей (ІІ група) – група контролю</w:t>
      </w:r>
      <w:r w:rsidR="00D21FBF">
        <w:rPr>
          <w:rFonts w:ascii="Times New Roman" w:hAnsi="Times New Roman" w:cs="Times New Roman"/>
          <w:sz w:val="28"/>
          <w:szCs w:val="28"/>
          <w:lang w:val="uk-UA"/>
        </w:rPr>
        <w:t>. В усіх (100%) обстежених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діагностований</w:t>
      </w:r>
      <w:proofErr w:type="spellEnd"/>
      <w:r w:rsidR="0092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 xml:space="preserve">гострий обструктивний </w:t>
      </w:r>
      <w:r w:rsidR="00D21FBF">
        <w:rPr>
          <w:rFonts w:ascii="Times New Roman" w:hAnsi="Times New Roman" w:cs="Times New Roman"/>
          <w:sz w:val="28"/>
          <w:szCs w:val="28"/>
          <w:lang w:val="uk-UA"/>
        </w:rPr>
        <w:t>бронхіт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. Хлопчаків було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 17 (56,6%), дівчаток 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>13 (43,4%)</w:t>
      </w:r>
      <w:r w:rsidR="003012C0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12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1FB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іти від 6 до 9 років 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>склали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 60,0% (18 дітей), у віці від 10 до 12 років – 40,0% (12 дітей)</w:t>
      </w:r>
      <w:r w:rsidR="003012C0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12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>. Тривалість захворювання до госпіталізації склала: 1-3 доби захворювання – 13 дітей (43,4%), 4-7 доби – 12 дітей (40,0%), більше 7 діб – 5 дітей (16,6%)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7D16">
        <w:rPr>
          <w:rFonts w:ascii="Times New Roman" w:hAnsi="Times New Roman" w:cs="Times New Roman"/>
          <w:sz w:val="28"/>
          <w:szCs w:val="28"/>
          <w:lang w:val="uk-UA"/>
        </w:rPr>
        <w:t>Алергоанамнез</w:t>
      </w:r>
      <w:proofErr w:type="spellEnd"/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 був обтяжений у всіх досліджених дітей у вигляді харчової алергії (43,4%), </w:t>
      </w:r>
      <w:proofErr w:type="spellStart"/>
      <w:r w:rsidR="009E7D16">
        <w:rPr>
          <w:rFonts w:ascii="Times New Roman" w:hAnsi="Times New Roman" w:cs="Times New Roman"/>
          <w:sz w:val="28"/>
          <w:szCs w:val="28"/>
          <w:lang w:val="uk-UA"/>
        </w:rPr>
        <w:t>атопічного</w:t>
      </w:r>
      <w:proofErr w:type="spellEnd"/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 дерматиту (30,0%), алергічного риніту (13,3%), змішан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>ої алергії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 xml:space="preserve"> (13,3%)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7D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FBF">
        <w:rPr>
          <w:rFonts w:ascii="Times New Roman" w:hAnsi="Times New Roman" w:cs="Times New Roman"/>
          <w:sz w:val="28"/>
          <w:szCs w:val="28"/>
          <w:lang w:val="uk-UA"/>
        </w:rPr>
        <w:t xml:space="preserve"> В усіх дітей (100%) було встановлено ознаки недиференційованої сполучнотканинної дисплазії.</w:t>
      </w:r>
    </w:p>
    <w:p w:rsidR="008C0244" w:rsidRDefault="003012C0" w:rsidP="008C0244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462F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2F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F4B" w:rsidRDefault="00462F4B" w:rsidP="00462F4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778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12C0" w:rsidRDefault="003012C0" w:rsidP="003012C0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2C0" w:rsidRDefault="003012C0" w:rsidP="003012C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9685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1AA" w:rsidRDefault="008B51AA" w:rsidP="003012C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12C0" w:rsidRDefault="008B51AA" w:rsidP="008B51AA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E4AE9" w:rsidRDefault="008E4AE9" w:rsidP="003012C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60600"/>
            <wp:effectExtent l="19050" t="0" r="1905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05B6" w:rsidRDefault="007705B6" w:rsidP="003012C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5B6" w:rsidRDefault="007705B6" w:rsidP="007705B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705B6" w:rsidRDefault="007705B6" w:rsidP="003012C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46400"/>
            <wp:effectExtent l="0" t="0" r="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7D16" w:rsidRDefault="009E7D16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Дітям з вираженим </w:t>
      </w:r>
      <w:r w:rsidR="00D21FBF">
        <w:rPr>
          <w:rFonts w:ascii="Times New Roman" w:hAnsi="Times New Roman" w:cs="Times New Roman"/>
          <w:sz w:val="28"/>
          <w:szCs w:val="28"/>
          <w:lang w:val="uk-UA"/>
        </w:rPr>
        <w:t>синдромом бронхіальної обструкції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призначався «</w:t>
      </w:r>
      <w:proofErr w:type="spellStart"/>
      <w:r w:rsidR="006E4847" w:rsidRPr="009D0C96">
        <w:rPr>
          <w:rFonts w:ascii="Times New Roman" w:hAnsi="Times New Roman" w:cs="Times New Roman"/>
          <w:sz w:val="28"/>
          <w:szCs w:val="28"/>
          <w:lang w:val="uk-UA"/>
        </w:rPr>
        <w:t>Пульмолор®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 xml:space="preserve"> у віковому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дозуванні на протязі 10 діб. Оцінка клінічних та лабораторних методів дослідження проводилось на 3 добу, 5 добу, то через 1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>0 діб після завершення лікування.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оцінці динаміки симптомів </w:t>
      </w:r>
      <w:r w:rsidR="006E4847" w:rsidRPr="006E4847">
        <w:rPr>
          <w:rFonts w:ascii="Times New Roman" w:hAnsi="Times New Roman" w:cs="Times New Roman"/>
          <w:sz w:val="28"/>
          <w:szCs w:val="28"/>
          <w:lang w:val="uk-UA"/>
        </w:rPr>
        <w:t>враховувалися</w:t>
      </w:r>
      <w:r w:rsidR="00E95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інтенсивність інтоксикаційного синдрому, частота та наявність кашлю, продуктивність кашлю, кількість хрипів при аускультації легенів.</w:t>
      </w:r>
    </w:p>
    <w:p w:rsidR="009E7D16" w:rsidRDefault="009E7D16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100% пацієнтів І групи на 3 добу лікування не відмічався інтоксикаційний синдром чи лихоманки, що відображало задовільний стан дітей</w:t>
      </w:r>
      <w:r w:rsidR="00A605C1">
        <w:rPr>
          <w:rFonts w:ascii="Times New Roman" w:hAnsi="Times New Roman" w:cs="Times New Roman"/>
          <w:sz w:val="28"/>
          <w:szCs w:val="28"/>
          <w:lang w:val="uk-UA"/>
        </w:rPr>
        <w:t xml:space="preserve"> та відсутність ускладнень. Продуктивність кашлю у всіх дітей, 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 xml:space="preserve">які отримували </w:t>
      </w:r>
      <w:r w:rsidR="00A605C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E4847" w:rsidRPr="009D0C96">
        <w:rPr>
          <w:rFonts w:ascii="Times New Roman" w:hAnsi="Times New Roman" w:cs="Times New Roman"/>
          <w:sz w:val="28"/>
          <w:szCs w:val="28"/>
          <w:lang w:val="uk-UA"/>
        </w:rPr>
        <w:t>Пульмолор®</w:t>
      </w:r>
      <w:proofErr w:type="spellEnd"/>
      <w:r w:rsidR="00A605C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A605C1">
        <w:rPr>
          <w:rFonts w:ascii="Times New Roman" w:hAnsi="Times New Roman" w:cs="Times New Roman"/>
          <w:sz w:val="28"/>
          <w:szCs w:val="28"/>
          <w:lang w:val="uk-UA"/>
        </w:rPr>
        <w:t>вир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05C1">
        <w:rPr>
          <w:rFonts w:ascii="Times New Roman" w:hAnsi="Times New Roman" w:cs="Times New Roman"/>
          <w:sz w:val="28"/>
          <w:szCs w:val="28"/>
          <w:lang w:val="uk-UA"/>
        </w:rPr>
        <w:t>сла</w:t>
      </w:r>
      <w:proofErr w:type="spellEnd"/>
      <w:r w:rsidR="00A605C1">
        <w:rPr>
          <w:rFonts w:ascii="Times New Roman" w:hAnsi="Times New Roman" w:cs="Times New Roman"/>
          <w:sz w:val="28"/>
          <w:szCs w:val="28"/>
          <w:lang w:val="uk-UA"/>
        </w:rPr>
        <w:t xml:space="preserve"> на 3 добу лікування, що супроводжувалось розрідженням мокротиння, покращенням стану </w:t>
      </w:r>
      <w:proofErr w:type="spellStart"/>
      <w:r w:rsidR="00A605C1">
        <w:rPr>
          <w:rFonts w:ascii="Times New Roman" w:hAnsi="Times New Roman" w:cs="Times New Roman"/>
          <w:sz w:val="28"/>
          <w:szCs w:val="28"/>
          <w:lang w:val="uk-UA"/>
        </w:rPr>
        <w:t>мукоціліарного</w:t>
      </w:r>
      <w:proofErr w:type="spellEnd"/>
      <w:r w:rsidR="00A605C1">
        <w:rPr>
          <w:rFonts w:ascii="Times New Roman" w:hAnsi="Times New Roman" w:cs="Times New Roman"/>
          <w:sz w:val="28"/>
          <w:szCs w:val="28"/>
          <w:lang w:val="uk-UA"/>
        </w:rPr>
        <w:t xml:space="preserve"> кліренсу та відображало нормальну течію захворювання. В динаміці спостереження продуктивність кашлю достовірно зменшилась (р&lt;0,05), що було розцінено як завершення запалювального процесу та зменшення секреції. Дослідження динаміки кількості хрипів під час аускультації легенів на тлі лікування виявило достовірне зниження даного показника вже на 3 добу терапії (р&lt;0,05). На 10 добу спостереження в жодного пацієнта не відмічалось наявність хрипів у легенях (р&lt;0,05)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>(рис.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05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5C1" w:rsidRDefault="00A605C1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 групі обстежених дітей малопродуктивний кашель характеризувався затяжною течією: відмічалось зменшення кашлю після 7-8 доби спостереження, проте продуктивність кашлю залишалась низькою. Кількість хрипів під час аускультації легенів на тлі лікування</w:t>
      </w:r>
      <w:r w:rsidR="006E4847">
        <w:rPr>
          <w:rFonts w:ascii="Times New Roman" w:hAnsi="Times New Roman" w:cs="Times New Roman"/>
          <w:sz w:val="28"/>
          <w:szCs w:val="28"/>
          <w:lang w:val="uk-UA"/>
        </w:rPr>
        <w:t xml:space="preserve"> зменшилась через 5-7 діб від початку лікування, та на 10 добу спостереження у 4 дітей зберігались різнокаліберні вологі хрипи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>(рис.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05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5A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5B6" w:rsidRDefault="007705B6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B53" w:rsidRDefault="00041B53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B53" w:rsidRDefault="00041B53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B53" w:rsidRDefault="00041B53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B53" w:rsidRDefault="00041B53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B53" w:rsidRDefault="00041B53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B53" w:rsidRDefault="00041B53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5B6" w:rsidRDefault="007705B6" w:rsidP="007705B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Рис.</w:t>
      </w:r>
      <w:r w:rsidR="0029221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041B53" w:rsidRDefault="00041B53" w:rsidP="00041B53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оцінка ефективності </w:t>
      </w:r>
      <w:proofErr w:type="spellStart"/>
      <w:r w:rsidRPr="00041B53">
        <w:rPr>
          <w:rFonts w:ascii="Times New Roman" w:hAnsi="Times New Roman" w:cs="Times New Roman"/>
          <w:b/>
          <w:bCs/>
          <w:sz w:val="28"/>
          <w:szCs w:val="28"/>
        </w:rPr>
        <w:t>ПульмоЛОР</w:t>
      </w:r>
      <w:proofErr w:type="spellEnd"/>
      <w:r w:rsidRPr="00041B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9590"/>
      </w:tblGrid>
      <w:tr w:rsidR="00041B53" w:rsidTr="00292211">
        <w:trPr>
          <w:cantSplit/>
          <w:trHeight w:val="4295"/>
        </w:trPr>
        <w:tc>
          <w:tcPr>
            <w:tcW w:w="817" w:type="dxa"/>
            <w:textDirection w:val="btLr"/>
          </w:tcPr>
          <w:p w:rsidR="00041B53" w:rsidRDefault="00041B53" w:rsidP="00041B5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Доба захворювання </w:t>
            </w:r>
          </w:p>
        </w:tc>
        <w:tc>
          <w:tcPr>
            <w:tcW w:w="9490" w:type="dxa"/>
          </w:tcPr>
          <w:p w:rsidR="00041B53" w:rsidRDefault="00041B53" w:rsidP="00041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B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47B14" wp14:editId="4ED2AF11">
                  <wp:extent cx="5937250" cy="3314700"/>
                  <wp:effectExtent l="19050" t="0" r="25400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53610" w:rsidRPr="00EB68A9" w:rsidRDefault="00055AE1" w:rsidP="00EB68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Отримані нами результати збігаються з досвідом Вітчизняних 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та закордонних </w:t>
      </w:r>
      <w:r w:rsidRPr="00EB68A9">
        <w:rPr>
          <w:rFonts w:ascii="Times New Roman" w:hAnsi="Times New Roman" w:cs="Times New Roman"/>
          <w:sz w:val="28"/>
          <w:szCs w:val="28"/>
          <w:lang w:val="uk-UA"/>
        </w:rPr>
        <w:t>колег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проводили у відділенні педіатрії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Hospital</w:t>
      </w:r>
      <w:proofErr w:type="spellEnd"/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Escandón</w:t>
      </w:r>
      <w:proofErr w:type="spellEnd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в федеральному окрузі Мехіко Сіті. Дослідження тривалістю 6 міс було подвійним сліпим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рандомізовани</w:t>
      </w:r>
      <w:r w:rsidR="00CD6BD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проспективни</w:t>
      </w:r>
      <w:r w:rsidR="00CD6BD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B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порівняльним. У ньому взяли участь 123 дитини у віці 6-12 років з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діагностованим</w:t>
      </w:r>
      <w:proofErr w:type="spellEnd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алергічни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ринітом, що супроводжу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>вався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кашлем. Для визначення ефективності лікування 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кожному конкретному випадку проводили оцінку клінічного розвитку таких симптомів: чхання,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ринорея</w:t>
      </w:r>
      <w:proofErr w:type="spellEnd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, сльозотеча, свербіж в носі,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кашель і його переважання в денний або нічний час. Також враховували наявність 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вираженість</w:t>
      </w:r>
      <w:proofErr w:type="spellEnd"/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ретроназально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синдрому,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закладеності</w:t>
      </w:r>
      <w:proofErr w:type="spellEnd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носа 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сіх клінічних ознак. Крім того, дослідник і пацієнти</w:t>
      </w:r>
      <w:r w:rsidR="00C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оцінювали клінічну ефективність лікування. Результати по</w:t>
      </w:r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казали, що комбінація </w:t>
      </w:r>
      <w:proofErr w:type="spellStart"/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>лоратадин</w:t>
      </w:r>
      <w:proofErr w:type="spellEnd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амброксолбула</w:t>
      </w:r>
      <w:proofErr w:type="spellEnd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більш ефективною за всіма параметрами оцінки в порівнянні з кожним з її компонентів, що застосовуються </w:t>
      </w:r>
      <w:proofErr w:type="spellStart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поокремо</w:t>
      </w:r>
      <w:proofErr w:type="spellEnd"/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>, що було особливо яскраво виражено в період між 5-ми і 10-ми цілодобово лікування</w:t>
      </w:r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B68A9" w:rsidRPr="00EB68A9">
        <w:rPr>
          <w:rFonts w:ascii="Times New Roman" w:hAnsi="Times New Roman" w:cs="Times New Roman"/>
          <w:sz w:val="28"/>
          <w:szCs w:val="28"/>
        </w:rPr>
        <w:t>A</w:t>
      </w:r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8A9" w:rsidRPr="00EB68A9">
        <w:rPr>
          <w:rFonts w:ascii="Times New Roman" w:hAnsi="Times New Roman" w:cs="Times New Roman"/>
          <w:sz w:val="28"/>
          <w:szCs w:val="28"/>
        </w:rPr>
        <w:t>F</w:t>
      </w:r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68A9" w:rsidRPr="00EB68A9">
        <w:rPr>
          <w:rFonts w:ascii="Times New Roman" w:hAnsi="Times New Roman" w:cs="Times New Roman"/>
          <w:sz w:val="28"/>
          <w:szCs w:val="28"/>
        </w:rPr>
        <w:t>Ojeda</w:t>
      </w:r>
      <w:proofErr w:type="spellEnd"/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68A9" w:rsidRPr="00EB68A9">
        <w:rPr>
          <w:rFonts w:ascii="Times New Roman" w:hAnsi="Times New Roman" w:cs="Times New Roman"/>
          <w:sz w:val="28"/>
          <w:szCs w:val="28"/>
        </w:rPr>
        <w:t>S</w:t>
      </w:r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8A9" w:rsidRPr="00EB68A9">
        <w:rPr>
          <w:rFonts w:ascii="Times New Roman" w:hAnsi="Times New Roman" w:cs="Times New Roman"/>
          <w:sz w:val="28"/>
          <w:szCs w:val="28"/>
        </w:rPr>
        <w:t>O</w:t>
      </w:r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68A9" w:rsidRPr="00EB68A9">
        <w:rPr>
          <w:rFonts w:ascii="Times New Roman" w:hAnsi="Times New Roman" w:cs="Times New Roman"/>
          <w:sz w:val="28"/>
          <w:szCs w:val="28"/>
        </w:rPr>
        <w:t>Martinez</w:t>
      </w:r>
      <w:proofErr w:type="spellEnd"/>
      <w:r w:rsidR="00EB68A9">
        <w:rPr>
          <w:rFonts w:ascii="Times New Roman" w:hAnsi="Times New Roman" w:cs="Times New Roman"/>
          <w:sz w:val="28"/>
          <w:szCs w:val="28"/>
          <w:lang w:val="uk-UA"/>
        </w:rPr>
        <w:t>, 2012</w:t>
      </w:r>
      <w:r w:rsidR="00EB68A9" w:rsidRPr="00EB68A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53610" w:rsidRPr="00EB68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5AE1" w:rsidRPr="00055AE1" w:rsidRDefault="00055AE1" w:rsidP="008673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AE1">
        <w:rPr>
          <w:rFonts w:ascii="Times New Roman" w:hAnsi="Times New Roman" w:cs="Times New Roman"/>
          <w:sz w:val="28"/>
          <w:szCs w:val="28"/>
          <w:lang w:val="uk-UA"/>
        </w:rPr>
        <w:t>Результати проведеного дослідження свідч</w:t>
      </w:r>
      <w:r>
        <w:rPr>
          <w:rFonts w:ascii="Times New Roman" w:hAnsi="Times New Roman" w:cs="Times New Roman"/>
          <w:sz w:val="28"/>
          <w:szCs w:val="28"/>
          <w:lang w:val="uk-UA"/>
        </w:rPr>
        <w:t>ать про доцільність та ефектив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>ність з</w:t>
      </w:r>
      <w:r>
        <w:rPr>
          <w:rFonts w:ascii="Times New Roman" w:hAnsi="Times New Roman" w:cs="Times New Roman"/>
          <w:sz w:val="28"/>
          <w:szCs w:val="28"/>
          <w:lang w:val="uk-UA"/>
        </w:rPr>
        <w:t>астосування у складі медикамен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 xml:space="preserve">тозної терапії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гострого бронхіту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дітей із обтяже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>м алергологічним анамнезом ком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 xml:space="preserve">бінованого препарату </w:t>
      </w:r>
      <w:proofErr w:type="spellStart"/>
      <w:r w:rsidRPr="00055AE1">
        <w:rPr>
          <w:rFonts w:ascii="Times New Roman" w:hAnsi="Times New Roman" w:cs="Times New Roman"/>
          <w:sz w:val="28"/>
          <w:szCs w:val="28"/>
          <w:lang w:val="uk-UA"/>
        </w:rPr>
        <w:t>Пульмо</w:t>
      </w:r>
      <w:r w:rsidR="00EB68A9">
        <w:rPr>
          <w:rFonts w:ascii="Times New Roman" w:hAnsi="Times New Roman" w:cs="Times New Roman"/>
          <w:sz w:val="28"/>
          <w:szCs w:val="28"/>
          <w:lang w:val="uk-UA"/>
        </w:rPr>
        <w:t>лор</w:t>
      </w:r>
      <w:proofErr w:type="spellEnd"/>
      <w:r w:rsidRPr="00055AE1">
        <w:rPr>
          <w:rFonts w:ascii="Times New Roman" w:hAnsi="Times New Roman" w:cs="Times New Roman"/>
          <w:sz w:val="28"/>
          <w:szCs w:val="28"/>
          <w:lang w:val="uk-UA"/>
        </w:rPr>
        <w:t>® (</w:t>
      </w:r>
      <w:proofErr w:type="spellStart"/>
      <w:r w:rsidRPr="00055AE1">
        <w:rPr>
          <w:rFonts w:ascii="Times New Roman" w:hAnsi="Times New Roman" w:cs="Times New Roman"/>
          <w:sz w:val="28"/>
          <w:szCs w:val="28"/>
        </w:rPr>
        <w:t>MoviHealth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Швейцарія) д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я бі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 xml:space="preserve">льш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швидкого зменшення основних клі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>нічних проявів захворюван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(кашлю, виділення мокротиння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 xml:space="preserve">), що, у свою чергу, сприятиме зменшенню </w:t>
      </w:r>
      <w:proofErr w:type="spellStart"/>
      <w:r w:rsidRPr="00055AE1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055AE1">
        <w:rPr>
          <w:rFonts w:ascii="Times New Roman" w:hAnsi="Times New Roman" w:cs="Times New Roman"/>
          <w:sz w:val="28"/>
          <w:szCs w:val="28"/>
          <w:lang w:val="uk-UA"/>
        </w:rPr>
        <w:t xml:space="preserve"> та проявів можлив</w:t>
      </w:r>
      <w:r w:rsidR="00F53610">
        <w:rPr>
          <w:rFonts w:ascii="Times New Roman" w:hAnsi="Times New Roman" w:cs="Times New Roman"/>
          <w:sz w:val="28"/>
          <w:szCs w:val="28"/>
          <w:lang w:val="uk-UA"/>
        </w:rPr>
        <w:t>их алергічних реакцій, що приз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>водят</w:t>
      </w:r>
      <w:r w:rsidR="00F53610">
        <w:rPr>
          <w:rFonts w:ascii="Times New Roman" w:hAnsi="Times New Roman" w:cs="Times New Roman"/>
          <w:sz w:val="28"/>
          <w:szCs w:val="28"/>
          <w:lang w:val="uk-UA"/>
        </w:rPr>
        <w:t>ь до порушень бронхіальної про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 xml:space="preserve">хідності при </w:t>
      </w:r>
      <w:r w:rsidR="00F53610">
        <w:rPr>
          <w:rFonts w:ascii="Times New Roman" w:hAnsi="Times New Roman" w:cs="Times New Roman"/>
          <w:sz w:val="28"/>
          <w:szCs w:val="28"/>
          <w:lang w:val="uk-UA"/>
        </w:rPr>
        <w:t>гострих бронхітах</w:t>
      </w:r>
      <w:r w:rsidRPr="00055A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55AE1" w:rsidRPr="00055AE1" w:rsidSect="004C37E1">
      <w:footerReference w:type="default" r:id="rId14"/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01" w:rsidRDefault="00EF3A01" w:rsidP="008C4C85">
      <w:pPr>
        <w:spacing w:after="0" w:line="240" w:lineRule="auto"/>
      </w:pPr>
      <w:r>
        <w:separator/>
      </w:r>
    </w:p>
  </w:endnote>
  <w:endnote w:type="continuationSeparator" w:id="0">
    <w:p w:rsidR="00EF3A01" w:rsidRDefault="00EF3A01" w:rsidP="008C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89019"/>
    </w:sdtPr>
    <w:sdtEndPr/>
    <w:sdtContent>
      <w:p w:rsidR="004C37E1" w:rsidRDefault="00690632">
        <w:pPr>
          <w:pStyle w:val="a5"/>
          <w:jc w:val="center"/>
        </w:pPr>
        <w:r>
          <w:fldChar w:fldCharType="begin"/>
        </w:r>
        <w:r w:rsidR="004C37E1">
          <w:instrText>PAGE   \* MERGEFORMAT</w:instrText>
        </w:r>
        <w:r>
          <w:fldChar w:fldCharType="separate"/>
        </w:r>
        <w:r w:rsidR="00E95D6A">
          <w:rPr>
            <w:noProof/>
          </w:rPr>
          <w:t>13</w:t>
        </w:r>
        <w:r>
          <w:fldChar w:fldCharType="end"/>
        </w:r>
      </w:p>
    </w:sdtContent>
  </w:sdt>
  <w:p w:rsidR="004C37E1" w:rsidRDefault="004C3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01" w:rsidRDefault="00EF3A01" w:rsidP="008C4C85">
      <w:pPr>
        <w:spacing w:after="0" w:line="240" w:lineRule="auto"/>
      </w:pPr>
      <w:r>
        <w:separator/>
      </w:r>
    </w:p>
  </w:footnote>
  <w:footnote w:type="continuationSeparator" w:id="0">
    <w:p w:rsidR="00EF3A01" w:rsidRDefault="00EF3A01" w:rsidP="008C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4FA"/>
    <w:multiLevelType w:val="hybridMultilevel"/>
    <w:tmpl w:val="45A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08FB"/>
    <w:multiLevelType w:val="hybridMultilevel"/>
    <w:tmpl w:val="4E769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423670"/>
    <w:multiLevelType w:val="hybridMultilevel"/>
    <w:tmpl w:val="E78C7008"/>
    <w:lvl w:ilvl="0" w:tplc="65DE8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219"/>
    <w:rsid w:val="00021AE5"/>
    <w:rsid w:val="00041B53"/>
    <w:rsid w:val="00045852"/>
    <w:rsid w:val="00050D52"/>
    <w:rsid w:val="00055AE1"/>
    <w:rsid w:val="00160E3F"/>
    <w:rsid w:val="002733C9"/>
    <w:rsid w:val="00280FD3"/>
    <w:rsid w:val="00284C62"/>
    <w:rsid w:val="00292211"/>
    <w:rsid w:val="003012C0"/>
    <w:rsid w:val="00416C96"/>
    <w:rsid w:val="00462F4B"/>
    <w:rsid w:val="004C37E1"/>
    <w:rsid w:val="00502166"/>
    <w:rsid w:val="00690632"/>
    <w:rsid w:val="006E4847"/>
    <w:rsid w:val="00707EFE"/>
    <w:rsid w:val="007134B1"/>
    <w:rsid w:val="00717536"/>
    <w:rsid w:val="007705B6"/>
    <w:rsid w:val="00773AF9"/>
    <w:rsid w:val="00847AFB"/>
    <w:rsid w:val="00867383"/>
    <w:rsid w:val="00881814"/>
    <w:rsid w:val="008A07A1"/>
    <w:rsid w:val="008B51AA"/>
    <w:rsid w:val="008C0244"/>
    <w:rsid w:val="008C4C85"/>
    <w:rsid w:val="008E4AE9"/>
    <w:rsid w:val="008F6502"/>
    <w:rsid w:val="00922DA4"/>
    <w:rsid w:val="009636D8"/>
    <w:rsid w:val="00984634"/>
    <w:rsid w:val="009A0D98"/>
    <w:rsid w:val="009D0C96"/>
    <w:rsid w:val="009E7D16"/>
    <w:rsid w:val="00A15C1B"/>
    <w:rsid w:val="00A605C1"/>
    <w:rsid w:val="00A70BB3"/>
    <w:rsid w:val="00A8630F"/>
    <w:rsid w:val="00AF13F1"/>
    <w:rsid w:val="00BD309B"/>
    <w:rsid w:val="00C309D1"/>
    <w:rsid w:val="00C47B42"/>
    <w:rsid w:val="00C47F71"/>
    <w:rsid w:val="00C80112"/>
    <w:rsid w:val="00C96EB6"/>
    <w:rsid w:val="00CB1616"/>
    <w:rsid w:val="00CD6BD8"/>
    <w:rsid w:val="00D04DEC"/>
    <w:rsid w:val="00D21FBF"/>
    <w:rsid w:val="00D277D4"/>
    <w:rsid w:val="00D46430"/>
    <w:rsid w:val="00E95D6A"/>
    <w:rsid w:val="00EA0219"/>
    <w:rsid w:val="00EA5054"/>
    <w:rsid w:val="00EB68A9"/>
    <w:rsid w:val="00EB78D5"/>
    <w:rsid w:val="00EF3A01"/>
    <w:rsid w:val="00F53610"/>
    <w:rsid w:val="00F72EBF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C85"/>
  </w:style>
  <w:style w:type="paragraph" w:styleId="a5">
    <w:name w:val="footer"/>
    <w:basedOn w:val="a"/>
    <w:link w:val="a6"/>
    <w:uiPriority w:val="99"/>
    <w:unhideWhenUsed/>
    <w:rsid w:val="008C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C85"/>
  </w:style>
  <w:style w:type="table" w:styleId="a7">
    <w:name w:val="Table Grid"/>
    <w:basedOn w:val="a1"/>
    <w:uiPriority w:val="59"/>
    <w:rsid w:val="0070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E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5311760223520455"/>
          <c:w val="0.73634368620589119"/>
          <c:h val="0.644642857142857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Демографічна характеристика учасників дослідження (за статтю)</c:v>
                </c:pt>
              </c:strCache>
            </c:strRef>
          </c:tx>
          <c:explosion val="27"/>
          <c:cat>
            <c:strRef>
              <c:f>Лист1!$A$2:$A$3</c:f>
              <c:strCache>
                <c:ptCount val="2"/>
                <c:pt idx="0">
                  <c:v>Хлопчики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04738990959469"/>
          <c:y val="0.42141000817520774"/>
          <c:w val="0.18032298046077574"/>
          <c:h val="0.31096252312723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203703703703703E-2"/>
          <c:y val="0.35236146538020791"/>
          <c:w val="0.68324183435403929"/>
          <c:h val="0.616726441452883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Демографічна характеристика учасників дослідження (за віком)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6-9 років</c:v>
                </c:pt>
                <c:pt idx="1">
                  <c:v>10-12 років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61220472440953"/>
          <c:y val="0.49245092602861268"/>
          <c:w val="0.24731372120151646"/>
          <c:h val="0.230825477801190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18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Тривалість захворювання до госпіталізації</c:v>
                </c:pt>
              </c:strCache>
            </c:strRef>
          </c:tx>
          <c:explosion val="20"/>
          <c:cat>
            <c:strRef>
              <c:f>Лист1!$A$2:$A$4</c:f>
              <c:strCache>
                <c:ptCount val="3"/>
                <c:pt idx="0">
                  <c:v>1-3 доби</c:v>
                </c:pt>
                <c:pt idx="1">
                  <c:v>4-7 доби</c:v>
                </c:pt>
                <c:pt idx="2">
                  <c:v>більше 7 діб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Анамнестичні дані  пацієнтів (обтяжений алергоанамнез у 100% дітей)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Обтяжений алергоаамнез (100%) 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харчова алергія</c:v>
                </c:pt>
                <c:pt idx="1">
                  <c:v>атопічний дерматит</c:v>
                </c:pt>
                <c:pt idx="2">
                  <c:v>алергічний риніт</c:v>
                </c:pt>
                <c:pt idx="3">
                  <c:v>змішана алергія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0.43400000000000005</c:v>
                </c:pt>
                <c:pt idx="1">
                  <c:v>0.30000000000000004</c:v>
                </c:pt>
                <c:pt idx="2">
                  <c:v>0.13300000000000001</c:v>
                </c:pt>
                <c:pt idx="3">
                  <c:v>0.13300000000000001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Інтенсивність інтоксикаційного синдрому</c:v>
                </c:pt>
                <c:pt idx="1">
                  <c:v>Продуктивність кашлю</c:v>
                </c:pt>
                <c:pt idx="2">
                  <c:v>Кількість хрипів при аускультації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ГрупаІІ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Інтенсивність інтоксикаційного синдрому</c:v>
                </c:pt>
                <c:pt idx="1">
                  <c:v>Продуктивність кашлю</c:v>
                </c:pt>
                <c:pt idx="2">
                  <c:v>Кількість хрипів при аускультації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416704"/>
        <c:axId val="82702336"/>
        <c:axId val="0"/>
      </c:bar3DChart>
      <c:catAx>
        <c:axId val="7741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82702336"/>
        <c:crosses val="autoZero"/>
        <c:auto val="1"/>
        <c:lblAlgn val="ctr"/>
        <c:lblOffset val="100"/>
        <c:noMultiLvlLbl val="0"/>
      </c:catAx>
      <c:valAx>
        <c:axId val="8270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1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0.18866</cdr:x>
      <cdr:y>0.46429</cdr:y>
    </cdr:from>
    <cdr:to>
      <cdr:x>0.33796</cdr:x>
      <cdr:y>0.66071</cdr:y>
    </cdr:to>
    <cdr:sp macro="" textlink="">
      <cdr:nvSpPr>
        <cdr:cNvPr id="2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1035050" y="825500"/>
          <a:ext cx="819150" cy="349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43,4%</a:t>
          </a:r>
        </a:p>
      </cdr:txBody>
    </cdr:sp>
  </cdr:relSizeAnchor>
  <cdr:relSizeAnchor xmlns:cdr="http://schemas.openxmlformats.org/drawingml/2006/chartDrawing">
    <cdr:from>
      <cdr:x>0.40972</cdr:x>
      <cdr:y>0.51429</cdr:y>
    </cdr:from>
    <cdr:to>
      <cdr:x>0.52662</cdr:x>
      <cdr:y>0.74286</cdr:y>
    </cdr:to>
    <cdr:sp macro="" textlink="">
      <cdr:nvSpPr>
        <cdr:cNvPr id="3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2247900" y="914400"/>
          <a:ext cx="64135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56,6%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0.19213</cdr:x>
      <cdr:y>0.44516</cdr:y>
    </cdr:from>
    <cdr:to>
      <cdr:x>0.30903</cdr:x>
      <cdr:y>0.64516</cdr:y>
    </cdr:to>
    <cdr:sp macro="" textlink="">
      <cdr:nvSpPr>
        <cdr:cNvPr id="2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1054100" y="876300"/>
          <a:ext cx="64135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Arial" charset="0"/>
              <a:cs typeface="Arial" charset="0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40%</a:t>
          </a:r>
        </a:p>
      </cdr:txBody>
    </cdr:sp>
  </cdr:relSizeAnchor>
  <cdr:relSizeAnchor xmlns:cdr="http://schemas.openxmlformats.org/drawingml/2006/chartDrawing">
    <cdr:from>
      <cdr:x>0.40046</cdr:x>
      <cdr:y>0.52903</cdr:y>
    </cdr:from>
    <cdr:to>
      <cdr:x>0.51736</cdr:x>
      <cdr:y>0.72903</cdr:y>
    </cdr:to>
    <cdr:sp macro="" textlink="">
      <cdr:nvSpPr>
        <cdr:cNvPr id="3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2197100" y="1041400"/>
          <a:ext cx="64135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60%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0.16898</cdr:x>
      <cdr:y>0.41011</cdr:y>
    </cdr:from>
    <cdr:to>
      <cdr:x>0.28588</cdr:x>
      <cdr:y>0.58427</cdr:y>
    </cdr:to>
    <cdr:sp macro="" textlink="">
      <cdr:nvSpPr>
        <cdr:cNvPr id="2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927100" y="927100"/>
          <a:ext cx="64135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43,4%</a:t>
          </a:r>
        </a:p>
      </cdr:txBody>
    </cdr:sp>
  </cdr:relSizeAnchor>
  <cdr:relSizeAnchor xmlns:cdr="http://schemas.openxmlformats.org/drawingml/2006/chartDrawing">
    <cdr:from>
      <cdr:x>0.50694</cdr:x>
      <cdr:y>0.26404</cdr:y>
    </cdr:from>
    <cdr:to>
      <cdr:x>0.62384</cdr:x>
      <cdr:y>0.4382</cdr:y>
    </cdr:to>
    <cdr:sp macro="" textlink="">
      <cdr:nvSpPr>
        <cdr:cNvPr id="3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2781300" y="596900"/>
          <a:ext cx="64135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40,0%</a:t>
          </a:r>
        </a:p>
      </cdr:txBody>
    </cdr:sp>
  </cdr:relSizeAnchor>
  <cdr:relSizeAnchor xmlns:cdr="http://schemas.openxmlformats.org/drawingml/2006/chartDrawing">
    <cdr:from>
      <cdr:x>0.46991</cdr:x>
      <cdr:y>0.52247</cdr:y>
    </cdr:from>
    <cdr:to>
      <cdr:x>0.58681</cdr:x>
      <cdr:y>0.69663</cdr:y>
    </cdr:to>
    <cdr:sp macro="" textlink="">
      <cdr:nvSpPr>
        <cdr:cNvPr id="4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2578100" y="1181100"/>
          <a:ext cx="64135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16,6%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0.48611</cdr:x>
      <cdr:y>0.42611</cdr:y>
    </cdr:from>
    <cdr:to>
      <cdr:x>0.60301</cdr:x>
      <cdr:y>0.54913</cdr:y>
    </cdr:to>
    <cdr:sp macro="" textlink="">
      <cdr:nvSpPr>
        <cdr:cNvPr id="2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2666978" y="1255477"/>
          <a:ext cx="641360" cy="3624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43,4%</a:t>
          </a:r>
        </a:p>
      </cdr:txBody>
    </cdr:sp>
  </cdr:relSizeAnchor>
  <cdr:relSizeAnchor xmlns:cdr="http://schemas.openxmlformats.org/drawingml/2006/chartDrawing">
    <cdr:from>
      <cdr:x>0.22917</cdr:x>
      <cdr:y>0.30775</cdr:y>
    </cdr:from>
    <cdr:to>
      <cdr:x>0.34607</cdr:x>
      <cdr:y>0.43076</cdr:y>
    </cdr:to>
    <cdr:sp macro="" textlink="">
      <cdr:nvSpPr>
        <cdr:cNvPr id="3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1257316" y="906743"/>
          <a:ext cx="641360" cy="3624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13,3%</a:t>
          </a:r>
        </a:p>
      </cdr:txBody>
    </cdr:sp>
  </cdr:relSizeAnchor>
  <cdr:relSizeAnchor xmlns:cdr="http://schemas.openxmlformats.org/drawingml/2006/chartDrawing">
    <cdr:from>
      <cdr:x>0.09491</cdr:x>
      <cdr:y>0.38971</cdr:y>
    </cdr:from>
    <cdr:to>
      <cdr:x>0.21181</cdr:x>
      <cdr:y>0.51272</cdr:y>
    </cdr:to>
    <cdr:sp macro="" textlink="">
      <cdr:nvSpPr>
        <cdr:cNvPr id="4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520712" y="1148256"/>
          <a:ext cx="641360" cy="36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13,3%</a:t>
          </a:r>
        </a:p>
      </cdr:txBody>
    </cdr:sp>
  </cdr:relSizeAnchor>
  <cdr:relSizeAnchor xmlns:cdr="http://schemas.openxmlformats.org/drawingml/2006/chartDrawing">
    <cdr:from>
      <cdr:x>0.22916</cdr:x>
      <cdr:y>0.63746</cdr:y>
    </cdr:from>
    <cdr:to>
      <cdr:x>0.34606</cdr:x>
      <cdr:y>0.76047</cdr:y>
    </cdr:to>
    <cdr:sp macro="" textlink="">
      <cdr:nvSpPr>
        <cdr:cNvPr id="5" name="Заголовок 1"/>
        <cdr:cNvSpPr txBox="1">
          <a:spLocks xmlns:a="http://schemas.openxmlformats.org/drawingml/2006/main"/>
        </cdr:cNvSpPr>
      </cdr:nvSpPr>
      <cdr:spPr>
        <a:xfrm xmlns:a="http://schemas.openxmlformats.org/drawingml/2006/main" rot="10800000" flipV="1">
          <a:off x="1257286" y="1878202"/>
          <a:ext cx="641360" cy="3624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anchor="ctr">
          <a:normAutofit fontScale="70000" lnSpcReduction="20000"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fontAlgn="auto">
            <a:spcAft>
              <a:spcPts val="0"/>
            </a:spcAft>
            <a:defRPr/>
          </a:pPr>
          <a:r>
            <a:rPr lang="ru-RU" sz="1600" b="1" dirty="0">
              <a:latin typeface="Calibri"/>
            </a:rPr>
            <a:t>30%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Kafedra1</dc:creator>
  <cp:lastModifiedBy>Kafedra1</cp:lastModifiedBy>
  <cp:revision>3</cp:revision>
  <dcterms:created xsi:type="dcterms:W3CDTF">2017-02-03T07:53:00Z</dcterms:created>
  <dcterms:modified xsi:type="dcterms:W3CDTF">2017-02-03T07:58:00Z</dcterms:modified>
</cp:coreProperties>
</file>