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4" w:rsidRDefault="002962A0" w:rsidP="002962A0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МІКРОБІОЛОГІЧНА ОЦІНКА </w:t>
      </w:r>
      <w:r w:rsidR="00DC696D" w:rsidRPr="00DC696D">
        <w:rPr>
          <w:rFonts w:ascii="Times New Roman" w:hAnsi="Times New Roman" w:cs="Times New Roman"/>
          <w:b/>
          <w:sz w:val="28"/>
          <w:szCs w:val="28"/>
          <w:lang w:val="uk-UA"/>
        </w:rPr>
        <w:t>КОМБІ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НОВАНОЇ ДІЇ</w:t>
      </w:r>
      <w:r w:rsidR="00DC696D" w:rsidRPr="00DC6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ТЕРБІНАФІНУ ТА БЕНЗОЇ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ЛПЕРОКСИДУ НА АСОЦІАЦІЮ</w:t>
      </w:r>
      <w:r w:rsidR="00DC696D" w:rsidRPr="00DC6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696D" w:rsidRPr="002962A0" w:rsidRDefault="00DC696D" w:rsidP="002962A0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b/>
          <w:i/>
          <w:sz w:val="28"/>
          <w:szCs w:val="28"/>
          <w:lang w:val="uk-UA"/>
        </w:rPr>
        <w:t>СА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en-US"/>
        </w:rPr>
        <w:t>NDIDA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en-US"/>
        </w:rPr>
        <w:t>ALB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en-US"/>
        </w:rPr>
        <w:t>CANS</w:t>
      </w:r>
      <w:r w:rsidRPr="00DC6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296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en-US"/>
        </w:rPr>
        <w:t>STAPHYLOCOCCUS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696D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</w:p>
    <w:p w:rsidR="00DC696D" w:rsidRDefault="00DC696D" w:rsidP="00DC696D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4E">
        <w:rPr>
          <w:rFonts w:ascii="Times New Roman" w:hAnsi="Times New Roman" w:cs="Times New Roman"/>
          <w:b/>
          <w:sz w:val="28"/>
          <w:szCs w:val="28"/>
          <w:lang w:val="uk-UA"/>
        </w:rPr>
        <w:t>Ко</w:t>
      </w:r>
      <w:r w:rsidR="000D3F5D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075B4E">
        <w:rPr>
          <w:rFonts w:ascii="Times New Roman" w:hAnsi="Times New Roman" w:cs="Times New Roman"/>
          <w:b/>
          <w:sz w:val="28"/>
          <w:szCs w:val="28"/>
          <w:lang w:val="uk-UA"/>
        </w:rPr>
        <w:t>нєва О</w:t>
      </w:r>
      <w:r w:rsidRPr="00DC696D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</w:p>
    <w:p w:rsidR="00DC696D" w:rsidRPr="002962A0" w:rsidRDefault="002962A0" w:rsidP="00DC696D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кандидат медичних наук,</w:t>
      </w:r>
    </w:p>
    <w:p w:rsidR="00DC696D" w:rsidRPr="00DC696D" w:rsidRDefault="00DC696D" w:rsidP="00DC696D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старший викладач кафедри мікробіології, вірусології та імунології</w:t>
      </w:r>
    </w:p>
    <w:p w:rsidR="00DC696D" w:rsidRPr="00DC696D" w:rsidRDefault="00DC696D" w:rsidP="00DC696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DC696D" w:rsidRPr="00DC696D" w:rsidRDefault="00DC696D" w:rsidP="00DC69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i/>
          <w:sz w:val="28"/>
          <w:szCs w:val="28"/>
          <w:lang w:val="uk-UA"/>
        </w:rPr>
        <w:t>м. Харків,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Україна</w:t>
      </w:r>
    </w:p>
    <w:p w:rsidR="00DC696D" w:rsidRDefault="00DC696D" w:rsidP="00DC696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В останні </w:t>
      </w:r>
      <w:r w:rsidR="00FF00B6" w:rsidRPr="00DC696D">
        <w:rPr>
          <w:rFonts w:ascii="Times New Roman" w:hAnsi="Times New Roman" w:cs="Times New Roman"/>
          <w:sz w:val="28"/>
          <w:szCs w:val="28"/>
          <w:lang w:val="uk-UA"/>
        </w:rPr>
        <w:t>десятиріччя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 зросла цікавість дослідників </w:t>
      </w:r>
      <w:r w:rsidR="00FF00B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>до питання взаємодії мікроорганізмів, які знаходяться в організмі людини, а також представлення ї</w:t>
      </w:r>
      <w:r w:rsidR="002962A0">
        <w:rPr>
          <w:rFonts w:ascii="Times New Roman" w:hAnsi="Times New Roman" w:cs="Times New Roman"/>
          <w:sz w:val="28"/>
          <w:szCs w:val="28"/>
          <w:lang w:val="uk-UA"/>
        </w:rPr>
        <w:t>х як соціальних компонентів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>, які формують багаточисельні асоціації. Компоненти цих асоціацій активно взаємодіють між собою та формують специфічно організовані та прикр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плені до субстрату біоплівки [2, с. 41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872333" w:rsidRPr="00DC696D" w:rsidRDefault="00872333" w:rsidP="0087233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sz w:val="28"/>
          <w:szCs w:val="28"/>
          <w:lang w:val="uk-UA"/>
        </w:rPr>
        <w:t>У складі біоплівок мікроорганізми в 50 – 500 разів більш стійкі до дії дезінфікуючих речовин, антибактеріальних препаратів, бактер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офагів, антитіл та фагоцитів [10, с. 168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>]. Враховуючи це, антибіотикотерапія та захисні механізми організму є неефективними у боротьбі з інфекціями, які супрово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жуються утворенням біоплівок [14, с. 28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>]. Пошук речовин, які будуть здатні інгібувати утворення біоплівок, є актуальним завданням</w:t>
      </w:r>
      <w:r w:rsidR="00075B4E">
        <w:rPr>
          <w:rFonts w:ascii="Times New Roman" w:hAnsi="Times New Roman" w:cs="Times New Roman"/>
          <w:sz w:val="28"/>
          <w:szCs w:val="28"/>
          <w:lang w:val="uk-UA"/>
        </w:rPr>
        <w:t xml:space="preserve"> 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 xml:space="preserve"> [6, с. 87]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00B6" w:rsidRPr="00FF00B6" w:rsidRDefault="00FF00B6" w:rsidP="00FF00B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Гнійно-запальні інфекції, </w:t>
      </w:r>
      <w:r w:rsidR="00EE1132">
        <w:rPr>
          <w:rFonts w:ascii="Times New Roman" w:hAnsi="Times New Roman" w:cs="Times New Roman"/>
          <w:sz w:val="28"/>
          <w:szCs w:val="28"/>
          <w:lang w:val="uk-UA"/>
        </w:rPr>
        <w:t>етіологічними збудниками яких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132">
        <w:rPr>
          <w:rFonts w:ascii="Times New Roman" w:hAnsi="Times New Roman" w:cs="Times New Roman"/>
          <w:sz w:val="28"/>
          <w:szCs w:val="28"/>
          <w:lang w:val="uk-UA"/>
        </w:rPr>
        <w:t xml:space="preserve">є асоціація 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мікроорганізмів 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r w:rsidR="00233C29" w:rsidRPr="00233C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33C29" w:rsidRPr="00233C29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132">
        <w:rPr>
          <w:rFonts w:ascii="Times New Roman" w:hAnsi="Times New Roman" w:cs="Times New Roman"/>
          <w:sz w:val="28"/>
          <w:szCs w:val="28"/>
          <w:lang w:val="uk-UA"/>
        </w:rPr>
        <w:t>становлять актуальне питання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дослідників різних країн</w:t>
      </w:r>
      <w:r w:rsidR="00172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67B" w:rsidRPr="00FF00B6">
        <w:rPr>
          <w:rFonts w:ascii="Times New Roman" w:hAnsi="Times New Roman" w:cs="Times New Roman"/>
          <w:noProof/>
          <w:sz w:val="28"/>
          <w:lang w:val="uk-UA"/>
        </w:rPr>
        <w:t>[</w:t>
      </w:r>
      <w:r w:rsidR="0017267B">
        <w:rPr>
          <w:rFonts w:ascii="Times New Roman" w:hAnsi="Times New Roman" w:cs="Times New Roman"/>
          <w:noProof/>
          <w:sz w:val="28"/>
          <w:lang w:val="uk-UA"/>
        </w:rPr>
        <w:t>16, с. 2978</w:t>
      </w:r>
      <w:r w:rsidR="0017267B"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літератури у 27 % цей консорціум є причиною госпітальних інфекцій та у 11 % випадків викликає катетер-асоційовані інфекції </w:t>
      </w:r>
      <w:r w:rsidRPr="00FF00B6">
        <w:rPr>
          <w:rFonts w:ascii="Times New Roman" w:hAnsi="Times New Roman" w:cs="Times New Roman"/>
          <w:noProof/>
          <w:sz w:val="28"/>
          <w:lang w:val="uk-UA"/>
        </w:rPr>
        <w:t>[</w:t>
      </w:r>
      <w:r w:rsidR="0017267B">
        <w:rPr>
          <w:rFonts w:ascii="Times New Roman" w:hAnsi="Times New Roman" w:cs="Times New Roman"/>
          <w:noProof/>
          <w:sz w:val="28"/>
          <w:lang w:val="uk-UA"/>
        </w:rPr>
        <w:t>8, с. 335</w:t>
      </w:r>
      <w:r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. Австралійськими вченими було встановлено що кандидозно-стафілококова інфекція у 20 % випадків викликає гострий післяродовий мастит у жінок </w:t>
      </w:r>
      <w:r w:rsidR="00BD0417">
        <w:rPr>
          <w:rFonts w:ascii="Times New Roman" w:hAnsi="Times New Roman" w:cs="Times New Roman"/>
          <w:noProof/>
          <w:sz w:val="28"/>
          <w:lang w:val="uk-UA"/>
        </w:rPr>
        <w:t>[</w:t>
      </w:r>
      <w:r w:rsidR="0017267B">
        <w:rPr>
          <w:rFonts w:ascii="Times New Roman" w:hAnsi="Times New Roman" w:cs="Times New Roman"/>
          <w:noProof/>
          <w:sz w:val="28"/>
          <w:lang w:val="uk-UA"/>
        </w:rPr>
        <w:t>9, с. 2</w:t>
      </w:r>
      <w:r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0B6" w:rsidRDefault="00EE1132" w:rsidP="001C008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Асоціація 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="00FF00B6" w:rsidRPr="00FF00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00B6" w:rsidRPr="00FF00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F00B6" w:rsidRPr="00FF00B6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колонізує слизові оболонки ротової порожнини</w:t>
      </w:r>
      <w:r w:rsidR="00872333">
        <w:rPr>
          <w:rFonts w:ascii="Times New Roman" w:hAnsi="Times New Roman" w:cs="Times New Roman"/>
          <w:sz w:val="28"/>
          <w:szCs w:val="28"/>
          <w:lang w:val="uk-UA"/>
        </w:rPr>
        <w:t>, шкіри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та піхви.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патогени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здатні </w:t>
      </w:r>
      <w:r w:rsidR="00872333">
        <w:rPr>
          <w:rFonts w:ascii="Times New Roman" w:hAnsi="Times New Roman" w:cs="Times New Roman"/>
          <w:sz w:val="28"/>
          <w:szCs w:val="28"/>
          <w:lang w:val="uk-UA"/>
        </w:rPr>
        <w:t xml:space="preserve">спричиняти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тяжкі захворювання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верхніх дихальних шляхів,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шкіри, 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>запалення сечо-статевої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>стомат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ити, суперінфекції опікових ран 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 w:rsidR="00BD0417">
        <w:rPr>
          <w:rFonts w:ascii="Times New Roman" w:hAnsi="Times New Roman" w:cs="Times New Roman"/>
          <w:noProof/>
          <w:sz w:val="28"/>
          <w:lang w:val="uk-UA"/>
        </w:rPr>
        <w:t>[12, с. 3915</w:t>
      </w:r>
      <w:r w:rsidR="00FF00B6"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="00FF00B6" w:rsidRPr="00FF00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122B">
        <w:rPr>
          <w:rFonts w:ascii="Times New Roman" w:hAnsi="Times New Roman" w:cs="Times New Roman"/>
          <w:lang w:val="uk-UA"/>
        </w:rPr>
        <w:t xml:space="preserve"> </w:t>
      </w:r>
      <w:r w:rsidR="001B7AFC" w:rsidRPr="001B7AFC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1B7AFC">
        <w:rPr>
          <w:rFonts w:ascii="Times New Roman" w:hAnsi="Times New Roman" w:cs="Times New Roman"/>
          <w:sz w:val="28"/>
          <w:szCs w:val="28"/>
          <w:lang w:val="uk-UA"/>
        </w:rPr>
        <w:t xml:space="preserve"> з цих інфекцій супроводжується хронічним перебігом та неефективністю антимікробної терапії. Однією з причин цього є здатність асоціації 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="001B7AFC" w:rsidRPr="00FF00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7AFC" w:rsidRPr="00FF0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7AFC" w:rsidRPr="00FF00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1B7AFC" w:rsidRPr="00FF00B6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="001B7AFC">
        <w:rPr>
          <w:rFonts w:ascii="Times New Roman" w:hAnsi="Times New Roman" w:cs="Times New Roman"/>
          <w:sz w:val="28"/>
          <w:szCs w:val="28"/>
          <w:lang w:val="uk-UA"/>
        </w:rPr>
        <w:t xml:space="preserve"> утворювати біоплівки, тим самим збільшуючи свій патогенний потенціал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417">
        <w:rPr>
          <w:rFonts w:ascii="Times New Roman" w:hAnsi="Times New Roman" w:cs="Times New Roman"/>
          <w:noProof/>
          <w:sz w:val="28"/>
          <w:lang w:val="uk-UA"/>
        </w:rPr>
        <w:t>[15, с. 498</w:t>
      </w:r>
      <w:r w:rsidR="00BD0417"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="00BD0417" w:rsidRPr="00FF00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AFC" w:rsidRDefault="001B7AFC" w:rsidP="001C008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1D73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країнах світу науковцями проводяться дослідження щодо визначення </w:t>
      </w:r>
      <w:r w:rsidR="001C0082" w:rsidRPr="00CD1D73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3A2EC6">
        <w:rPr>
          <w:rFonts w:ascii="Times New Roman" w:hAnsi="Times New Roman" w:cs="Times New Roman"/>
          <w:sz w:val="28"/>
          <w:szCs w:val="28"/>
          <w:lang w:val="uk-UA"/>
        </w:rPr>
        <w:t xml:space="preserve">сів взаємодії мікроорганізмів у </w:t>
      </w:r>
      <w:r w:rsidR="001C0082" w:rsidRPr="00CD1D73">
        <w:rPr>
          <w:rFonts w:ascii="Times New Roman" w:hAnsi="Times New Roman" w:cs="Times New Roman"/>
          <w:sz w:val="28"/>
          <w:szCs w:val="28"/>
          <w:lang w:val="uk-UA"/>
        </w:rPr>
        <w:t xml:space="preserve">міжвидових асоціаціях, закономірностей формування гетеромікробних біоплівок, утворених 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r w:rsidR="001C0082" w:rsidRPr="00CD1D7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C0082" w:rsidRPr="00CD1D73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3A2EC6">
        <w:rPr>
          <w:rFonts w:ascii="Times New Roman" w:hAnsi="Times New Roman" w:cs="Times New Roman"/>
          <w:sz w:val="28"/>
          <w:szCs w:val="28"/>
          <w:lang w:val="uk-UA"/>
        </w:rPr>
        <w:t xml:space="preserve">, факторів їх патогенності та </w:t>
      </w:r>
      <w:r w:rsidR="001C0082" w:rsidRPr="00CD1D73">
        <w:rPr>
          <w:rFonts w:ascii="Times New Roman" w:hAnsi="Times New Roman" w:cs="Times New Roman"/>
          <w:sz w:val="28"/>
          <w:szCs w:val="28"/>
          <w:lang w:val="uk-UA"/>
        </w:rPr>
        <w:t>вірулентності, а також механізм</w:t>
      </w:r>
      <w:r w:rsidR="003A2EC6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формування резистентності до 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>хіміотерапевтичних препаратів</w:t>
      </w:r>
      <w:r w:rsidR="0087562B" w:rsidRPr="0087562B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7562B">
        <w:rPr>
          <w:rFonts w:ascii="Times New Roman" w:hAnsi="Times New Roman" w:cs="Times New Roman"/>
          <w:noProof/>
          <w:sz w:val="28"/>
          <w:lang w:val="uk-UA"/>
        </w:rPr>
        <w:t>[13, с. 3748</w:t>
      </w:r>
      <w:r w:rsidR="0087562B"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="0087562B">
        <w:rPr>
          <w:rFonts w:ascii="Times New Roman" w:hAnsi="Times New Roman" w:cs="Times New Roman"/>
          <w:noProof/>
          <w:sz w:val="28"/>
          <w:lang w:val="uk-UA"/>
        </w:rPr>
        <w:t>.</w:t>
      </w:r>
      <w:r w:rsidR="001C0082" w:rsidRPr="00CD1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0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2EC6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1C0082">
        <w:rPr>
          <w:rFonts w:ascii="Times New Roman" w:hAnsi="Times New Roman" w:cs="Times New Roman"/>
          <w:sz w:val="28"/>
          <w:szCs w:val="28"/>
          <w:lang w:val="uk-UA"/>
        </w:rPr>
        <w:t>на сьогоднішній день</w:t>
      </w:r>
      <w:r w:rsidRPr="00CD1D73">
        <w:rPr>
          <w:rFonts w:ascii="Times New Roman" w:hAnsi="Times New Roman" w:cs="Times New Roman"/>
          <w:sz w:val="28"/>
          <w:szCs w:val="28"/>
          <w:lang w:val="uk-UA"/>
        </w:rPr>
        <w:t xml:space="preserve"> спектр використання антимікробних речовин, ефективних відносно цього консорціуму, залишається обмеженим. </w:t>
      </w:r>
      <w:r w:rsidR="001C0082" w:rsidRPr="001C0082">
        <w:rPr>
          <w:rFonts w:ascii="Times New Roman" w:hAnsi="Times New Roman" w:cs="Times New Roman"/>
          <w:sz w:val="28"/>
          <w:szCs w:val="28"/>
          <w:lang w:val="uk-UA"/>
        </w:rPr>
        <w:t xml:space="preserve">Тому, актуальним завданням є визначення нових комбінацій протимікробних засобів ефективних відносно </w:t>
      </w:r>
      <w:r w:rsidR="001C0082">
        <w:rPr>
          <w:rFonts w:ascii="Times New Roman" w:hAnsi="Times New Roman" w:cs="Times New Roman"/>
          <w:sz w:val="28"/>
          <w:szCs w:val="28"/>
          <w:lang w:val="uk-UA"/>
        </w:rPr>
        <w:t xml:space="preserve">асоціації 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81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r w:rsidR="001C0082" w:rsidRPr="001C008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BD04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0417">
        <w:rPr>
          <w:rFonts w:ascii="Times New Roman" w:hAnsi="Times New Roman" w:cs="Times New Roman"/>
          <w:noProof/>
          <w:sz w:val="28"/>
          <w:lang w:val="uk-UA"/>
        </w:rPr>
        <w:t>[11, с. 76</w:t>
      </w:r>
      <w:r w:rsidR="00BD0417" w:rsidRPr="00FF00B6">
        <w:rPr>
          <w:rFonts w:ascii="Times New Roman" w:hAnsi="Times New Roman" w:cs="Times New Roman"/>
          <w:noProof/>
          <w:sz w:val="28"/>
          <w:lang w:val="uk-UA"/>
        </w:rPr>
        <w:t>]</w:t>
      </w:r>
      <w:r w:rsidR="001C0082" w:rsidRPr="001C008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08C4" w:rsidRPr="006408C4" w:rsidRDefault="006408C4" w:rsidP="006408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а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нтимікотичні препарати на основі тербінафіну отримали досить широке використання у зв’язку з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сокою ефективністю субстанції відносно 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грибів роду </w:t>
      </w:r>
      <w:r w:rsidRPr="006408C4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низькою економічною вартістю. Тербінафін – це речовина похідна аліламінов, що має високу терапевтичну ефективність і низьку токсичність, це зумовлює його застосування для лікування деяких форм шкіряних і системних мікозів. Крім того, тербінафін є ліпофільною речовиною, тому накопичується в органах, багатих жировою тканиною, і таким чином, повинен добре включатися в ліпідні везикули, тому він може використовуватись для лікування інфекцій, що супровод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жуються утворенням біоплівок [3, с. 25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]. Механізм дії тербінафіну відносно грибів здійснюється за рахунок пригнічення скваленепоксидази в клітинній мембрані грибів. Це призводить до дефіциту ергостеролу і внутрішньоклітинного накопичення сквалену, що викликає з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агибель клітини збудника [1, с. 9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408C4" w:rsidRPr="006408C4" w:rsidRDefault="006408C4" w:rsidP="006408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Антисептична речовина бензоїлпероксид має високу кератолітичну, протизапальну дію та ефективність у відношенні багатьох мікроорганізмів, у 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числі 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408C4">
        <w:rPr>
          <w:rFonts w:ascii="Times New Roman" w:hAnsi="Times New Roman" w:cs="Times New Roman"/>
          <w:i/>
          <w:sz w:val="28"/>
          <w:szCs w:val="28"/>
        </w:rPr>
        <w:t>S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6408C4">
        <w:rPr>
          <w:rFonts w:ascii="Times New Roman" w:hAnsi="Times New Roman" w:cs="Times New Roman"/>
          <w:i/>
          <w:sz w:val="28"/>
          <w:szCs w:val="28"/>
        </w:rPr>
        <w:t>ureus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. Препарати на основі цієї речовини використовуються при лікуванні захворювань шкіри. Бензоїлпероксид є перспективним препаратом для лікування поверхневих мікозів. Неспецифічний механізм дії, як і інших перекисних сполук, обумовлений деструкцією клітинної стінки мікроорганізмів за рахунок окислення подвійних зв’язків в ненасичених жирних кислотах мембран. Антифунгальна активність бензоїлпероксиду практично не висвітлена в літературі, однак є повідомлення про успішне використання цього препарату при лікуванні пролежнів, які ускладнені грибковою інфекцією. Крім того, є інформація про розробку композицій, які містять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 xml:space="preserve"> імідазол і бензоїлпероксид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8C4" w:rsidRPr="006408C4" w:rsidRDefault="006408C4" w:rsidP="006408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З джерел літератури відомо, що сублетальні концентрації перекису водню пригнічували утворення біоплівок 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S. epidermidis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>за рахунок репресії ica-оперона. Це приводило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до інгібування транскрипції ica-ABCD, в наслідок чого пригнічувалась продукція позаклітинно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го полісахаридного матриксу [7, с. 22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]. Отже, ймовірно, що механізм дії бензоїлпероксиду схожий щодо інгібувіання біоплівок, які формуют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ся штамами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408C4">
        <w:rPr>
          <w:rFonts w:ascii="Times New Roman" w:hAnsi="Times New Roman" w:cs="Times New Roman"/>
          <w:i/>
          <w:sz w:val="28"/>
          <w:szCs w:val="28"/>
        </w:rPr>
        <w:t>S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6408C4">
        <w:rPr>
          <w:rFonts w:ascii="Times New Roman" w:hAnsi="Times New Roman" w:cs="Times New Roman"/>
          <w:i/>
          <w:sz w:val="28"/>
          <w:szCs w:val="28"/>
        </w:rPr>
        <w:t>ureus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08C4" w:rsidRPr="006408C4" w:rsidRDefault="006408C4" w:rsidP="006408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08C4">
        <w:rPr>
          <w:rFonts w:ascii="Times New Roman" w:hAnsi="Times New Roman" w:cs="Times New Roman"/>
          <w:sz w:val="28"/>
          <w:szCs w:val="28"/>
          <w:lang w:val="uk-UA"/>
        </w:rPr>
        <w:t>Аналізуючи дані джерел літератури можливо припустити, що комбіно</w:t>
      </w:r>
      <w:r w:rsidR="001C0082">
        <w:rPr>
          <w:rFonts w:ascii="Times New Roman" w:hAnsi="Times New Roman" w:cs="Times New Roman"/>
          <w:sz w:val="28"/>
          <w:szCs w:val="28"/>
          <w:lang w:val="uk-UA"/>
        </w:rPr>
        <w:t>ване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тербінафіну та бензоїлпероксиду відносно асаціації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</w:t>
      </w:r>
      <w:r w:rsidRPr="006408C4">
        <w:rPr>
          <w:rFonts w:ascii="Times New Roman" w:hAnsi="Times New Roman" w:cs="Times New Roman"/>
          <w:lang w:val="uk-UA"/>
        </w:rPr>
        <w:t> 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408C4">
        <w:rPr>
          <w:rFonts w:ascii="Times New Roman" w:hAnsi="Times New Roman" w:cs="Times New Roman"/>
          <w:i/>
          <w:sz w:val="28"/>
          <w:szCs w:val="28"/>
        </w:rPr>
        <w:t>S</w:t>
      </w:r>
      <w:r w:rsidRPr="006408C4">
        <w:rPr>
          <w:rFonts w:ascii="Times New Roman" w:hAnsi="Times New Roman" w:cs="Times New Roman"/>
          <w:i/>
          <w:sz w:val="28"/>
          <w:szCs w:val="28"/>
          <w:lang w:val="uk-UA"/>
        </w:rPr>
        <w:t>.а</w:t>
      </w:r>
      <w:r w:rsidRPr="006408C4">
        <w:rPr>
          <w:rFonts w:ascii="Times New Roman" w:hAnsi="Times New Roman" w:cs="Times New Roman"/>
          <w:i/>
          <w:sz w:val="28"/>
          <w:szCs w:val="28"/>
        </w:rPr>
        <w:t>ureus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 xml:space="preserve"> поліпшує антимікробний ефект за рахунок посиленого окислення</w:t>
      </w:r>
      <w:r w:rsidRPr="00405243">
        <w:rPr>
          <w:sz w:val="28"/>
          <w:szCs w:val="28"/>
          <w:lang w:val="uk-UA"/>
        </w:rPr>
        <w:t xml:space="preserve"> </w:t>
      </w:r>
      <w:r w:rsidRPr="006408C4">
        <w:rPr>
          <w:rFonts w:ascii="Times New Roman" w:hAnsi="Times New Roman" w:cs="Times New Roman"/>
          <w:sz w:val="28"/>
          <w:szCs w:val="28"/>
          <w:lang w:val="uk-UA"/>
        </w:rPr>
        <w:t>жирних кислот та пригнічення ферментів клітинної мембрани грибів та бактерій.</w:t>
      </w:r>
    </w:p>
    <w:p w:rsidR="00DC696D" w:rsidRPr="001A3FD4" w:rsidRDefault="00DC696D" w:rsidP="00CD1D7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роботи </w:t>
      </w:r>
      <w:r w:rsidR="0097136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1A3FD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до формування біоплівок 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>клінічних та</w:t>
      </w:r>
      <w:r w:rsidR="0097136E">
        <w:rPr>
          <w:rFonts w:ascii="Times New Roman" w:hAnsi="Times New Roman" w:cs="Times New Roman"/>
          <w:sz w:val="28"/>
          <w:szCs w:val="28"/>
          <w:lang w:val="uk-UA"/>
        </w:rPr>
        <w:t xml:space="preserve"> референтних штамів </w:t>
      </w:r>
      <w:r w:rsidR="0097136E" w:rsidRPr="0097136E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="0097136E"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36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7136E">
        <w:rPr>
          <w:rFonts w:ascii="Times New Roman" w:hAnsi="Times New Roman" w:cs="Times New Roman"/>
          <w:i/>
          <w:sz w:val="28"/>
          <w:szCs w:val="28"/>
        </w:rPr>
        <w:t>S</w:t>
      </w:r>
      <w:r w:rsidRPr="0097136E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97136E">
        <w:rPr>
          <w:rFonts w:ascii="Times New Roman" w:hAnsi="Times New Roman" w:cs="Times New Roman"/>
          <w:i/>
          <w:sz w:val="28"/>
          <w:szCs w:val="28"/>
        </w:rPr>
        <w:t>ureus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D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C696D">
        <w:rPr>
          <w:rFonts w:ascii="Times New Roman" w:hAnsi="Times New Roman" w:cs="Times New Roman"/>
          <w:sz w:val="28"/>
          <w:szCs w:val="28"/>
          <w:lang w:val="uk-UA"/>
        </w:rPr>
        <w:t>визначення протимікробної дії комбінації т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 xml:space="preserve">ербінафіну і бензоїлпероксиду </w:t>
      </w:r>
      <w:r w:rsidR="001A3FD4">
        <w:rPr>
          <w:rFonts w:ascii="Times New Roman" w:hAnsi="Times New Roman" w:cs="Times New Roman"/>
          <w:sz w:val="28"/>
          <w:szCs w:val="28"/>
          <w:lang w:val="uk-UA"/>
        </w:rPr>
        <w:t>відносно цієї асоціації в дослідах in vitro.</w:t>
      </w:r>
    </w:p>
    <w:p w:rsidR="00F76374" w:rsidRPr="0048421A" w:rsidRDefault="00DC696D" w:rsidP="0048421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мети та вирішення завдань, поставлених у роботі, впродовж 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 xml:space="preserve">її виконання було досліджено 70 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штамів мікроорганізмів: 55 штамів 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 виділених від хворих на різні гнійно – запальні процеси у перші 48 г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 xml:space="preserve">од. з моменту госпіталізації до 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стаціонару та 4 референтних штами (по 2 штама АТСС 25923, АТСС 6538 Р) в якості 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контрольної групи; 10 штамів 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="0087562B">
        <w:rPr>
          <w:rFonts w:ascii="Times New Roman" w:hAnsi="Times New Roman" w:cs="Times New Roman"/>
          <w:sz w:val="28"/>
          <w:szCs w:val="28"/>
          <w:lang w:val="uk-UA"/>
        </w:rPr>
        <w:t xml:space="preserve">, які були виділені з 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мокротиння від хворих на пневмонію і змивів трахеї та один референтний штам АТСС 885-653. Виділення та ідентифікацію чистої культури штамів 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F76374" w:rsidRPr="00F76374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="00F76374" w:rsidRPr="00F7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374" w:rsidRPr="0048421A">
        <w:rPr>
          <w:rFonts w:ascii="Times New Roman" w:hAnsi="Times New Roman" w:cs="Times New Roman"/>
          <w:sz w:val="28"/>
          <w:szCs w:val="28"/>
          <w:lang w:val="uk-UA"/>
        </w:rPr>
        <w:t>проводили за загальноприйнятими мікробіологічними методами, на основі морфологічних, тінкторіальних, культуральних та біохімічних властивостей.</w:t>
      </w:r>
    </w:p>
    <w:p w:rsidR="005375CF" w:rsidRPr="0048421A" w:rsidRDefault="0048421A" w:rsidP="005375C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421A">
        <w:rPr>
          <w:rFonts w:ascii="Times New Roman" w:hAnsi="Times New Roman" w:cs="Times New Roman"/>
          <w:sz w:val="28"/>
          <w:szCs w:val="28"/>
          <w:lang w:val="uk-UA"/>
        </w:rPr>
        <w:t>Здатність мікроорганізмів до формування біоплівок вивчали за методикою Рома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нової Ю. М., Гінзбурга А. Л. [5, с. 36</w:t>
      </w:r>
      <w:r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725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Експериментальне дослідження щодо встановлення здатності </w:t>
      </w:r>
      <w:r w:rsidR="003A2EC6" w:rsidRPr="003A2EC6">
        <w:rPr>
          <w:rFonts w:ascii="Times New Roman" w:hAnsi="Times New Roman" w:cs="Times New Roman"/>
          <w:color w:val="000000"/>
          <w:sz w:val="28"/>
          <w:szCs w:val="28"/>
        </w:rPr>
        <w:t xml:space="preserve">мікроорганізмів до </w:t>
      </w:r>
      <w:r w:rsidR="00725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плівкоутворення проводили </w:t>
      </w:r>
      <w:r w:rsidR="003A2EC6" w:rsidRPr="003A2EC6">
        <w:rPr>
          <w:rFonts w:ascii="Times New Roman" w:hAnsi="Times New Roman" w:cs="Times New Roman"/>
          <w:color w:val="000000"/>
          <w:sz w:val="28"/>
          <w:szCs w:val="28"/>
        </w:rPr>
        <w:t>в пластикових планшетах для імуно-ферментного аналізу. Сформовані біоплівки відмивали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3A2EC6" w:rsidRPr="003A2EC6">
        <w:rPr>
          <w:rFonts w:ascii="Times New Roman" w:hAnsi="Times New Roman" w:cs="Times New Roman"/>
          <w:color w:val="000000"/>
          <w:sz w:val="28"/>
          <w:szCs w:val="28"/>
        </w:rPr>
        <w:t xml:space="preserve"> фарбували 1% с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>пиртовим розчином генціанвіолет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у.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 оцінювали 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оптичн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щільн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5375CF">
        <w:rPr>
          <w:rFonts w:ascii="Times New Roman" w:hAnsi="Times New Roman" w:cs="Times New Roman"/>
          <w:color w:val="000000"/>
          <w:sz w:val="28"/>
          <w:szCs w:val="28"/>
        </w:rPr>
        <w:t xml:space="preserve"> кільк</w:t>
      </w:r>
      <w:r w:rsidR="005375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істю</w:t>
      </w:r>
      <w:r w:rsidR="003A2EC6" w:rsidRPr="003A2EC6">
        <w:rPr>
          <w:rFonts w:ascii="Times New Roman" w:hAnsi="Times New Roman" w:cs="Times New Roman"/>
          <w:color w:val="000000"/>
          <w:sz w:val="28"/>
          <w:szCs w:val="28"/>
        </w:rPr>
        <w:t xml:space="preserve"> колонієутворюючих одиниць (КУО) в 1 мл біомаси.</w:t>
      </w:r>
      <w:r w:rsidR="003A2E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75CF">
        <w:rPr>
          <w:rFonts w:ascii="Times New Roman" w:hAnsi="Times New Roman" w:cs="Times New Roman"/>
          <w:sz w:val="28"/>
          <w:szCs w:val="28"/>
          <w:lang w:val="uk-UA"/>
        </w:rPr>
        <w:t>Показники оптичної щільності</w:t>
      </w:r>
      <w:r w:rsidR="005375CF"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5CF">
        <w:rPr>
          <w:rFonts w:ascii="Times New Roman" w:hAnsi="Times New Roman" w:cs="Times New Roman"/>
          <w:sz w:val="28"/>
          <w:szCs w:val="28"/>
          <w:lang w:val="uk-UA"/>
        </w:rPr>
        <w:t xml:space="preserve">(одиниці оптичної щільності – </w:t>
      </w:r>
      <w:r w:rsidR="005375CF" w:rsidRPr="00A84822">
        <w:rPr>
          <w:rFonts w:ascii="Times New Roman" w:hAnsi="Times New Roman" w:cs="Times New Roman"/>
          <w:sz w:val="28"/>
          <w:szCs w:val="28"/>
          <w:lang w:val="uk-UA"/>
        </w:rPr>
        <w:t>од. ОЩ.)</w:t>
      </w:r>
      <w:r w:rsidR="0053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5CF"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біоплівок вимірювали при довжині хвилі 545 нм на аналізаторі </w:t>
      </w:r>
      <w:r w:rsidR="005375CF" w:rsidRPr="0048421A">
        <w:rPr>
          <w:rFonts w:ascii="Times New Roman" w:hAnsi="Times New Roman" w:cs="Times New Roman"/>
          <w:sz w:val="28"/>
          <w:szCs w:val="28"/>
          <w:lang w:val="en-US"/>
        </w:rPr>
        <w:t>LabLine</w:t>
      </w:r>
      <w:r w:rsidR="005375CF"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-90. Отримані дані обробляли за допомогою пакету програми </w:t>
      </w:r>
      <w:r w:rsidR="005375CF" w:rsidRPr="0048421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375CF" w:rsidRPr="00484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9A0" w:rsidRPr="00A84822" w:rsidRDefault="00F76374" w:rsidP="00811104">
      <w:pPr>
        <w:tabs>
          <w:tab w:val="left" w:pos="366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Мінімальну інгібуючу концентрацію (МІК) протимікробних речовин на планктонні клітини </w:t>
      </w:r>
      <w:r w:rsidR="005375CF">
        <w:rPr>
          <w:rFonts w:ascii="Times New Roman" w:hAnsi="Times New Roman" w:cs="Times New Roman"/>
          <w:sz w:val="28"/>
          <w:szCs w:val="28"/>
          <w:lang w:val="uk-UA"/>
        </w:rPr>
        <w:t xml:space="preserve">клінічних </w:t>
      </w:r>
      <w:r w:rsidRPr="0048421A">
        <w:rPr>
          <w:rFonts w:ascii="Times New Roman" w:hAnsi="Times New Roman" w:cs="Times New Roman"/>
          <w:sz w:val="28"/>
          <w:szCs w:val="28"/>
          <w:lang w:val="uk-UA"/>
        </w:rPr>
        <w:t xml:space="preserve">ізолятів та </w:t>
      </w:r>
      <w:r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референтних штамів </w:t>
      </w:r>
      <w:r w:rsidRPr="003D34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D3405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3D3405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r w:rsidRPr="003D3405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3D3405">
        <w:rPr>
          <w:rFonts w:ascii="Times New Roman" w:hAnsi="Times New Roman" w:cs="Times New Roman"/>
          <w:i/>
          <w:sz w:val="28"/>
          <w:szCs w:val="28"/>
          <w:lang w:val="en-US"/>
        </w:rPr>
        <w:t>us</w:t>
      </w:r>
      <w:r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D340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D3405">
        <w:rPr>
          <w:rFonts w:ascii="Times New Roman" w:hAnsi="Times New Roman" w:cs="Times New Roman"/>
          <w:i/>
          <w:sz w:val="28"/>
          <w:szCs w:val="28"/>
          <w:lang w:val="uk-UA"/>
        </w:rPr>
        <w:t>. а</w:t>
      </w:r>
      <w:r w:rsidRPr="003D3405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методом серійних розведень. </w:t>
      </w:r>
      <w:r w:rsidR="003D3405" w:rsidRPr="003D3405">
        <w:rPr>
          <w:rFonts w:ascii="Times New Roman" w:hAnsi="Times New Roman" w:cs="Times New Roman"/>
          <w:sz w:val="28"/>
          <w:szCs w:val="28"/>
        </w:rPr>
        <w:t>За МІК приймали мінімальну концентрацію</w:t>
      </w:r>
      <w:r w:rsidR="005E168B">
        <w:rPr>
          <w:rFonts w:ascii="Times New Roman" w:hAnsi="Times New Roman" w:cs="Times New Roman"/>
          <w:sz w:val="28"/>
          <w:szCs w:val="28"/>
          <w:lang w:val="uk-UA"/>
        </w:rPr>
        <w:t xml:space="preserve"> протимікробних речовин</w:t>
      </w:r>
      <w:r w:rsidR="003D3405" w:rsidRPr="003D3405">
        <w:rPr>
          <w:rFonts w:ascii="Times New Roman" w:hAnsi="Times New Roman" w:cs="Times New Roman"/>
          <w:sz w:val="28"/>
          <w:szCs w:val="28"/>
        </w:rPr>
        <w:t>,</w:t>
      </w:r>
      <w:r w:rsidR="003D3405"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405" w:rsidRPr="003D3405">
        <w:rPr>
          <w:rFonts w:ascii="Times New Roman" w:hAnsi="Times New Roman" w:cs="Times New Roman"/>
          <w:sz w:val="28"/>
          <w:szCs w:val="28"/>
        </w:rPr>
        <w:t>що забезпечує повне пригнічення видимого росту</w:t>
      </w:r>
      <w:r w:rsidR="003D3405"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8B">
        <w:rPr>
          <w:rFonts w:ascii="Times New Roman" w:hAnsi="Times New Roman" w:cs="Times New Roman"/>
          <w:sz w:val="28"/>
          <w:szCs w:val="28"/>
          <w:lang w:val="uk-UA"/>
        </w:rPr>
        <w:t>мікроорганізмів</w:t>
      </w:r>
      <w:r w:rsidR="003D3405"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оцінювали за оптичною щільністю при довжині хвилі 545 нм на аналізаторі </w:t>
      </w:r>
      <w:r w:rsidR="003D3405" w:rsidRPr="003D3405">
        <w:rPr>
          <w:rFonts w:ascii="Times New Roman" w:hAnsi="Times New Roman" w:cs="Times New Roman"/>
          <w:sz w:val="28"/>
          <w:szCs w:val="28"/>
          <w:lang w:val="en-US"/>
        </w:rPr>
        <w:t>LabLine</w:t>
      </w:r>
      <w:r w:rsidR="003D3405" w:rsidRPr="003D3405">
        <w:rPr>
          <w:rFonts w:ascii="Times New Roman" w:hAnsi="Times New Roman" w:cs="Times New Roman"/>
          <w:sz w:val="28"/>
          <w:szCs w:val="28"/>
          <w:lang w:val="uk-UA"/>
        </w:rPr>
        <w:t xml:space="preserve">-90. Життєздатність мікроорганізмів визначали шляхом підрахунку кількості колонієутворюючих одиниць </w:t>
      </w:r>
      <w:r w:rsidR="00811104" w:rsidRPr="003D3405">
        <w:rPr>
          <w:rFonts w:ascii="Times New Roman" w:hAnsi="Times New Roman" w:cs="Times New Roman"/>
          <w:sz w:val="28"/>
          <w:szCs w:val="28"/>
          <w:lang w:val="uk-UA"/>
        </w:rPr>
        <w:t>(КУО)</w:t>
      </w:r>
      <w:r w:rsidR="0081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9A0" w:rsidRPr="00A84822">
        <w:rPr>
          <w:rFonts w:ascii="Times New Roman" w:hAnsi="Times New Roman" w:cs="Times New Roman"/>
          <w:sz w:val="28"/>
          <w:szCs w:val="28"/>
          <w:lang w:val="uk-UA"/>
        </w:rPr>
        <w:t>на 1 мл поживного середовища дослідних зразків</w:t>
      </w:r>
      <w:r w:rsidR="00811104">
        <w:rPr>
          <w:rFonts w:ascii="Times New Roman" w:hAnsi="Times New Roman" w:cs="Times New Roman"/>
          <w:sz w:val="28"/>
          <w:szCs w:val="28"/>
          <w:lang w:val="uk-UA"/>
        </w:rPr>
        <w:t>. Отримані результати порівнювали з середньою оптичною щільність контрольних зразків.</w:t>
      </w:r>
    </w:p>
    <w:p w:rsidR="0048421A" w:rsidRPr="0048421A" w:rsidRDefault="0048421A" w:rsidP="00A8482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421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Статистичну обробку даних проводили за загальноприйнятою методикою </w:t>
      </w:r>
      <w:r w:rsidRPr="0048421A">
        <w:rPr>
          <w:rFonts w:ascii="Times New Roman" w:hAnsi="Times New Roman" w:cs="Times New Roman"/>
          <w:sz w:val="28"/>
          <w:szCs w:val="28"/>
        </w:rPr>
        <w:t>[</w:t>
      </w:r>
      <w:r w:rsidR="00BD0417">
        <w:rPr>
          <w:rFonts w:ascii="Times New Roman" w:hAnsi="Times New Roman" w:cs="Times New Roman"/>
          <w:sz w:val="28"/>
          <w:szCs w:val="28"/>
          <w:lang w:val="uk-UA"/>
        </w:rPr>
        <w:t>4, с. 155</w:t>
      </w:r>
      <w:r w:rsidRPr="0048421A">
        <w:rPr>
          <w:rFonts w:ascii="Times New Roman" w:hAnsi="Times New Roman" w:cs="Times New Roman"/>
          <w:sz w:val="28"/>
          <w:szCs w:val="28"/>
        </w:rPr>
        <w:t>]</w:t>
      </w:r>
      <w:r w:rsidRPr="0048421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Розраховували середню арифметичну та її стандартну помилку (М±m). Достовірність відмінностей оцінювали за допомогою критерія Стьюдента (t). </w:t>
      </w:r>
      <w:r w:rsidRPr="0048421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Відмінності розцінювали як статистично значущі при (р&lt;0,05). </w:t>
      </w:r>
      <w:r w:rsidRPr="0048421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Результати дослідження обробляли з використанням прик</w:t>
      </w:r>
      <w:r w:rsidR="009336F8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ладних програм EXEL та</w:t>
      </w:r>
      <w:r w:rsidRPr="0048421A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«STATISTICA 6».</w:t>
      </w:r>
      <w:r w:rsidRPr="0048421A">
        <w:rPr>
          <w:rStyle w:val="rvts12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696D" w:rsidRPr="00A84822" w:rsidRDefault="00DC696D" w:rsidP="00A84822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82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дослідження. </w:t>
      </w:r>
      <w:r w:rsidR="000A6712">
        <w:rPr>
          <w:rFonts w:ascii="Times New Roman" w:hAnsi="Times New Roman" w:cs="Times New Roman"/>
          <w:sz w:val="28"/>
          <w:szCs w:val="28"/>
          <w:lang w:val="uk-UA"/>
        </w:rPr>
        <w:t>За даними проведеного дослідження встановлено, що здатність до формування біоплівок у клінічних та референтних штамів відрізняєт</w:t>
      </w:r>
      <w:r w:rsidR="003D3405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="000A6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6F8">
        <w:rPr>
          <w:rFonts w:ascii="Times New Roman" w:hAnsi="Times New Roman" w:cs="Times New Roman"/>
          <w:sz w:val="28"/>
          <w:szCs w:val="28"/>
          <w:lang w:val="uk-UA"/>
        </w:rPr>
        <w:t>(табл. 1).</w:t>
      </w:r>
    </w:p>
    <w:p w:rsidR="009336F8" w:rsidRDefault="009336F8" w:rsidP="00A8482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696D" w:rsidRPr="003D3405" w:rsidRDefault="00DC696D" w:rsidP="00A8482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3405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A84822" w:rsidRPr="00A84822" w:rsidRDefault="00A84822" w:rsidP="00A84822">
      <w:pPr>
        <w:tabs>
          <w:tab w:val="left" w:pos="36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рівня плівкоутворення штамами </w:t>
      </w:r>
      <w:r w:rsidRPr="00A84822">
        <w:rPr>
          <w:rFonts w:ascii="Times New Roman" w:hAnsi="Times New Roman" w:cs="Times New Roman"/>
          <w:b/>
          <w:i/>
          <w:sz w:val="28"/>
          <w:szCs w:val="28"/>
          <w:lang w:val="uk-UA"/>
        </w:rPr>
        <w:t>С. аlbicans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8C0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482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84822">
        <w:rPr>
          <w:rFonts w:ascii="Times New Roman" w:hAnsi="Times New Roman" w:cs="Times New Roman"/>
          <w:b/>
          <w:i/>
          <w:sz w:val="28"/>
          <w:szCs w:val="28"/>
          <w:lang w:val="uk-UA"/>
        </w:rPr>
        <w:t>. а</w:t>
      </w:r>
      <w:r w:rsidRPr="00A84822">
        <w:rPr>
          <w:rFonts w:ascii="Times New Roman" w:hAnsi="Times New Roman" w:cs="Times New Roman"/>
          <w:b/>
          <w:i/>
          <w:sz w:val="28"/>
          <w:szCs w:val="28"/>
          <w:lang w:val="en-US"/>
        </w:rPr>
        <w:t>ureus</w:t>
      </w:r>
      <w:r w:rsidRPr="00A84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показниками оптичної щільності </w:t>
      </w:r>
      <w:r w:rsidR="009909B2">
        <w:rPr>
          <w:rFonts w:ascii="Times New Roman" w:hAnsi="Times New Roman" w:cs="Times New Roman"/>
          <w:b/>
          <w:sz w:val="28"/>
          <w:szCs w:val="28"/>
          <w:lang w:val="uk-UA"/>
        </w:rPr>
        <w:t>та КУО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980"/>
        <w:gridCol w:w="1800"/>
        <w:gridCol w:w="2412"/>
      </w:tblGrid>
      <w:tr w:rsidR="00A84822" w:rsidRPr="00A84822" w:rsidTr="00D15D01">
        <w:tc>
          <w:tcPr>
            <w:tcW w:w="675" w:type="dxa"/>
            <w:shd w:val="clear" w:color="auto" w:fill="auto"/>
          </w:tcPr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A84822" w:rsidRPr="00A84822" w:rsidRDefault="0027595B" w:rsidP="00A848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Штами</w:t>
            </w:r>
          </w:p>
        </w:tc>
        <w:tc>
          <w:tcPr>
            <w:tcW w:w="1980" w:type="dxa"/>
            <w:shd w:val="clear" w:color="auto" w:fill="auto"/>
          </w:tcPr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оптична 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 дослідних зразків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</w:p>
          <w:p w:rsidR="00A84822" w:rsidRPr="00A84822" w:rsidDel="00F81B9D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(М±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КУО×10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мл поживного середовища дослідних зразків</w:t>
            </w:r>
          </w:p>
          <w:p w:rsidR="00A84822" w:rsidRPr="00A84822" w:rsidDel="00F81B9D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(М±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оптична щільність контрольних зразків (поживне середовище)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  <w:r w:rsidRPr="00A84822" w:rsidDel="00F81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4822" w:rsidRPr="00A84822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(М±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84822" w:rsidRPr="00A84822" w:rsidTr="00D15D01">
        <w:tc>
          <w:tcPr>
            <w:tcW w:w="675" w:type="dxa"/>
            <w:shd w:val="clear" w:color="auto" w:fill="auto"/>
          </w:tcPr>
          <w:p w:rsidR="00A84822" w:rsidRPr="00A64500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84822" w:rsidRPr="00A64500" w:rsidRDefault="00F64FD3" w:rsidP="002759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Клінічні штами 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 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  <w:r w:rsidR="00FC1F05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84822" w:rsidRPr="00A64500" w:rsidDel="00F81B9D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1,0683±0,006*</w:t>
            </w:r>
          </w:p>
        </w:tc>
        <w:tc>
          <w:tcPr>
            <w:tcW w:w="1800" w:type="dxa"/>
            <w:shd w:val="clear" w:color="auto" w:fill="auto"/>
          </w:tcPr>
          <w:p w:rsidR="00A84822" w:rsidRPr="00A64500" w:rsidDel="00F81B9D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3,5±0,2</w:t>
            </w:r>
          </w:p>
        </w:tc>
        <w:tc>
          <w:tcPr>
            <w:tcW w:w="2412" w:type="dxa"/>
            <w:shd w:val="clear" w:color="auto" w:fill="auto"/>
          </w:tcPr>
          <w:p w:rsidR="00A84822" w:rsidRPr="00A64500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0,324±0,003**</w:t>
            </w:r>
          </w:p>
        </w:tc>
      </w:tr>
      <w:tr w:rsidR="00A84822" w:rsidRPr="00A84822" w:rsidTr="00D15D01">
        <w:tc>
          <w:tcPr>
            <w:tcW w:w="675" w:type="dxa"/>
            <w:shd w:val="clear" w:color="auto" w:fill="auto"/>
          </w:tcPr>
          <w:p w:rsidR="00A84822" w:rsidRPr="00A64500" w:rsidRDefault="00A84822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84822" w:rsidRPr="00A64500" w:rsidRDefault="00D15D01" w:rsidP="002759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Рефернтні штами 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 </w:t>
            </w:r>
            <w:r w:rsidR="00FC1F05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  <w:r w:rsidR="00FC1F05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84822" w:rsidRPr="00A64500" w:rsidDel="00F81B9D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0,0550±0,007*</w:t>
            </w:r>
          </w:p>
        </w:tc>
        <w:tc>
          <w:tcPr>
            <w:tcW w:w="1800" w:type="dxa"/>
            <w:shd w:val="clear" w:color="auto" w:fill="auto"/>
          </w:tcPr>
          <w:p w:rsidR="00A84822" w:rsidRPr="00A64500" w:rsidDel="00F81B9D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2,5±0,3</w:t>
            </w:r>
          </w:p>
        </w:tc>
        <w:tc>
          <w:tcPr>
            <w:tcW w:w="2412" w:type="dxa"/>
            <w:shd w:val="clear" w:color="auto" w:fill="auto"/>
          </w:tcPr>
          <w:p w:rsidR="00A84822" w:rsidRPr="00A64500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0,276±0,006**</w:t>
            </w:r>
          </w:p>
        </w:tc>
      </w:tr>
      <w:tr w:rsidR="00A84822" w:rsidRPr="00A84822" w:rsidTr="00D15D01">
        <w:tc>
          <w:tcPr>
            <w:tcW w:w="675" w:type="dxa"/>
            <w:shd w:val="clear" w:color="auto" w:fill="auto"/>
          </w:tcPr>
          <w:p w:rsidR="00A84822" w:rsidRPr="00A64500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84822" w:rsidRPr="00A64500" w:rsidRDefault="00D15D01" w:rsidP="0027595B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Клінічні штами</w:t>
            </w:r>
            <w:r w:rsidRPr="00A848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 </w:t>
            </w:r>
            <w:r w:rsidR="00A64500" w:rsidRPr="00A848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аlbicans</w:t>
            </w:r>
            <w:r w:rsidR="00A64500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84822" w:rsidRPr="00A64500" w:rsidDel="00F81B9D" w:rsidRDefault="00A64500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  <w:r w:rsidR="008C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86±0,006*</w:t>
            </w:r>
          </w:p>
        </w:tc>
        <w:tc>
          <w:tcPr>
            <w:tcW w:w="1800" w:type="dxa"/>
            <w:shd w:val="clear" w:color="auto" w:fill="auto"/>
          </w:tcPr>
          <w:p w:rsidR="00A84822" w:rsidRPr="00A64500" w:rsidDel="00F81B9D" w:rsidRDefault="00A64500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3,6±0,1</w:t>
            </w:r>
          </w:p>
        </w:tc>
        <w:tc>
          <w:tcPr>
            <w:tcW w:w="2412" w:type="dxa"/>
            <w:shd w:val="clear" w:color="auto" w:fill="auto"/>
          </w:tcPr>
          <w:p w:rsidR="00A84822" w:rsidRPr="00A64500" w:rsidRDefault="00A64500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0,279±0,003**</w:t>
            </w:r>
          </w:p>
        </w:tc>
      </w:tr>
      <w:tr w:rsidR="00A84822" w:rsidRPr="00A84822" w:rsidTr="00D15D01">
        <w:tc>
          <w:tcPr>
            <w:tcW w:w="675" w:type="dxa"/>
            <w:shd w:val="clear" w:color="auto" w:fill="auto"/>
          </w:tcPr>
          <w:p w:rsidR="00A84822" w:rsidRPr="00A64500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84822" w:rsidRPr="00A64500" w:rsidRDefault="00D15D01" w:rsidP="002759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Рефернтні штами</w:t>
            </w:r>
            <w:r w:rsidRPr="00A848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 </w:t>
            </w:r>
            <w:r w:rsidR="00A64500" w:rsidRPr="00A848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аlbicans</w:t>
            </w:r>
            <w:r w:rsidR="00FC1F05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84822" w:rsidRPr="00A64500" w:rsidDel="00F81B9D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0,0650±0,006*</w:t>
            </w:r>
          </w:p>
        </w:tc>
        <w:tc>
          <w:tcPr>
            <w:tcW w:w="1800" w:type="dxa"/>
            <w:shd w:val="clear" w:color="auto" w:fill="auto"/>
          </w:tcPr>
          <w:p w:rsidR="00A84822" w:rsidRPr="00A64500" w:rsidDel="00F81B9D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2,2±0,2</w:t>
            </w:r>
          </w:p>
        </w:tc>
        <w:tc>
          <w:tcPr>
            <w:tcW w:w="2412" w:type="dxa"/>
            <w:shd w:val="clear" w:color="auto" w:fill="auto"/>
          </w:tcPr>
          <w:p w:rsidR="00A84822" w:rsidRPr="00A64500" w:rsidRDefault="00FC1F05" w:rsidP="00A84822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0,348±0,004**</w:t>
            </w:r>
          </w:p>
        </w:tc>
      </w:tr>
      <w:tr w:rsidR="00FC1F05" w:rsidRPr="00A84822" w:rsidTr="00D15D01">
        <w:tc>
          <w:tcPr>
            <w:tcW w:w="675" w:type="dxa"/>
            <w:shd w:val="clear" w:color="auto" w:fill="auto"/>
          </w:tcPr>
          <w:p w:rsidR="00FC1F05" w:rsidRPr="00A64500" w:rsidRDefault="00FC1F05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C1F05" w:rsidRPr="00A64500" w:rsidRDefault="00D15D01" w:rsidP="00D15D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Клінічні штам 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albicans</w:t>
            </w:r>
            <w:r w:rsidR="00A64500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ureus</w:t>
            </w:r>
          </w:p>
        </w:tc>
        <w:tc>
          <w:tcPr>
            <w:tcW w:w="1980" w:type="dxa"/>
            <w:shd w:val="clear" w:color="auto" w:fill="auto"/>
          </w:tcPr>
          <w:p w:rsidR="00FC1F05" w:rsidRPr="00A64500" w:rsidDel="00F81B9D" w:rsidRDefault="00443AF4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1,0892</w:t>
            </w:r>
            <w:r w:rsidR="00A64500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±0,007*</w:t>
            </w:r>
          </w:p>
        </w:tc>
        <w:tc>
          <w:tcPr>
            <w:tcW w:w="1800" w:type="dxa"/>
            <w:shd w:val="clear" w:color="auto" w:fill="auto"/>
          </w:tcPr>
          <w:p w:rsidR="00FC1F05" w:rsidRPr="00A64500" w:rsidDel="00F81B9D" w:rsidRDefault="00A64500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4,5±0,1</w:t>
            </w:r>
          </w:p>
        </w:tc>
        <w:tc>
          <w:tcPr>
            <w:tcW w:w="2412" w:type="dxa"/>
            <w:shd w:val="clear" w:color="auto" w:fill="auto"/>
          </w:tcPr>
          <w:p w:rsidR="00FC1F05" w:rsidRPr="00A64500" w:rsidRDefault="00A64500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0,0277±0,006**</w:t>
            </w:r>
          </w:p>
        </w:tc>
      </w:tr>
      <w:tr w:rsidR="00FC1F05" w:rsidRPr="00A84822" w:rsidTr="00D15D01">
        <w:tc>
          <w:tcPr>
            <w:tcW w:w="675" w:type="dxa"/>
            <w:shd w:val="clear" w:color="auto" w:fill="auto"/>
          </w:tcPr>
          <w:p w:rsidR="00FC1F05" w:rsidRPr="00A64500" w:rsidRDefault="00FC1F05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C1F05" w:rsidRPr="00A64500" w:rsidRDefault="00D15D01" w:rsidP="00D15D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Рефернтні штами</w:t>
            </w:r>
            <w:r w:rsidRPr="00A848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albicans</w:t>
            </w:r>
            <w:r w:rsidR="00A64500"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="00A64500" w:rsidRPr="00A645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ureus</w:t>
            </w:r>
          </w:p>
        </w:tc>
        <w:tc>
          <w:tcPr>
            <w:tcW w:w="1980" w:type="dxa"/>
            <w:shd w:val="clear" w:color="auto" w:fill="auto"/>
          </w:tcPr>
          <w:p w:rsidR="00FC1F05" w:rsidRPr="00D15D01" w:rsidDel="00F81B9D" w:rsidRDefault="00D15D01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0,0776±0,004*</w:t>
            </w:r>
            <w:r w:rsidR="00A64500" w:rsidRPr="00D1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FC1F05" w:rsidRPr="00A64500" w:rsidDel="00F81B9D" w:rsidRDefault="00A64500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3,5±0,2</w:t>
            </w:r>
          </w:p>
        </w:tc>
        <w:tc>
          <w:tcPr>
            <w:tcW w:w="2412" w:type="dxa"/>
            <w:shd w:val="clear" w:color="auto" w:fill="auto"/>
          </w:tcPr>
          <w:p w:rsidR="00FC1F05" w:rsidRPr="00A64500" w:rsidRDefault="00A64500" w:rsidP="00A64500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0,0284±0,007**</w:t>
            </w:r>
          </w:p>
        </w:tc>
      </w:tr>
    </w:tbl>
    <w:p w:rsidR="00A84822" w:rsidRPr="00A84822" w:rsidRDefault="00A84822" w:rsidP="00A84822">
      <w:pPr>
        <w:tabs>
          <w:tab w:val="left" w:pos="36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4822">
        <w:rPr>
          <w:rFonts w:ascii="Times New Roman" w:hAnsi="Times New Roman" w:cs="Times New Roman"/>
          <w:sz w:val="28"/>
          <w:szCs w:val="28"/>
          <w:lang w:val="uk-UA"/>
        </w:rPr>
        <w:t>Примітка: * – різниця достовірна р&lt;0,05. * – різниця достовірна між групами, ** – різниця достовірна з контролем; представлено результати досліджень 3-х повторів.</w:t>
      </w:r>
    </w:p>
    <w:p w:rsidR="00A84822" w:rsidRDefault="00A84822" w:rsidP="00A84822">
      <w:pPr>
        <w:tabs>
          <w:tab w:val="left" w:pos="366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3405" w:rsidRDefault="003D3405" w:rsidP="003D3405">
      <w:pPr>
        <w:tabs>
          <w:tab w:val="left" w:pos="3660"/>
        </w:tabs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показники середньої оптичної щільності для клінічних штамів </w:t>
      </w:r>
      <w:r w:rsidRPr="00A645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64500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 w:rsidRPr="00A64500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6F8">
        <w:rPr>
          <w:rFonts w:ascii="Times New Roman" w:hAnsi="Times New Roman" w:cs="Times New Roman"/>
          <w:sz w:val="28"/>
          <w:szCs w:val="28"/>
          <w:lang w:val="uk-UA"/>
        </w:rPr>
        <w:t>складали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1,0683±0,006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>од. ОЩ.</w:t>
      </w:r>
      <w:r>
        <w:rPr>
          <w:rFonts w:ascii="Times New Roman" w:hAnsi="Times New Roman" w:cs="Times New Roman"/>
          <w:sz w:val="28"/>
          <w:szCs w:val="28"/>
          <w:lang w:val="uk-UA"/>
        </w:rPr>
        <w:t>, для референтних штамів ці показники були меншими та визначались на рівні (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0,0550±0,007</w:t>
      </w:r>
      <w:r w:rsidR="005E168B">
        <w:rPr>
          <w:rFonts w:ascii="Times New Roman" w:hAnsi="Times New Roman" w:cs="Times New Roman"/>
          <w:sz w:val="28"/>
          <w:szCs w:val="28"/>
          <w:lang w:val="uk-UA"/>
        </w:rPr>
        <w:t xml:space="preserve">) од. 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>ОЩ.</w:t>
      </w:r>
    </w:p>
    <w:p w:rsidR="003D3405" w:rsidRPr="009336F8" w:rsidRDefault="003D3405" w:rsidP="003D3405">
      <w:pPr>
        <w:tabs>
          <w:tab w:val="left" w:pos="3660"/>
        </w:tabs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клінічних штамів </w:t>
      </w:r>
      <w:r w:rsidR="00B33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Pr="00A84822">
        <w:rPr>
          <w:rFonts w:ascii="Times New Roman" w:hAnsi="Times New Roman" w:cs="Times New Roman"/>
          <w:i/>
          <w:sz w:val="28"/>
          <w:szCs w:val="28"/>
          <w:lang w:val="uk-UA"/>
        </w:rPr>
        <w:t>аlbicans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</w:t>
      </w:r>
      <w:r w:rsidR="009336F8">
        <w:rPr>
          <w:rFonts w:ascii="Times New Roman" w:hAnsi="Times New Roman" w:cs="Times New Roman"/>
          <w:sz w:val="28"/>
          <w:szCs w:val="28"/>
          <w:lang w:val="uk-UA"/>
        </w:rPr>
        <w:t xml:space="preserve">ики, які характеризують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плівкоутворення складали (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1,0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86±0,006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>од. ОЩ.</w:t>
      </w:r>
      <w:r w:rsidR="0093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референтних штамів середні показники були на рівні (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0,0650±0,006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84822">
        <w:rPr>
          <w:rFonts w:ascii="Times New Roman" w:hAnsi="Times New Roman" w:cs="Times New Roman"/>
          <w:sz w:val="28"/>
          <w:szCs w:val="28"/>
          <w:lang w:val="uk-UA"/>
        </w:rPr>
        <w:t>од. ОЩ.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визначенні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здатності до формування біоплівок асоціації </w:t>
      </w:r>
      <w:r w:rsidRPr="00A64500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93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4500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5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6450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3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450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64500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у клінічних штамів показники середньої оптичної щільності складають (</w:t>
      </w:r>
      <w:r w:rsidR="00443AF4">
        <w:rPr>
          <w:rFonts w:ascii="Times New Roman" w:hAnsi="Times New Roman" w:cs="Times New Roman"/>
          <w:sz w:val="28"/>
          <w:szCs w:val="28"/>
          <w:lang w:val="uk-UA"/>
        </w:rPr>
        <w:t>1,0892</w:t>
      </w:r>
      <w:r w:rsidRPr="00A64500">
        <w:rPr>
          <w:rFonts w:ascii="Times New Roman" w:hAnsi="Times New Roman" w:cs="Times New Roman"/>
          <w:sz w:val="28"/>
          <w:szCs w:val="28"/>
          <w:lang w:val="uk-UA"/>
        </w:rPr>
        <w:t>±0</w:t>
      </w:r>
      <w:r w:rsidRPr="009336F8">
        <w:rPr>
          <w:rFonts w:ascii="Times New Roman" w:hAnsi="Times New Roman" w:cs="Times New Roman"/>
          <w:sz w:val="28"/>
          <w:szCs w:val="28"/>
          <w:lang w:val="uk-UA"/>
        </w:rPr>
        <w:t>,007) од. ОЩ., у референтних штамів – (0,0776±0,004) од. ОЩ.</w:t>
      </w:r>
    </w:p>
    <w:p w:rsidR="009336F8" w:rsidRPr="009336F8" w:rsidRDefault="006C79A0" w:rsidP="009336F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336F8">
        <w:rPr>
          <w:rFonts w:ascii="Times New Roman" w:hAnsi="Times New Roman" w:cs="Times New Roman"/>
          <w:sz w:val="28"/>
          <w:szCs w:val="28"/>
          <w:lang w:val="uk-UA"/>
        </w:rPr>
        <w:t>При визначенні МІ</w:t>
      </w:r>
      <w:r w:rsidR="00DC696D" w:rsidRPr="009336F8">
        <w:rPr>
          <w:rFonts w:ascii="Times New Roman" w:hAnsi="Times New Roman" w:cs="Times New Roman"/>
          <w:sz w:val="28"/>
          <w:szCs w:val="28"/>
          <w:lang w:val="uk-UA"/>
        </w:rPr>
        <w:t>К тербінафіну, бензоїлпероксиду та їх ко</w:t>
      </w:r>
      <w:r w:rsidR="005D5C57">
        <w:rPr>
          <w:rFonts w:ascii="Times New Roman" w:hAnsi="Times New Roman" w:cs="Times New Roman"/>
          <w:sz w:val="28"/>
          <w:szCs w:val="28"/>
          <w:lang w:val="uk-UA"/>
        </w:rPr>
        <w:t>мбінації на планктонні клітини та</w:t>
      </w:r>
      <w:r w:rsidR="00DC696D" w:rsidRPr="009336F8">
        <w:rPr>
          <w:rFonts w:ascii="Times New Roman" w:hAnsi="Times New Roman" w:cs="Times New Roman"/>
          <w:sz w:val="28"/>
          <w:szCs w:val="28"/>
          <w:lang w:val="uk-UA"/>
        </w:rPr>
        <w:t xml:space="preserve"> біоплівки </w:t>
      </w:r>
      <w:r w:rsidR="00DC696D" w:rsidRPr="009336F8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="00DC696D" w:rsidRPr="0093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57" w:rsidRPr="009D6F7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C696D" w:rsidRPr="0093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96D" w:rsidRPr="009336F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C696D" w:rsidRPr="0093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C696D" w:rsidRPr="009336F8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DC696D" w:rsidRPr="009336F8">
        <w:rPr>
          <w:rFonts w:ascii="Times New Roman" w:hAnsi="Times New Roman" w:cs="Times New Roman"/>
          <w:sz w:val="28"/>
          <w:szCs w:val="28"/>
          <w:lang w:val="uk-UA"/>
        </w:rPr>
        <w:t xml:space="preserve"> були отримані наступні дані (табл. 2).</w:t>
      </w:r>
    </w:p>
    <w:p w:rsidR="00DC696D" w:rsidRPr="009336F8" w:rsidRDefault="00DC696D" w:rsidP="009336F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B4E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9D6F74" w:rsidRPr="009D6F74" w:rsidRDefault="009D6F74" w:rsidP="009D6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6F8">
        <w:rPr>
          <w:rFonts w:ascii="Times New Roman" w:hAnsi="Times New Roman" w:cs="Times New Roman"/>
          <w:b/>
          <w:sz w:val="28"/>
          <w:szCs w:val="28"/>
          <w:lang w:val="uk-UA"/>
        </w:rPr>
        <w:t>Визначення комбінованої дії тербінафіну та бензоїлпероксиду на планктонні</w:t>
      </w:r>
      <w:r w:rsidRPr="009D6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клітини клінічних штамів </w:t>
      </w:r>
      <w:r w:rsidRPr="009D6F74">
        <w:rPr>
          <w:rFonts w:ascii="Times New Roman" w:hAnsi="Times New Roman" w:cs="Times New Roman"/>
          <w:b/>
          <w:i/>
          <w:sz w:val="28"/>
          <w:szCs w:val="28"/>
          <w:lang w:val="uk-UA"/>
        </w:rPr>
        <w:t>С. аlbicans</w:t>
      </w:r>
      <w:r w:rsidRPr="009D6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9D6F74">
        <w:rPr>
          <w:rFonts w:ascii="Times New Roman" w:hAnsi="Times New Roman" w:cs="Times New Roman"/>
          <w:b/>
          <w:i/>
          <w:sz w:val="28"/>
          <w:szCs w:val="28"/>
          <w:lang w:val="fr-FR"/>
        </w:rPr>
        <w:t>S</w:t>
      </w:r>
      <w:r w:rsidRPr="009D6F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D6F74">
        <w:rPr>
          <w:rFonts w:ascii="Times New Roman" w:hAnsi="Times New Roman" w:cs="Times New Roman"/>
          <w:b/>
          <w:i/>
          <w:sz w:val="28"/>
          <w:szCs w:val="28"/>
          <w:lang w:val="fr-FR"/>
        </w:rPr>
        <w:t>aureus</w:t>
      </w:r>
      <w:r w:rsidRPr="009D6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6F74" w:rsidRPr="009D6F74" w:rsidRDefault="009D6F74" w:rsidP="009D6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F74">
        <w:rPr>
          <w:rFonts w:ascii="Times New Roman" w:hAnsi="Times New Roman" w:cs="Times New Roman"/>
          <w:b/>
          <w:sz w:val="28"/>
          <w:szCs w:val="28"/>
          <w:lang w:val="uk-UA"/>
        </w:rPr>
        <w:t>за середньою оптичною щільностю (М±</w:t>
      </w:r>
      <w:r w:rsidRPr="009D6F7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9D6F74">
        <w:rPr>
          <w:rFonts w:ascii="Times New Roman" w:hAnsi="Times New Roman" w:cs="Times New Roman"/>
          <w:b/>
          <w:sz w:val="28"/>
          <w:szCs w:val="28"/>
          <w:lang w:val="uk-UA"/>
        </w:rPr>
        <w:t>) та КУО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2160"/>
        <w:gridCol w:w="1800"/>
        <w:gridCol w:w="2160"/>
      </w:tblGrid>
      <w:tr w:rsidR="009D6F74" w:rsidRPr="009D6F74" w:rsidTr="006727C7">
        <w:tc>
          <w:tcPr>
            <w:tcW w:w="1908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 протимікроб-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діючих речовин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клінічних штамів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(мкг/мл)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оптична щільність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штамів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протимік.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речовиною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мл поживного середовища при висіві з дослідних зразків з протимікроб. речовиною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(поживне середовище +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9D6F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мл поживного середовища при висіві з контрольних зразків без протимікроб. речовин</w:t>
            </w:r>
          </w:p>
        </w:tc>
      </w:tr>
      <w:tr w:rsidR="009D6F74" w:rsidRPr="009D6F74" w:rsidTr="006727C7">
        <w:tc>
          <w:tcPr>
            <w:tcW w:w="1908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бензоїлперок-сид (3,1)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0,0505±0,007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(3,5±0,2)×10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0,0865±0,006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(3,7±0,1)×10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9D6F74" w:rsidRPr="009D6F74" w:rsidTr="006727C7">
        <w:tc>
          <w:tcPr>
            <w:tcW w:w="1908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тербінафін (4)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0,0483±0,005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ріст відсутній*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0,0825±0,004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(3,3±0,1)×10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9D6F74" w:rsidRPr="009D6F74" w:rsidTr="006727C7">
        <w:tc>
          <w:tcPr>
            <w:tcW w:w="1908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бензоїлпероксид (6,25)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0,0563±0,006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(3,4±0,3)×10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0,0870±0,003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(3,8±0,1)×10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9D6F74" w:rsidRPr="009D6F74" w:rsidTr="006727C7">
        <w:trPr>
          <w:trHeight w:val="1384"/>
        </w:trPr>
        <w:tc>
          <w:tcPr>
            <w:tcW w:w="1908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тербінафін + бензоїлперок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 (1,3)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0,0601±0,012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(1,5±0,1)×10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(0,9±0,2)×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80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1,0604±0,014</w:t>
            </w:r>
          </w:p>
        </w:tc>
        <w:tc>
          <w:tcPr>
            <w:tcW w:w="2160" w:type="dxa"/>
            <w:shd w:val="clear" w:color="auto" w:fill="auto"/>
          </w:tcPr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(3,5±0,2)×10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</w:p>
          <w:p w:rsidR="009D6F74" w:rsidRPr="009D6F74" w:rsidRDefault="009D6F74" w:rsidP="009D6F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(3,6±0,1)×10</w:t>
            </w:r>
            <w:r w:rsidRPr="009D6F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</w:tbl>
    <w:p w:rsidR="009D6F74" w:rsidRDefault="009D6F74" w:rsidP="009D6F74">
      <w:pPr>
        <w:tabs>
          <w:tab w:val="left" w:pos="7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6F74">
        <w:rPr>
          <w:rFonts w:ascii="Times New Roman" w:hAnsi="Times New Roman" w:cs="Times New Roman"/>
          <w:sz w:val="28"/>
          <w:szCs w:val="28"/>
          <w:lang w:val="uk-UA"/>
        </w:rPr>
        <w:t>Примітка. * – різниця достовірна р&lt;0,05 з контролем; ** – різниця достовірна з контролем та між дією комбінації і окремими діючими речовинами; представлено результати досліджень 3-х повторів.</w:t>
      </w:r>
    </w:p>
    <w:p w:rsidR="009D6F74" w:rsidRDefault="009D6F74" w:rsidP="009D6F74">
      <w:pPr>
        <w:tabs>
          <w:tab w:val="left" w:pos="7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D6F74" w:rsidRDefault="009D6F74" w:rsidP="009909B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дослідження було встановлено, що комбінація на основі антимікотичної речовини тербінафіну та антисептичної речовини бензоїлпероксиду має високу антимікробну активність відносно планктонних клітин асоціації </w:t>
      </w:r>
      <w:r w:rsidRPr="009909B2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909B2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, МІК становила – (1,3±0,09) 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мкг/мл. Враховуючи те, що мікроорганізми у формі біоплівок мають високу стійкість до антимікробних засобів у порівнянні з планктонними клітинами, </w:t>
      </w:r>
      <w:r w:rsidR="009909B2"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антимікробної ефективності цієї комбінації відносно біоплівок утворених асоціацією </w:t>
      </w:r>
      <w:r w:rsidR="009909B2" w:rsidRPr="009909B2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="009909B2"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9909B2" w:rsidRPr="009909B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909B2" w:rsidRPr="009909B2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="009909B2" w:rsidRPr="009909B2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="009909B2"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>концентрація цих речовин була збільшена у 10 разів</w:t>
      </w:r>
      <w:r w:rsidR="009909B2">
        <w:rPr>
          <w:rFonts w:ascii="Times New Roman" w:hAnsi="Times New Roman" w:cs="Times New Roman"/>
          <w:sz w:val="28"/>
          <w:szCs w:val="28"/>
          <w:lang w:val="uk-UA"/>
        </w:rPr>
        <w:t xml:space="preserve"> (таб. 3)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9B2" w:rsidRPr="009909B2" w:rsidRDefault="009909B2" w:rsidP="009909B2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9909B2" w:rsidRPr="009909B2" w:rsidRDefault="009909B2" w:rsidP="009909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комбінованої дії тербінафіну та бензоїлпероксиду на біоплівки клінічних штамів </w:t>
      </w:r>
      <w:r w:rsidRPr="009909B2">
        <w:rPr>
          <w:rFonts w:ascii="Times New Roman" w:hAnsi="Times New Roman" w:cs="Times New Roman"/>
          <w:b/>
          <w:i/>
          <w:sz w:val="28"/>
          <w:szCs w:val="28"/>
          <w:lang w:val="uk-UA"/>
        </w:rPr>
        <w:t>С. аlbicans</w:t>
      </w: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9909B2">
        <w:rPr>
          <w:rFonts w:ascii="Times New Roman" w:hAnsi="Times New Roman" w:cs="Times New Roman"/>
          <w:b/>
          <w:i/>
          <w:sz w:val="28"/>
          <w:szCs w:val="28"/>
          <w:lang w:val="fr-FR"/>
        </w:rPr>
        <w:t>S</w:t>
      </w:r>
      <w:r w:rsidRPr="009909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909B2">
        <w:rPr>
          <w:rFonts w:ascii="Times New Roman" w:hAnsi="Times New Roman" w:cs="Times New Roman"/>
          <w:b/>
          <w:i/>
          <w:sz w:val="28"/>
          <w:szCs w:val="28"/>
          <w:lang w:val="fr-FR"/>
        </w:rPr>
        <w:t>aureus</w:t>
      </w: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09B2" w:rsidRPr="009909B2" w:rsidRDefault="009909B2" w:rsidP="009909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>за середньою оптичною щільностю (М±</w:t>
      </w:r>
      <w:r w:rsidRPr="009909B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B2">
        <w:rPr>
          <w:rFonts w:ascii="Times New Roman" w:hAnsi="Times New Roman" w:cs="Times New Roman"/>
          <w:b/>
          <w:sz w:val="28"/>
          <w:szCs w:val="28"/>
          <w:lang w:val="uk-UA"/>
        </w:rPr>
        <w:t>та КУО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2160"/>
        <w:gridCol w:w="1800"/>
        <w:gridCol w:w="2160"/>
      </w:tblGrid>
      <w:tr w:rsidR="009909B2" w:rsidRPr="009909B2" w:rsidTr="006727C7">
        <w:tc>
          <w:tcPr>
            <w:tcW w:w="1908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МІК протимікроб-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діючих речовин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клінічних штамів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(мкг/мл)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оптична щільність біоплівок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штамів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протимік.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речовиною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мл поживного середовища при висіві з дослідних зразків з протимікроб. речовиною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(поживне середовище + біоплівки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9909B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 ОЩ.)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545 нм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мл поживного середовища при висіві з контрольних зразків без протимікроб. речовин</w:t>
            </w:r>
          </w:p>
        </w:tc>
      </w:tr>
      <w:tr w:rsidR="009909B2" w:rsidRPr="009909B2" w:rsidTr="006727C7">
        <w:tc>
          <w:tcPr>
            <w:tcW w:w="1908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бензоїлперок-сид 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1,0088±0,005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(4,1±0,3)×10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1,0865±0,006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(3,4±0,2)×10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9909B2" w:rsidRPr="009909B2" w:rsidTr="006727C7">
        <w:tc>
          <w:tcPr>
            <w:tcW w:w="1908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тербінафін 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0,0715±0,007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(2,7±0,2)×10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1,0935±0,005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(3,6±0,1)×10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9909B2" w:rsidRPr="009909B2" w:rsidTr="006727C7">
        <w:tc>
          <w:tcPr>
            <w:tcW w:w="1908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бензоїлпероксид 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0,0742±0,007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(3,2±0,2)×10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1,0889±0,002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(3,5±0,1)×10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9909B2" w:rsidRPr="009909B2" w:rsidTr="006727C7">
        <w:trPr>
          <w:trHeight w:val="1384"/>
        </w:trPr>
        <w:tc>
          <w:tcPr>
            <w:tcW w:w="1908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тербінафін + бензоїлперок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 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0,0931±0,012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(2,5±0,1)×10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(1,9±0,2)×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80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1,0984±0,014</w:t>
            </w:r>
          </w:p>
        </w:tc>
        <w:tc>
          <w:tcPr>
            <w:tcW w:w="2160" w:type="dxa"/>
            <w:shd w:val="clear" w:color="auto" w:fill="auto"/>
          </w:tcPr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aureus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(3,5±0,2)×10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С. аlbicans</w:t>
            </w:r>
          </w:p>
          <w:p w:rsidR="009909B2" w:rsidRPr="009909B2" w:rsidRDefault="009909B2" w:rsidP="00990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(3,6±0,1)×10</w:t>
            </w:r>
            <w:r w:rsidRPr="009909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</w:tbl>
    <w:p w:rsidR="009909B2" w:rsidRDefault="009909B2" w:rsidP="009909B2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sz w:val="28"/>
          <w:szCs w:val="28"/>
          <w:lang w:val="uk-UA"/>
        </w:rPr>
        <w:t>Примітка. * – різниця достовірна р&lt;0,05 з контролем; ** – різниця достовірна з контролем та між дією комбінації і окремими діючими речовинами; представлено результати досліджень 3-х повторів.</w:t>
      </w:r>
    </w:p>
    <w:p w:rsidR="009909B2" w:rsidRDefault="009909B2" w:rsidP="009909B2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909B2" w:rsidRDefault="009909B2" w:rsidP="009909B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було встановлено, що комбінація тербінафіну та бензоїлпероксиду мала протимікробну активність відносно біоплівок асоціації </w:t>
      </w:r>
      <w:r w:rsidRPr="009909B2">
        <w:rPr>
          <w:rFonts w:ascii="Times New Roman" w:hAnsi="Times New Roman" w:cs="Times New Roman"/>
          <w:i/>
          <w:sz w:val="28"/>
          <w:szCs w:val="28"/>
          <w:lang w:val="uk-UA"/>
        </w:rPr>
        <w:t>С. аlbicans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909B2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КУО знижувалось у 2 рази)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AF4" w:rsidRDefault="009909B2" w:rsidP="00443AF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результати дослідження узгоджуються з даними джерел літератури і підтверджуються тим, що ті концентрації протимікробних речовин, 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 ефективні відносно планктонних форм, не мають дії у відношенні біоплівок, тому повинні збільшуватись у декілька разів, що можливо здійснити тільки в дослідах </w:t>
      </w:r>
      <w:r w:rsidRPr="009909B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B2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9909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3AF4" w:rsidRDefault="00443AF4" w:rsidP="00443AF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 За результатами проведених досліджень встановлено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, що клінічні ізоляти проявляли більш високу (р&lt;0,05) здатність до формування біоплівок, ніж референтні штами, але найвищими показники біоп</w:t>
      </w:r>
      <w:r w:rsidR="003C2BCB">
        <w:rPr>
          <w:rFonts w:ascii="Times New Roman" w:hAnsi="Times New Roman" w:cs="Times New Roman"/>
          <w:sz w:val="28"/>
          <w:szCs w:val="28"/>
          <w:lang w:val="uk-UA"/>
        </w:rPr>
        <w:t>лівкоутворення були у асоціації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мікроорганізмів </w:t>
      </w:r>
      <w:r w:rsidRPr="00443AF4">
        <w:rPr>
          <w:rFonts w:ascii="Times New Roman" w:hAnsi="Times New Roman" w:cs="Times New Roman"/>
          <w:i/>
          <w:sz w:val="28"/>
          <w:szCs w:val="28"/>
          <w:lang w:val="uk-UA"/>
        </w:rPr>
        <w:t>С. а</w:t>
      </w:r>
      <w:r w:rsidRPr="00443AF4">
        <w:rPr>
          <w:rFonts w:ascii="Times New Roman" w:hAnsi="Times New Roman" w:cs="Times New Roman"/>
          <w:i/>
          <w:sz w:val="28"/>
          <w:szCs w:val="28"/>
        </w:rPr>
        <w:t>lbicans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43A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3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443A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, середня оптична щільність бі</w:t>
      </w:r>
      <w:r w:rsidR="009336F8">
        <w:rPr>
          <w:rFonts w:ascii="Times New Roman" w:hAnsi="Times New Roman" w:cs="Times New Roman"/>
          <w:sz w:val="28"/>
          <w:szCs w:val="28"/>
          <w:lang w:val="uk-UA"/>
        </w:rPr>
        <w:t xml:space="preserve">оплівок складала (1,0892±0,006) </w:t>
      </w:r>
      <w:r w:rsidR="00DE3C56">
        <w:rPr>
          <w:rFonts w:ascii="Times New Roman" w:hAnsi="Times New Roman" w:cs="Times New Roman"/>
          <w:sz w:val="28"/>
          <w:szCs w:val="28"/>
          <w:lang w:val="uk-UA"/>
        </w:rPr>
        <w:t xml:space="preserve">од. 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ОЩ. для клінічних</w:t>
      </w:r>
      <w:r w:rsidR="00DE3C56">
        <w:rPr>
          <w:rFonts w:ascii="Times New Roman" w:hAnsi="Times New Roman" w:cs="Times New Roman"/>
          <w:sz w:val="28"/>
          <w:szCs w:val="28"/>
          <w:lang w:val="uk-UA"/>
        </w:rPr>
        <w:t xml:space="preserve"> ізолятів та (0,0776±0,004) од. 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ОЩ. – для референтних штамів. Вказане є ознакою посилення патогенних властивостей цих мікроорганізмів у консорціумі.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AF4" w:rsidRDefault="00443AF4" w:rsidP="00443AF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дослідження було д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оведено, що комбінація антимікоти</w:t>
      </w:r>
      <w:r>
        <w:rPr>
          <w:rFonts w:ascii="Times New Roman" w:hAnsi="Times New Roman" w:cs="Times New Roman"/>
          <w:sz w:val="28"/>
          <w:szCs w:val="28"/>
          <w:lang w:val="uk-UA"/>
        </w:rPr>
        <w:t>чної речовини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 тербінафіну та антисептика бензоїлпероксиду 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високу 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відносно асоціації </w:t>
      </w:r>
      <w:r w:rsidRPr="00443AF4">
        <w:rPr>
          <w:rFonts w:ascii="Times New Roman" w:hAnsi="Times New Roman" w:cs="Times New Roman"/>
          <w:i/>
          <w:sz w:val="28"/>
          <w:szCs w:val="28"/>
          <w:lang w:val="uk-UA"/>
        </w:rPr>
        <w:t>С. а</w:t>
      </w:r>
      <w:r w:rsidRPr="00443AF4">
        <w:rPr>
          <w:rFonts w:ascii="Times New Roman" w:hAnsi="Times New Roman" w:cs="Times New Roman"/>
          <w:i/>
          <w:sz w:val="28"/>
          <w:szCs w:val="28"/>
          <w:lang w:val="en-US"/>
        </w:rPr>
        <w:t>lbicans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43AF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43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443AF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 xml:space="preserve">, МІК – (1,3±0,09) 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 xml:space="preserve">мкг/мл. Вказана комбінація ефективно діє у відношенні не тільки планктонних форм, а й впливає на мікроорганізми мобілізовані у біоплівках, про що свідчить зниження оптичної щільності </w:t>
      </w:r>
      <w:r w:rsidR="00DE3C56">
        <w:rPr>
          <w:rFonts w:ascii="Times New Roman" w:hAnsi="Times New Roman" w:cs="Times New Roman"/>
          <w:sz w:val="28"/>
          <w:szCs w:val="28"/>
          <w:lang w:val="uk-UA"/>
        </w:rPr>
        <w:t xml:space="preserve">та зменшення КУО </w:t>
      </w:r>
      <w:r w:rsidRPr="00443AF4">
        <w:rPr>
          <w:rFonts w:ascii="Times New Roman" w:hAnsi="Times New Roman" w:cs="Times New Roman"/>
          <w:sz w:val="28"/>
          <w:szCs w:val="28"/>
          <w:lang w:val="uk-UA"/>
        </w:rPr>
        <w:t>останніх.</w:t>
      </w:r>
    </w:p>
    <w:p w:rsidR="009909B2" w:rsidRPr="009909B2" w:rsidRDefault="009909B2" w:rsidP="00443AF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9B2">
        <w:rPr>
          <w:rFonts w:ascii="Times New Roman" w:hAnsi="Times New Roman" w:cs="Times New Roman"/>
          <w:sz w:val="28"/>
          <w:szCs w:val="28"/>
          <w:lang w:val="uk-UA"/>
        </w:rPr>
        <w:t>Узагальнюючи результати дослідження можна сказати, що отримані дані відн</w:t>
      </w:r>
      <w:r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осно комбінованої дії протимікробних речовин </w:t>
      </w:r>
      <w:r w:rsidR="003C2BCB" w:rsidRPr="00443AF4">
        <w:rPr>
          <w:rFonts w:ascii="Times New Roman" w:hAnsi="Times New Roman" w:cs="Times New Roman"/>
          <w:sz w:val="28"/>
          <w:szCs w:val="28"/>
          <w:lang w:val="uk-UA"/>
        </w:rPr>
        <w:t>тербінафіну</w:t>
      </w:r>
      <w:r w:rsidR="003C2BCB"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BC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C2BCB" w:rsidRPr="00443AF4">
        <w:rPr>
          <w:rFonts w:ascii="Times New Roman" w:hAnsi="Times New Roman" w:cs="Times New Roman"/>
          <w:sz w:val="28"/>
          <w:szCs w:val="28"/>
          <w:lang w:val="uk-UA"/>
        </w:rPr>
        <w:t>бензоїлпероксиду</w:t>
      </w:r>
      <w:r w:rsidR="003C2BCB"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BCB">
        <w:rPr>
          <w:rFonts w:ascii="Times New Roman" w:hAnsi="Times New Roman" w:cs="Times New Roman"/>
          <w:sz w:val="28"/>
          <w:szCs w:val="28"/>
          <w:lang w:val="uk-UA"/>
        </w:rPr>
        <w:t>на асоціацію</w:t>
      </w:r>
      <w:r w:rsidRPr="003C2B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</w:t>
      </w:r>
      <w:r w:rsidR="00881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C2BC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909B2">
        <w:rPr>
          <w:rFonts w:ascii="Times New Roman" w:hAnsi="Times New Roman" w:cs="Times New Roman"/>
          <w:i/>
          <w:sz w:val="28"/>
          <w:szCs w:val="28"/>
        </w:rPr>
        <w:t>lbicans</w:t>
      </w:r>
      <w:r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C2BC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C2B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C2BC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909B2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r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 нададуть змогу розширити спектр використання ефективних хіміотерапевтичних засобів, що мають вплив на цих патогенів, та в подальшому можуть бути використані </w:t>
      </w:r>
      <w:r w:rsidR="0088122B"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у приготуванні різних лікарських форм для </w:t>
      </w:r>
      <w:r w:rsidR="003C2BCB">
        <w:rPr>
          <w:rFonts w:ascii="Times New Roman" w:hAnsi="Times New Roman" w:cs="Times New Roman"/>
          <w:sz w:val="28"/>
          <w:szCs w:val="28"/>
          <w:lang w:val="uk-UA"/>
        </w:rPr>
        <w:t>місцевого застосування з метою профілактики або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BCB">
        <w:rPr>
          <w:rFonts w:ascii="Times New Roman" w:hAnsi="Times New Roman" w:cs="Times New Roman"/>
          <w:sz w:val="28"/>
          <w:szCs w:val="28"/>
          <w:lang w:val="uk-UA"/>
        </w:rPr>
        <w:t>лікування гострих і</w:t>
      </w:r>
      <w:r w:rsidR="0088122B"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 затяжних </w:t>
      </w:r>
      <w:r w:rsidR="0088122B">
        <w:rPr>
          <w:rFonts w:ascii="Times New Roman" w:hAnsi="Times New Roman" w:cs="Times New Roman"/>
          <w:sz w:val="28"/>
          <w:szCs w:val="28"/>
          <w:lang w:val="uk-UA"/>
        </w:rPr>
        <w:t xml:space="preserve">гнійно-запальних </w:t>
      </w:r>
      <w:r w:rsidR="0088122B" w:rsidRPr="003C2BCB">
        <w:rPr>
          <w:rFonts w:ascii="Times New Roman" w:hAnsi="Times New Roman" w:cs="Times New Roman"/>
          <w:sz w:val="28"/>
          <w:szCs w:val="28"/>
          <w:lang w:val="uk-UA"/>
        </w:rPr>
        <w:t xml:space="preserve">інфекцій шкіри та підшкірної клітковини. </w:t>
      </w:r>
    </w:p>
    <w:p w:rsidR="00155EFF" w:rsidRPr="009D6F74" w:rsidRDefault="00155EFF" w:rsidP="00443AF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696D" w:rsidRPr="00DC696D" w:rsidRDefault="008048F0" w:rsidP="008048F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</w:t>
      </w:r>
      <w:r w:rsidR="00DC696D" w:rsidRPr="00DC696D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5EFF" w:rsidRPr="00137937" w:rsidRDefault="00155EFF" w:rsidP="008048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37937"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Т. С. Експериментальні дослідження структурно – морфологічних змін та чутливості окремих видів грибів роду </w:t>
      </w:r>
      <w:r w:rsidRPr="00137937">
        <w:rPr>
          <w:rFonts w:ascii="Times New Roman" w:hAnsi="Times New Roman" w:cs="Times New Roman"/>
          <w:sz w:val="28"/>
          <w:szCs w:val="28"/>
          <w:lang w:val="en-US"/>
        </w:rPr>
        <w:t>Candida</w:t>
      </w:r>
      <w:r w:rsidRPr="0013793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137937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системних антимікотиків тріазолового ряду / Т. С. Коновалова, В. І.Степаненко, В. В. Бобир // Укр. журн. дерматол., венерол., косметол. – 2007. – №1. – С. 5–17.</w:t>
      </w:r>
    </w:p>
    <w:p w:rsidR="00155EFF" w:rsidRPr="00137937" w:rsidRDefault="00155EFF" w:rsidP="008048F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37937">
        <w:rPr>
          <w:rFonts w:ascii="Times New Roman" w:hAnsi="Times New Roman" w:cs="Times New Roman"/>
          <w:iCs/>
          <w:sz w:val="28"/>
          <w:szCs w:val="28"/>
        </w:rPr>
        <w:t xml:space="preserve">Мавров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137937">
        <w:rPr>
          <w:rFonts w:ascii="Times New Roman" w:hAnsi="Times New Roman" w:cs="Times New Roman"/>
          <w:iCs/>
          <w:sz w:val="28"/>
          <w:szCs w:val="28"/>
        </w:rPr>
        <w:t>. Биопленки и Quorum sеnsing у микроорганизмов. Механизмы формирования биопленок у грибов рода Сandida / И. И. Мавров, В.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Н. Васильченко, А. П. Белозоров // Дерматологія та венерологія. – 2008. –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Т. </w:t>
      </w:r>
      <w:r w:rsidRPr="00137937">
        <w:rPr>
          <w:rFonts w:ascii="Times New Roman" w:hAnsi="Times New Roman" w:cs="Times New Roman"/>
          <w:iCs/>
          <w:sz w:val="28"/>
          <w:szCs w:val="28"/>
        </w:rPr>
        <w:t>39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137937">
        <w:rPr>
          <w:rFonts w:ascii="Times New Roman" w:hAnsi="Times New Roman" w:cs="Times New Roman"/>
          <w:iCs/>
          <w:sz w:val="28"/>
          <w:szCs w:val="28"/>
        </w:rPr>
        <w:t>№ 1. – С. 40</w:t>
      </w:r>
      <w:r w:rsidRPr="00137937">
        <w:rPr>
          <w:rFonts w:ascii="Times New Roman" w:hAnsi="Times New Roman" w:cs="Times New Roman"/>
          <w:sz w:val="28"/>
          <w:szCs w:val="28"/>
        </w:rPr>
        <w:t>–</w:t>
      </w:r>
      <w:r w:rsidRPr="00137937">
        <w:rPr>
          <w:rFonts w:ascii="Times New Roman" w:hAnsi="Times New Roman" w:cs="Times New Roman"/>
          <w:iCs/>
          <w:sz w:val="28"/>
          <w:szCs w:val="28"/>
        </w:rPr>
        <w:t>43.</w:t>
      </w:r>
    </w:p>
    <w:p w:rsidR="00155EFF" w:rsidRPr="00CE617A" w:rsidRDefault="00155EFF" w:rsidP="008048F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37937">
        <w:rPr>
          <w:rFonts w:ascii="Times New Roman" w:hAnsi="Times New Roman" w:cs="Times New Roman"/>
          <w:iCs/>
          <w:sz w:val="28"/>
          <w:szCs w:val="28"/>
        </w:rPr>
        <w:t>Межклеточная коммуникация у бактерий и перспективы создания на ее основе антибактериальных препаратов нового поколения / А. Я.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37937">
        <w:rPr>
          <w:rFonts w:ascii="Times New Roman" w:hAnsi="Times New Roman" w:cs="Times New Roman"/>
          <w:iCs/>
          <w:sz w:val="28"/>
          <w:szCs w:val="28"/>
        </w:rPr>
        <w:t>Циганенко, Н. И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 Коваленко, С. И.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37937">
        <w:rPr>
          <w:rFonts w:ascii="Times New Roman" w:hAnsi="Times New Roman" w:cs="Times New Roman"/>
          <w:iCs/>
          <w:sz w:val="28"/>
          <w:szCs w:val="28"/>
        </w:rPr>
        <w:t>Степаненко, В. Н. Васильченко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137937">
        <w:rPr>
          <w:rFonts w:ascii="Times New Roman" w:hAnsi="Times New Roman" w:cs="Times New Roman"/>
          <w:iCs/>
          <w:sz w:val="28"/>
          <w:szCs w:val="28"/>
        </w:rPr>
        <w:t>– Харьков : Препринт, 2004. – 31 с.</w:t>
      </w:r>
    </w:p>
    <w:p w:rsidR="00CE617A" w:rsidRPr="00CE617A" w:rsidRDefault="00CE617A" w:rsidP="008048F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E61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Реброва О. Ю. Статистический анализ медицинских данных. Применение пакета прикладных программ </w:t>
      </w:r>
      <w:r w:rsidRPr="00CE61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STATISTICA</w:t>
      </w:r>
      <w:r w:rsidRPr="00CE617A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Pr="00CE61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 Ю. Реброва – М. : МедиаСфера, 2003. – 312 с.</w:t>
      </w:r>
    </w:p>
    <w:p w:rsidR="00155EFF" w:rsidRPr="00137937" w:rsidRDefault="00155EFF" w:rsidP="008048F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37937">
        <w:rPr>
          <w:rFonts w:ascii="Times New Roman" w:hAnsi="Times New Roman" w:cs="Times New Roman"/>
          <w:iCs/>
          <w:sz w:val="28"/>
          <w:szCs w:val="28"/>
        </w:rPr>
        <w:t xml:space="preserve">Романова Ю. М. Способность к формированию биопленок в искусственных системах у различных штамов </w:t>
      </w:r>
      <w:r w:rsidRPr="00137937">
        <w:rPr>
          <w:rFonts w:ascii="Times New Roman" w:hAnsi="Times New Roman" w:cs="Times New Roman"/>
          <w:i/>
          <w:iCs/>
          <w:sz w:val="28"/>
          <w:szCs w:val="28"/>
        </w:rPr>
        <w:t>Salmonella typhimurium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 / Ю. М. Романова, Н. В. Алексеева,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Л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>Гинцбург</w:t>
      </w:r>
      <w:r w:rsidRPr="00137937">
        <w:rPr>
          <w:rFonts w:ascii="Times New Roman" w:hAnsi="Times New Roman" w:cs="Times New Roman"/>
          <w:iCs/>
          <w:sz w:val="28"/>
          <w:szCs w:val="28"/>
        </w:rPr>
        <w:t xml:space="preserve"> // Журнал микробиологии, эпидемиологии и иммунобиологии. – 2006. –</w:t>
      </w:r>
      <w:r w:rsidRPr="001379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37937">
        <w:rPr>
          <w:rFonts w:ascii="Times New Roman" w:hAnsi="Times New Roman" w:cs="Times New Roman"/>
          <w:iCs/>
          <w:sz w:val="28"/>
          <w:szCs w:val="28"/>
        </w:rPr>
        <w:t>№ 4. – С. 38</w:t>
      </w:r>
      <w:r w:rsidRPr="00137937">
        <w:rPr>
          <w:rFonts w:ascii="Times New Roman" w:hAnsi="Times New Roman" w:cs="Times New Roman"/>
          <w:sz w:val="28"/>
          <w:szCs w:val="28"/>
        </w:rPr>
        <w:t>–</w:t>
      </w:r>
      <w:r w:rsidRPr="00137937">
        <w:rPr>
          <w:rFonts w:ascii="Times New Roman" w:hAnsi="Times New Roman" w:cs="Times New Roman"/>
          <w:iCs/>
          <w:sz w:val="28"/>
          <w:szCs w:val="28"/>
        </w:rPr>
        <w:t>42.</w:t>
      </w:r>
    </w:p>
    <w:p w:rsidR="00155EFF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sz w:val="28"/>
          <w:szCs w:val="28"/>
          <w:lang w:val="uk-UA"/>
        </w:rPr>
        <w:t>Чернявский В.</w:t>
      </w:r>
      <w:r w:rsidRPr="008048F0">
        <w:rPr>
          <w:rFonts w:ascii="Times New Roman" w:hAnsi="Times New Roman" w:cs="Times New Roman"/>
          <w:sz w:val="28"/>
          <w:szCs w:val="28"/>
        </w:rPr>
        <w:t xml:space="preserve"> 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И. Бактериальные биопленки и инфекция // Annals of Mechnikov Institute. – 2013. – №1. – С. 86</w:t>
      </w:r>
      <w:r w:rsidRPr="008048F0">
        <w:rPr>
          <w:rFonts w:ascii="Times New Roman" w:hAnsi="Times New Roman" w:cs="Times New Roman"/>
          <w:sz w:val="28"/>
          <w:szCs w:val="28"/>
        </w:rPr>
        <w:t>–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90.</w:t>
      </w:r>
    </w:p>
    <w:p w:rsidR="00155EFF" w:rsidRPr="008048F0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</w:rPr>
        <w:t xml:space="preserve">Эффективность бензоилпероксида на стафилококковую и дрожжевую микрофлору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vitro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Г. Арзуманян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В. Зайцева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 Т.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И. Кабаева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 Н.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А.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 xml:space="preserve">Орлова 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// Экспериментальная и клиническая дерматокосметология. – 2005. – № 6. – С. 20</w:t>
      </w:r>
      <w:r w:rsidRPr="008048F0">
        <w:rPr>
          <w:rFonts w:ascii="Times New Roman" w:hAnsi="Times New Roman" w:cs="Times New Roman"/>
          <w:sz w:val="28"/>
          <w:szCs w:val="28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23.</w:t>
      </w:r>
    </w:p>
    <w:p w:rsidR="00155EFF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sz w:val="28"/>
          <w:szCs w:val="28"/>
          <w:lang w:val="en-US"/>
        </w:rPr>
        <w:t xml:space="preserve">Adam B. Mixed species biofilms of Candida albicans and Staphylococcus epidermidis / B. Adam, G. S. Baillie, L. J. Douglas // J. Med. Microbiol. – 2002. – Vol. 51, 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№ 2. – Р. 334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349.</w:t>
      </w:r>
    </w:p>
    <w:p w:rsidR="00155EFF" w:rsidRPr="008048F0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Amir L. H. The role of microorganisms (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) in the pathogenesis of breast pain and infection in lactating women [</w:t>
      </w:r>
      <w:r w:rsidRPr="008048F0">
        <w:rPr>
          <w:rFonts w:ascii="Times New Roman" w:hAnsi="Times New Roman" w:cs="Times New Roman"/>
          <w:iCs/>
          <w:sz w:val="28"/>
          <w:szCs w:val="28"/>
        </w:rPr>
        <w:t>Електронний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ресурс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] / L. H. Amir, M. Cullinane1 [et </w:t>
      </w:r>
      <w:r w:rsidRPr="008048F0">
        <w:rPr>
          <w:rFonts w:ascii="Times New Roman" w:hAnsi="Times New Roman" w:cs="Times New Roman"/>
          <w:iCs/>
          <w:sz w:val="28"/>
          <w:szCs w:val="28"/>
        </w:rPr>
        <w:t>а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l.] // Pregnancy and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Childbirth. – 2011. – </w:t>
      </w:r>
      <w:r w:rsidRPr="008048F0">
        <w:rPr>
          <w:rFonts w:ascii="Times New Roman" w:hAnsi="Times New Roman" w:cs="Times New Roman"/>
          <w:iCs/>
          <w:sz w:val="28"/>
          <w:szCs w:val="28"/>
        </w:rPr>
        <w:t>Режим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</w:rPr>
        <w:t>доступу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 </w:t>
      </w:r>
      <w:hyperlink r:id="rId8" w:history="1">
        <w:r w:rsidRPr="008048F0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http://www.biomedcentral.com/1471-2393/11/54</w:t>
        </w:r>
      </w:hyperlink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155EFF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sz w:val="28"/>
          <w:szCs w:val="28"/>
          <w:lang w:val="en-US"/>
        </w:rPr>
        <w:t>Donlan R. M. Biofilms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 xml:space="preserve"> survival mechanisms of clinically relevant microorganisms / R. M. Donlan // Clin. Microb. Reviews. – 2002. – Vol. 15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 xml:space="preserve">, № 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 xml:space="preserve"> – P</w:t>
      </w:r>
      <w:r w:rsidRPr="0088122B">
        <w:rPr>
          <w:rFonts w:ascii="Times New Roman" w:hAnsi="Times New Roman" w:cs="Times New Roman"/>
          <w:sz w:val="28"/>
          <w:szCs w:val="28"/>
          <w:lang w:val="en-US"/>
        </w:rPr>
        <w:t>. 167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–193.</w:t>
      </w:r>
      <w:r w:rsidRPr="00804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EFF" w:rsidRPr="008048F0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Efficacy of ethanol against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polymicrobial biofilms / B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M. Petersa, R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M. Warda, H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S. Ranec </w:t>
      </w:r>
      <w:r w:rsidRPr="008048F0">
        <w:rPr>
          <w:rFonts w:ascii="Times New Roman" w:hAnsi="Times New Roman" w:cs="Times New Roman"/>
          <w:iCs/>
          <w:sz w:val="28"/>
          <w:szCs w:val="28"/>
        </w:rPr>
        <w:t>е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 </w:t>
      </w:r>
      <w:r w:rsidRPr="008048F0">
        <w:rPr>
          <w:rFonts w:ascii="Times New Roman" w:hAnsi="Times New Roman" w:cs="Times New Roman"/>
          <w:iCs/>
          <w:sz w:val="28"/>
          <w:szCs w:val="28"/>
        </w:rPr>
        <w:t>а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l.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//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Antimicrob. Agents Chemother. – 2013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№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57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Р.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74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82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55EFF" w:rsidRPr="008048F0" w:rsidRDefault="00155EFF" w:rsidP="008048F0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Harriott M.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 polymicrobial biofilms: effects on antimicrobial resistance / M. Harriott, M. Noverr //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Antimicrob Agents Chemother. – 2009. – Vol. 53, № 9. – </w:t>
      </w:r>
      <w:r w:rsidRPr="008048F0">
        <w:rPr>
          <w:rFonts w:ascii="Times New Roman" w:hAnsi="Times New Roman" w:cs="Times New Roman"/>
          <w:iCs/>
          <w:sz w:val="28"/>
          <w:szCs w:val="28"/>
        </w:rPr>
        <w:t>Р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.3914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22.</w:t>
      </w:r>
    </w:p>
    <w:p w:rsidR="00155EFF" w:rsidRPr="008048F0" w:rsidRDefault="00155EFF" w:rsidP="00155EFF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Harriott M. M. Ability of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mutants to induce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vancomycin resistance during polymicrobial biofilm formation / M. M. Harriott, M. C. Noverr // Antimicrob. Agents Chemother. – 2010. – Vol. 54, № 9. – </w:t>
      </w:r>
      <w:r w:rsidRPr="008048F0">
        <w:rPr>
          <w:rFonts w:ascii="Times New Roman" w:hAnsi="Times New Roman" w:cs="Times New Roman"/>
          <w:iCs/>
          <w:sz w:val="28"/>
          <w:szCs w:val="28"/>
        </w:rPr>
        <w:t>Р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. 3746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55.</w:t>
      </w:r>
    </w:p>
    <w:p w:rsidR="00155EFF" w:rsidRPr="00137937" w:rsidRDefault="00155EFF" w:rsidP="00155EFF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37937">
        <w:rPr>
          <w:rFonts w:ascii="Times New Roman" w:hAnsi="Times New Roman" w:cs="Times New Roman"/>
          <w:sz w:val="28"/>
          <w:szCs w:val="28"/>
          <w:lang w:val="en-US"/>
        </w:rPr>
        <w:t xml:space="preserve">Parsek M. R. Sociomicrobiology: the connections between quorum sensing and biofilms / M. R. Parsek, E. P. Greenberg // Trends Microbiol. – 2005. – Vol. 13, № 1. – </w:t>
      </w:r>
      <w:r w:rsidRPr="00137937">
        <w:rPr>
          <w:rFonts w:ascii="Times New Roman" w:hAnsi="Times New Roman" w:cs="Times New Roman"/>
          <w:sz w:val="28"/>
          <w:szCs w:val="28"/>
        </w:rPr>
        <w:t>Р</w:t>
      </w:r>
      <w:r w:rsidRPr="00137937">
        <w:rPr>
          <w:rFonts w:ascii="Times New Roman" w:hAnsi="Times New Roman" w:cs="Times New Roman"/>
          <w:sz w:val="28"/>
          <w:szCs w:val="28"/>
          <w:lang w:val="en-US"/>
        </w:rPr>
        <w:t>. 27–33.</w:t>
      </w:r>
    </w:p>
    <w:p w:rsidR="00155EFF" w:rsidRDefault="00155EFF" w:rsidP="00155EFF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Peters B.</w:t>
      </w:r>
      <w:r w:rsidRPr="008048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Microbial interactions and differential protein expression in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</w:t>
      </w:r>
      <w:r w:rsidRPr="008048F0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dual-species biofilms / B. M. Peters, M. A. Jabra-Rizk // FEMS immunology and medical microbiology. – 2010. – Vol. 59, № 3. – </w:t>
      </w:r>
      <w:r w:rsidRPr="008048F0">
        <w:rPr>
          <w:rFonts w:ascii="Times New Roman" w:hAnsi="Times New Roman" w:cs="Times New Roman"/>
          <w:iCs/>
          <w:sz w:val="28"/>
          <w:szCs w:val="28"/>
        </w:rPr>
        <w:t>Р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. 493</w:t>
      </w:r>
      <w:r w:rsidRPr="008048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48F0">
        <w:rPr>
          <w:rFonts w:ascii="Times New Roman" w:hAnsi="Times New Roman" w:cs="Times New Roman"/>
          <w:iCs/>
          <w:sz w:val="28"/>
          <w:szCs w:val="28"/>
          <w:lang w:val="en-US"/>
        </w:rPr>
        <w:t>503.</w:t>
      </w:r>
    </w:p>
    <w:p w:rsidR="00155EFF" w:rsidRPr="00155EFF" w:rsidRDefault="00155EFF" w:rsidP="00155EFF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>Peters B</w:t>
      </w:r>
      <w:r w:rsidRPr="00155E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</w:t>
      </w:r>
      <w:r w:rsidRPr="00155EFF">
        <w:rPr>
          <w:rFonts w:ascii="Times New Roman" w:hAnsi="Times New Roman" w:cs="Times New Roman"/>
          <w:i/>
          <w:iCs/>
          <w:sz w:val="28"/>
          <w:szCs w:val="28"/>
          <w:lang w:val="en-US"/>
        </w:rPr>
        <w:t>Staphylococcus aureus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adherence to </w:t>
      </w:r>
      <w:r w:rsidRPr="00155EFF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 albicans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hyphae is mediated by the hyphal adhesin Als3p / B. M. Peters, E. S. Ovchinnikova,</w:t>
      </w:r>
      <w:r w:rsidRPr="00155E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B. P. Krom // Microbiology – 2012. – Vol. 158, № 12. – </w:t>
      </w:r>
      <w:r w:rsidRPr="00155EFF">
        <w:rPr>
          <w:rFonts w:ascii="Times New Roman" w:hAnsi="Times New Roman" w:cs="Times New Roman"/>
          <w:iCs/>
          <w:sz w:val="28"/>
          <w:szCs w:val="28"/>
        </w:rPr>
        <w:t>Р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>. 2975</w:t>
      </w:r>
      <w:r w:rsidRPr="00155E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55EFF">
        <w:rPr>
          <w:rFonts w:ascii="Times New Roman" w:hAnsi="Times New Roman" w:cs="Times New Roman"/>
          <w:iCs/>
          <w:sz w:val="28"/>
          <w:szCs w:val="28"/>
          <w:lang w:val="en-US"/>
        </w:rPr>
        <w:t>86.</w:t>
      </w:r>
    </w:p>
    <w:p w:rsidR="008B71B4" w:rsidRPr="00137937" w:rsidRDefault="008B71B4" w:rsidP="0013793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71B4" w:rsidRPr="00137937" w:rsidSect="00137E6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56" w:rsidRDefault="00EE3156" w:rsidP="00D667EE">
      <w:pPr>
        <w:spacing w:line="240" w:lineRule="auto"/>
      </w:pPr>
      <w:r>
        <w:separator/>
      </w:r>
    </w:p>
  </w:endnote>
  <w:endnote w:type="continuationSeparator" w:id="1">
    <w:p w:rsidR="00EE3156" w:rsidRDefault="00EE3156" w:rsidP="00D6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15" w:rsidRDefault="00632BFF" w:rsidP="00E23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7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015" w:rsidRDefault="00EE3156" w:rsidP="009833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15" w:rsidRDefault="00632BFF" w:rsidP="00E23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71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F5D">
      <w:rPr>
        <w:rStyle w:val="a5"/>
        <w:noProof/>
      </w:rPr>
      <w:t>1</w:t>
    </w:r>
    <w:r>
      <w:rPr>
        <w:rStyle w:val="a5"/>
      </w:rPr>
      <w:fldChar w:fldCharType="end"/>
    </w:r>
  </w:p>
  <w:p w:rsidR="00137E6A" w:rsidRPr="00155EFF" w:rsidRDefault="00137E6A" w:rsidP="0098330E">
    <w:pPr>
      <w:pStyle w:val="a3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56" w:rsidRDefault="00EE3156" w:rsidP="00D667EE">
      <w:pPr>
        <w:spacing w:line="240" w:lineRule="auto"/>
      </w:pPr>
      <w:r>
        <w:separator/>
      </w:r>
    </w:p>
  </w:footnote>
  <w:footnote w:type="continuationSeparator" w:id="1">
    <w:p w:rsidR="00EE3156" w:rsidRDefault="00EE3156" w:rsidP="00D66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EE9"/>
    <w:multiLevelType w:val="hybridMultilevel"/>
    <w:tmpl w:val="767AA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C5E53"/>
    <w:multiLevelType w:val="hybridMultilevel"/>
    <w:tmpl w:val="0F3481D8"/>
    <w:lvl w:ilvl="0" w:tplc="BBDA38D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96D"/>
    <w:rsid w:val="00067003"/>
    <w:rsid w:val="00075B4E"/>
    <w:rsid w:val="000A11AB"/>
    <w:rsid w:val="000A6712"/>
    <w:rsid w:val="000C63D4"/>
    <w:rsid w:val="000D3F5D"/>
    <w:rsid w:val="00137937"/>
    <w:rsid w:val="00137E6A"/>
    <w:rsid w:val="00155EFF"/>
    <w:rsid w:val="0017267B"/>
    <w:rsid w:val="001A3FD4"/>
    <w:rsid w:val="001B7AFC"/>
    <w:rsid w:val="001C0082"/>
    <w:rsid w:val="002025D2"/>
    <w:rsid w:val="002251D5"/>
    <w:rsid w:val="00233C29"/>
    <w:rsid w:val="0027595B"/>
    <w:rsid w:val="002962A0"/>
    <w:rsid w:val="003A2EC6"/>
    <w:rsid w:val="003C2BCB"/>
    <w:rsid w:val="003D3405"/>
    <w:rsid w:val="0044152F"/>
    <w:rsid w:val="00443AF4"/>
    <w:rsid w:val="0048421A"/>
    <w:rsid w:val="004A170F"/>
    <w:rsid w:val="005375CF"/>
    <w:rsid w:val="005D5C57"/>
    <w:rsid w:val="005E168B"/>
    <w:rsid w:val="00632BFF"/>
    <w:rsid w:val="006408C4"/>
    <w:rsid w:val="006808ED"/>
    <w:rsid w:val="006B2418"/>
    <w:rsid w:val="006C79A0"/>
    <w:rsid w:val="00725669"/>
    <w:rsid w:val="007B105C"/>
    <w:rsid w:val="008048F0"/>
    <w:rsid w:val="00811104"/>
    <w:rsid w:val="00872333"/>
    <w:rsid w:val="0087562B"/>
    <w:rsid w:val="0088122B"/>
    <w:rsid w:val="008B71B4"/>
    <w:rsid w:val="008C0F54"/>
    <w:rsid w:val="009336F8"/>
    <w:rsid w:val="00960934"/>
    <w:rsid w:val="0097136E"/>
    <w:rsid w:val="00971DDA"/>
    <w:rsid w:val="009909B2"/>
    <w:rsid w:val="009D6F74"/>
    <w:rsid w:val="00A44040"/>
    <w:rsid w:val="00A54B34"/>
    <w:rsid w:val="00A64500"/>
    <w:rsid w:val="00A84822"/>
    <w:rsid w:val="00AA4208"/>
    <w:rsid w:val="00B15C59"/>
    <w:rsid w:val="00B334DB"/>
    <w:rsid w:val="00BC6177"/>
    <w:rsid w:val="00BD0417"/>
    <w:rsid w:val="00CD1D73"/>
    <w:rsid w:val="00CE617A"/>
    <w:rsid w:val="00D15D01"/>
    <w:rsid w:val="00D6515B"/>
    <w:rsid w:val="00D667EE"/>
    <w:rsid w:val="00D80AD9"/>
    <w:rsid w:val="00DA115F"/>
    <w:rsid w:val="00DC696D"/>
    <w:rsid w:val="00DE3C56"/>
    <w:rsid w:val="00E206BC"/>
    <w:rsid w:val="00E7445F"/>
    <w:rsid w:val="00EA3EF9"/>
    <w:rsid w:val="00EE0F94"/>
    <w:rsid w:val="00EE1132"/>
    <w:rsid w:val="00EE3156"/>
    <w:rsid w:val="00F07C0B"/>
    <w:rsid w:val="00F124F8"/>
    <w:rsid w:val="00F64FD3"/>
    <w:rsid w:val="00F76374"/>
    <w:rsid w:val="00FC1F05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EE"/>
  </w:style>
  <w:style w:type="paragraph" w:styleId="1">
    <w:name w:val="heading 1"/>
    <w:basedOn w:val="a"/>
    <w:next w:val="a"/>
    <w:link w:val="10"/>
    <w:qFormat/>
    <w:rsid w:val="00DC696D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9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footer"/>
    <w:basedOn w:val="a"/>
    <w:link w:val="a4"/>
    <w:rsid w:val="00DC69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69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C696D"/>
  </w:style>
  <w:style w:type="character" w:customStyle="1" w:styleId="longtext">
    <w:name w:val="long_text"/>
    <w:basedOn w:val="a0"/>
    <w:rsid w:val="0048421A"/>
  </w:style>
  <w:style w:type="character" w:customStyle="1" w:styleId="rvts12">
    <w:name w:val="rvts12"/>
    <w:basedOn w:val="a0"/>
    <w:rsid w:val="0048421A"/>
  </w:style>
  <w:style w:type="character" w:styleId="a6">
    <w:name w:val="Hyperlink"/>
    <w:rsid w:val="001379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48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55EF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central.com/1471-2393/11/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25F-7B3C-45BE-A04E-5E4D8C9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Микробиология111</cp:lastModifiedBy>
  <cp:revision>38</cp:revision>
  <dcterms:created xsi:type="dcterms:W3CDTF">2016-12-22T11:47:00Z</dcterms:created>
  <dcterms:modified xsi:type="dcterms:W3CDTF">2017-03-01T12:46:00Z</dcterms:modified>
</cp:coreProperties>
</file>