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Іншина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Є. О.</w:t>
      </w: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МЕТОДИ І ПРИЙОМИ РОЗВИТКУ МОВЛЕННЯ</w:t>
      </w: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Харківський національний медичний університет</w:t>
      </w: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Кафедра української мови, основ психології та педагогіки</w:t>
      </w: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м. Харків, Україна</w:t>
      </w:r>
    </w:p>
    <w:p w:rsidR="00E0619D" w:rsidRDefault="00E0619D" w:rsidP="00E0619D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Науковий керівник: доц., к.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філол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наук. Фоміна Л. В.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Мова – необхідна умова існування людського суспільства. Підраховано, що приблизно 70% того часу, коли людина не спить, вона присвячує розмові, слуханню, читанню, письму – чотирьом основним видам мовленнєвої діяльності. Мова є знаряддям для вираження наших уявлень, думок, а також визначенням культури людини.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Головним завданням розвитку мовлення є: виховання звукової культури мовлення, збагачення та активізація словникового запасу людини, формування граматичного ладу мовлення, отримання навичок зв'язного мовлення, за допомогою активізації традиційних і нетрадиційних методів у роботі з розвитку мовлення.</w:t>
      </w:r>
    </w:p>
    <w:p w:rsidR="00E0619D" w:rsidRDefault="00E0619D" w:rsidP="00E0619D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 віці до 6 років активно засвоюється мовлення дитини, розвиваються всі його чинники — фонетична, лексична, граматична. Дитина з добре розвинутим мовленням легко вступає в спілкування з оточуючим його світом. Вона може зрозуміло висловити свої думки, бажання, порадитися з однолітками, батьками. Спілкування виступає тим інструментом культури, який пристосований для розвитку та становлення свідомості особистості, його світосприйняття, для виховання гуманного ставлення до оточуючого її природного, предметного а соціального світу.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E0619D" w:rsidRDefault="00E0619D" w:rsidP="00E0619D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Розвиток мовлення — процес формування мовлення залежності від вікових характеристик людини, пов'язаних з оволодінням засобами як усної, так і письмової мови, що характеризують розвиток навичок комунікації, вербального мислення та літературної творчості.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Методи навчання розвитку мови визначаються як спосіб роботи, що забезпечує придбання формування в дітей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навичок і умінь.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 методиці навчання рідної мови виділяють три групи методів: наочні, словесні та практичні.</w:t>
      </w:r>
    </w:p>
    <w:p w:rsidR="00E0619D" w:rsidRDefault="00E0619D" w:rsidP="00E0619D">
      <w:pPr>
        <w:spacing w:after="0" w:line="360" w:lineRule="auto"/>
        <w:ind w:firstLine="708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Наочні методи поділяються на безпосередні та опосередковані. Ці методи спрямовані на накопичення змісту мови та забезпечують зв'язок двох сигнальних систем.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E0619D" w:rsidRDefault="00E0619D" w:rsidP="00E0619D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Словесні методи застосовуються в основному ті, які пов'язані з художнім словом. При цьому дітям читають художні твори, також використовується заучування напам'ять, переказ, розповідь без опори на наочний матеріал, узагальнююча бесіда.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Практичні методи спрямовані на:</w:t>
      </w:r>
    </w:p>
    <w:p w:rsidR="00E0619D" w:rsidRDefault="00E0619D" w:rsidP="00E061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отримання навичок у дітей застосовувати ці знання на практиці;</w:t>
      </w:r>
    </w:p>
    <w:p w:rsidR="00E0619D" w:rsidRDefault="00E0619D" w:rsidP="00E061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засвоєння та вдосконалення мовленнєвих вмінь і навичок.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практичних методів відносяться різні дидактичні ігри, ігри-інсценізації, хороводні ігри. Основне завдання цих ігор-занять — виховання культури поведінки дітей, також вони збагачують словник, закріплюють навички мовлення.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Прийом розвитку мовлення є основним елементом методу навчання. Методика розвитку мови не має стійкої класифікації прийомів, однак за роллю наочності та емоційності їх можна розподілити на словесні, наочні, ігрові. Такі, як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зразок, повторне промовляння, пояснення, вказівка, словесні вправи, оцінка дитячої мови, запитання, наочні прийоми. Викликають інтерес і підвищують увагу дітей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матеріалу елементи змагання, барвистість, новизна атрибутів, цікавість сюжетів ігор. Ігрові прийоми можуть бути словесними та наочними.</w:t>
      </w:r>
    </w:p>
    <w:p w:rsidR="00E0619D" w:rsidRDefault="00E0619D" w:rsidP="00E061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Висновок. Методи навчання розвитку мови визначаються як спосіб роботи зі дітьми, що забезпечує надбання формування в 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мовних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навичок та умінь. У свою чергу, прийоми, запропонована методика спрямовані на накопичення змісту мови й забезпечення інформаційної та емоційної стабільності; виховання культури поведінки; збагачення словникового запасу; розвиток та закріплення навичок мовлення.</w:t>
      </w: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EF5EC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EF5ECD" w:rsidRDefault="00EF5ECD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Є.О.</w:t>
      </w:r>
    </w:p>
    <w:p w:rsidR="0083617A" w:rsidRDefault="007D675B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 і при</w:t>
      </w:r>
      <w:bookmarkStart w:id="0" w:name="_GoBack"/>
      <w:bookmarkEnd w:id="0"/>
      <w:r w:rsidR="00EF5ECD">
        <w:rPr>
          <w:rFonts w:ascii="Times New Roman" w:hAnsi="Times New Roman" w:cs="Times New Roman"/>
          <w:color w:val="000000"/>
          <w:sz w:val="28"/>
          <w:szCs w:val="28"/>
        </w:rPr>
        <w:t xml:space="preserve">йоми розвитку мовлення </w:t>
      </w:r>
      <w:r w:rsidR="00F122E4">
        <w:rPr>
          <w:rFonts w:ascii="Times New Roman" w:hAnsi="Times New Roman" w:cs="Times New Roman"/>
          <w:color w:val="000000"/>
          <w:sz w:val="28"/>
          <w:szCs w:val="28"/>
        </w:rPr>
        <w:t>………………..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………………С.</w:t>
      </w:r>
      <w:r w:rsidR="00EF5ECD">
        <w:rPr>
          <w:rFonts w:ascii="Times New Roman" w:hAnsi="Times New Roman" w:cs="Times New Roman"/>
          <w:color w:val="000000"/>
          <w:sz w:val="28"/>
          <w:szCs w:val="28"/>
        </w:rPr>
        <w:t>549-550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722646"/>
    <w:rsid w:val="007D675B"/>
    <w:rsid w:val="0083617A"/>
    <w:rsid w:val="00A60870"/>
    <w:rsid w:val="00AC0035"/>
    <w:rsid w:val="00AE02AE"/>
    <w:rsid w:val="00C9036A"/>
    <w:rsid w:val="00E0619D"/>
    <w:rsid w:val="00EF5ECD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0619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3</cp:revision>
  <dcterms:created xsi:type="dcterms:W3CDTF">2017-02-21T13:03:00Z</dcterms:created>
  <dcterms:modified xsi:type="dcterms:W3CDTF">2017-02-21T13:04:00Z</dcterms:modified>
</cp:coreProperties>
</file>