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bookmarkStart w:id="0" w:name="_GoBack"/>
      <w:bookmarkEnd w:id="0"/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40EF4" w:rsidRDefault="00540EF4" w:rsidP="00540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Мудра Є.</w:t>
      </w:r>
      <w:r w:rsidRPr="00540E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</w:p>
    <w:p w:rsidR="00540EF4" w:rsidRDefault="00540EF4" w:rsidP="00540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АСПЕКТИ МІЖКУЛЬТУРНОЇ КОМУНІКАЦІЇ</w:t>
      </w:r>
    </w:p>
    <w:p w:rsidR="00540EF4" w:rsidRDefault="00540EF4" w:rsidP="00540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540EF4" w:rsidRDefault="00540EF4" w:rsidP="00540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української мови, основ психології та педагогіки</w:t>
      </w:r>
    </w:p>
    <w:p w:rsidR="00540EF4" w:rsidRDefault="00540EF4" w:rsidP="00540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26FF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 Харків, Україна</w:t>
      </w:r>
    </w:p>
    <w:p w:rsidR="00540EF4" w:rsidRDefault="00540EF4" w:rsidP="00540E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 – доц.,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>. наук  Калініченко О.</w:t>
      </w:r>
      <w:r w:rsidRPr="00F83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Важливою складовою людського існування є комунікація. До неї належать не тільки обмін інформацією між людьми, а й канали засобів передачі та одержання інформації, культурні знаки тощо. Комунікація – основний спосіб людського спілкування, найактивніша форма людської життєдіяльності. У наш час кожна людина, яка працює в галузі охорони здоров'я, особливо практичної, зустрічається з представниками різних культур, народів, національностей. Тому вивчення аспектів міжкультурної </w:t>
      </w:r>
      <w:proofErr w:type="spellStart"/>
      <w:r>
        <w:rPr>
          <w:rFonts w:ascii="Times New Roman" w:hAnsi="Times New Roman"/>
          <w:sz w:val="28"/>
          <w:szCs w:val="28"/>
        </w:rPr>
        <w:t>комунікаціі</w:t>
      </w:r>
      <w:proofErr w:type="spellEnd"/>
      <w:r>
        <w:rPr>
          <w:rFonts w:ascii="Times New Roman" w:hAnsi="Times New Roman"/>
          <w:sz w:val="28"/>
          <w:szCs w:val="28"/>
        </w:rPr>
        <w:t xml:space="preserve"> є важливою частиною підготовки медичного персоналу.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Залежно від безпосереднього предмета вивчення виокремлюють певні аспекти міжкультурної </w:t>
      </w:r>
      <w:proofErr w:type="spellStart"/>
      <w:r>
        <w:rPr>
          <w:rFonts w:ascii="Times New Roman" w:hAnsi="Times New Roman"/>
          <w:sz w:val="28"/>
          <w:szCs w:val="28"/>
        </w:rPr>
        <w:t>комунікаціі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з головних аспектів міжкультурної комунікації є культурологічний аспект. У міжкультурній комунікації першорядну роль відіграє контактування – «спілкування», діалог або </w:t>
      </w:r>
      <w:proofErr w:type="spellStart"/>
      <w:r>
        <w:rPr>
          <w:rFonts w:ascii="Times New Roman" w:hAnsi="Times New Roman"/>
          <w:sz w:val="28"/>
          <w:szCs w:val="28"/>
        </w:rPr>
        <w:t>полілог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культур. Американський антрополог і лінгвіст Едвард </w:t>
      </w:r>
      <w:proofErr w:type="spellStart"/>
      <w:r>
        <w:rPr>
          <w:rFonts w:ascii="Times New Roman" w:hAnsi="Times New Roman"/>
          <w:sz w:val="28"/>
          <w:szCs w:val="28"/>
        </w:rPr>
        <w:t>Холл</w:t>
      </w:r>
      <w:proofErr w:type="spellEnd"/>
      <w:r>
        <w:rPr>
          <w:rFonts w:ascii="Times New Roman" w:hAnsi="Times New Roman"/>
          <w:sz w:val="28"/>
          <w:szCs w:val="28"/>
        </w:rPr>
        <w:t xml:space="preserve"> вважав, що «культура  сама по собі є комунікацією, а комунікація культурою». Традиції культури бувають непохитні, тому в процесі застосування певних методів діагностики та лікування потрібно толерантно сприймати особливості побуту, вірувань, традицій інших народів. 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Лінгвістичний аспект вивчає </w:t>
      </w:r>
      <w:proofErr w:type="spellStart"/>
      <w:r>
        <w:rPr>
          <w:rFonts w:ascii="Times New Roman" w:hAnsi="Times New Roman"/>
          <w:sz w:val="28"/>
          <w:szCs w:val="28"/>
        </w:rPr>
        <w:t>мовні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відмінності, які можуть впливати на комунікацію між носіями різних мов. Знання певних понять та жестів різних країн та культур значно полегшує розуміння одне одного під час спілкування.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Етичний аспект спрямований на розуміння відмінностей етичних норм, які притаманні різним країнам і націям. До них належать, зокрема, норми моралі, поведінки, міжособистісного спілкування, мовленнєвого етикету тощо. До елементів етикету належить також жестикуляція, яка в медицині повинна бути </w:t>
      </w:r>
      <w:r>
        <w:rPr>
          <w:rFonts w:ascii="Times New Roman" w:hAnsi="Times New Roman"/>
          <w:sz w:val="28"/>
          <w:szCs w:val="28"/>
        </w:rPr>
        <w:lastRenderedPageBreak/>
        <w:t>зведена до мінімуму, або ж зовсім відсутня. Важливим є зовнішній вигляд медичного працівника. Він має бути стриманим, адже є предметом уваги як для співробітників, так і для пацієнтів.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Соціально – комунікативний аспект полягає в прийняті суспільством моделі, норми й правила спілкування, налагодження й підтримання контактів загалом. Так, у спілкуванні медичного працівника з пацієнтом важливо враховувати вікову категорію та професійну належність, манеру спілкування співрозмовника. Але не завжди взаємність у стилях комунікативної поведінки є доречною в практиці медичного працівника. 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Психологічний аспект передбачає вивчення психологічної реакції людей в умовах спілкування з представниками інших держав та етносів. Важливо знайти індивідуальний підхід до кожного з пацієнтів, вивчити та передбачити його реакцію на поставлений діагноз чи ставлення до певного методу лікування. Психологія спілкування є підґрунтям лікування та досягнення найвищого результату – одужання.</w:t>
      </w:r>
    </w:p>
    <w:p w:rsidR="00540EF4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Професійно</w:t>
      </w:r>
      <w:proofErr w:type="spellEnd"/>
      <w:r>
        <w:rPr>
          <w:rFonts w:ascii="Times New Roman" w:hAnsi="Times New Roman"/>
          <w:sz w:val="28"/>
          <w:szCs w:val="28"/>
        </w:rPr>
        <w:t>-прикладний аспект визначає сфери застосування знань з міжкультурної комунікації.</w:t>
      </w:r>
    </w:p>
    <w:p w:rsidR="00540EF4" w:rsidRPr="00016D47" w:rsidRDefault="00540EF4" w:rsidP="00540E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 у медичній практиці ці аспекти взаємопов'язані, накладаються та інтегруються,  відображають знання основ етики, деонтології та спілкування в усій повноті.</w:t>
      </w:r>
    </w:p>
    <w:p w:rsidR="00A60870" w:rsidRDefault="00A60870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AE" w:rsidRDefault="00AE02AE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617A" w:rsidRDefault="00F122E4" w:rsidP="00625CD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540EF4" w:rsidRDefault="00540EF4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Мудра Є.А.</w:t>
      </w:r>
    </w:p>
    <w:p w:rsidR="0083617A" w:rsidRPr="00540EF4" w:rsidRDefault="00540EF4" w:rsidP="00540E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АСПЕКТИ МІЖКУЛЬТУРНОЇ КОМУНІКАЦІЇ……..С.493-494</w:t>
      </w:r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1A2DF9"/>
    <w:rsid w:val="00284BA9"/>
    <w:rsid w:val="003661C4"/>
    <w:rsid w:val="00401B81"/>
    <w:rsid w:val="0042671F"/>
    <w:rsid w:val="00497975"/>
    <w:rsid w:val="004A3209"/>
    <w:rsid w:val="00540EF4"/>
    <w:rsid w:val="00625CDD"/>
    <w:rsid w:val="006F6B14"/>
    <w:rsid w:val="00722646"/>
    <w:rsid w:val="0083617A"/>
    <w:rsid w:val="00A60870"/>
    <w:rsid w:val="00AC0035"/>
    <w:rsid w:val="00AE02AE"/>
    <w:rsid w:val="00C9036A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2017-02-22T11:55:00Z</dcterms:created>
  <dcterms:modified xsi:type="dcterms:W3CDTF">2017-02-22T11:55:00Z</dcterms:modified>
</cp:coreProperties>
</file>