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МІНІСТЕРСТВО ОХОРОНИ ЗДОРОВ’Я УКРАЇНИ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ХАРКІВСЬКИЙ НАЦІОНАЛЬНИЙ МЕДИЧНИЙ УНІВЕРСИТЕТ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ЗБІРНИК ТЕЗ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міжвузівської конференції молодих вчених та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студентів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МЕДИЦИНА ТРЕТЬОГО ТИСЯЧОЛІТТЯ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  <w:t>(</w:t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Харків – 16-17 січня 2017 р.)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6F6B14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 xml:space="preserve">Харків </w:t>
      </w: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–</w:t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 xml:space="preserve"> 2017</w:t>
      </w:r>
    </w:p>
    <w:p w:rsidR="00F16388" w:rsidRDefault="00F16388" w:rsidP="00F16388">
      <w:pPr>
        <w:spacing w:line="240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УДК 61.061.3 (043.2)</w:t>
      </w:r>
      <w:r>
        <w:rPr>
          <w:rFonts w:ascii="TimesNewRomanPSMT" w:hAnsi="TimesNewRomanPSMT"/>
          <w:color w:val="000000"/>
          <w:sz w:val="28"/>
          <w:szCs w:val="28"/>
        </w:rPr>
        <w:br/>
        <w:t>ББК 61 (063)</w:t>
      </w: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Медицина третього тисячоліття: Збірник тез міжвузівської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конференції молодих вчених та студентів (Харків – 16-17 січня 2017 р.)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Харків, 2017. – 600 с.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1446A0" w:rsidRDefault="00F16388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За редакцією професора В.М. ЛІСОВОГО</w:t>
      </w:r>
      <w:r>
        <w:rPr>
          <w:rFonts w:ascii="TimesNewRomanPS-BoldItalicMT" w:hAnsi="TimesNewRomanPS-Bold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Відповідальний за випуск проф. В.В.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М’ясоєдов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  <w:t>Затверджено Вченою радою ХНМУ</w:t>
      </w:r>
      <w:r>
        <w:rPr>
          <w:rFonts w:ascii="TimesNewRomanPSMT" w:hAnsi="TimesNewRomanPSMT"/>
          <w:color w:val="000000"/>
          <w:sz w:val="28"/>
          <w:szCs w:val="28"/>
        </w:rPr>
        <w:br/>
        <w:t>Протокол № 12 від 22 грудня 2016 р.</w:t>
      </w: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122E4" w:rsidRDefault="00F122E4" w:rsidP="00F122E4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Свентозельська</w:t>
      </w:r>
      <w:proofErr w:type="spellEnd"/>
      <w:r>
        <w:rPr>
          <w:sz w:val="28"/>
          <w:szCs w:val="28"/>
          <w:lang w:val="uk-UA"/>
        </w:rPr>
        <w:t xml:space="preserve"> Т. В.</w:t>
      </w:r>
    </w:p>
    <w:p w:rsidR="00F122E4" w:rsidRDefault="00F122E4" w:rsidP="00F122E4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КОМУНІКАТИВНА КОМПЕТЕНТНІСТЬ ЛІКАРЯ</w:t>
      </w:r>
    </w:p>
    <w:p w:rsidR="00F122E4" w:rsidRDefault="00F122E4" w:rsidP="00F122E4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Харківський національний медичний університет</w:t>
      </w:r>
    </w:p>
    <w:p w:rsidR="00F122E4" w:rsidRDefault="00F122E4" w:rsidP="00F122E4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української мови, основ психології та педагогіки</w:t>
      </w:r>
    </w:p>
    <w:p w:rsidR="00F122E4" w:rsidRDefault="00F122E4" w:rsidP="00F122E4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Харків, Україна</w:t>
      </w:r>
    </w:p>
    <w:p w:rsidR="00F122E4" w:rsidRDefault="00F122E4" w:rsidP="00F122E4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Науковий керівник – </w:t>
      </w:r>
      <w:proofErr w:type="spellStart"/>
      <w:r>
        <w:rPr>
          <w:sz w:val="28"/>
          <w:szCs w:val="28"/>
          <w:lang w:val="uk-UA"/>
        </w:rPr>
        <w:t>канд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філол</w:t>
      </w:r>
      <w:proofErr w:type="spellEnd"/>
      <w:r>
        <w:rPr>
          <w:sz w:val="28"/>
          <w:szCs w:val="28"/>
          <w:lang w:val="uk-UA"/>
        </w:rPr>
        <w:t>. наук,</w:t>
      </w:r>
      <w:r>
        <w:rPr>
          <w:sz w:val="28"/>
          <w:szCs w:val="28"/>
        </w:rPr>
        <w:t xml:space="preserve"> </w:t>
      </w:r>
      <w:proofErr w:type="spellStart"/>
      <w:r w:rsidRPr="00F122E4">
        <w:rPr>
          <w:sz w:val="28"/>
          <w:szCs w:val="28"/>
        </w:rPr>
        <w:t>доц</w:t>
      </w:r>
      <w:proofErr w:type="spellEnd"/>
      <w:r>
        <w:rPr>
          <w:sz w:val="28"/>
          <w:szCs w:val="28"/>
          <w:lang w:val="uk-UA"/>
        </w:rPr>
        <w:t xml:space="preserve"> Калініченко О. В.</w:t>
      </w:r>
    </w:p>
    <w:p w:rsidR="00F122E4" w:rsidRDefault="00F122E4" w:rsidP="00F122E4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F122E4" w:rsidRDefault="00F122E4" w:rsidP="00F122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Стати хорошим лікарем, без любові до своєї справи – неможливо, більше того – це велика майстерність. Оскільки лікують пацієнтів не лише використовуючи різні медикаментозні засоби, а й за допомогою слова. Умінням володіти психологією людини та впливом власною особистістю на хворого. Саме це є прямим шляхом до вдалого, правильного лікування та засвідченням про дотримання принципів деонтології. </w:t>
      </w:r>
    </w:p>
    <w:p w:rsidR="00F122E4" w:rsidRDefault="00F122E4" w:rsidP="00F122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Професійна компетентність лікаря визначається: комунікативною, діагностичною, клінічною та профілактичною </w:t>
      </w:r>
      <w:proofErr w:type="spellStart"/>
      <w:r>
        <w:rPr>
          <w:rFonts w:ascii="Times New Roman" w:hAnsi="Times New Roman"/>
          <w:sz w:val="28"/>
          <w:szCs w:val="28"/>
        </w:rPr>
        <w:t>компетентностями</w:t>
      </w:r>
      <w:proofErr w:type="spellEnd"/>
      <w:r>
        <w:rPr>
          <w:rFonts w:ascii="Times New Roman" w:hAnsi="Times New Roman"/>
          <w:sz w:val="28"/>
          <w:szCs w:val="28"/>
        </w:rPr>
        <w:t xml:space="preserve">. Щодо останніх трьох усе </w:t>
      </w:r>
      <w:proofErr w:type="spellStart"/>
      <w:r>
        <w:rPr>
          <w:rFonts w:ascii="Times New Roman" w:hAnsi="Times New Roman"/>
          <w:sz w:val="28"/>
          <w:szCs w:val="28"/>
        </w:rPr>
        <w:t>логічно</w:t>
      </w:r>
      <w:proofErr w:type="spellEnd"/>
      <w:r>
        <w:rPr>
          <w:rFonts w:ascii="Times New Roman" w:hAnsi="Times New Roman"/>
          <w:sz w:val="28"/>
          <w:szCs w:val="28"/>
        </w:rPr>
        <w:t xml:space="preserve"> та зрозуміло, але дехто вважає, що комунікативна компетентність не є важливою для лікаря. Однак, влучне застосування стилів мовлення в різних ситуаціях з різними людьми засвідчить про освіченість; правильно поставлене питання хворому, використання явища антиципації – дасть можливість для швидшої та точнішої діагностики. Тому одними з важливих складових комунікативної компетенції в професії лікаря є: толерантність, спостережливість та </w:t>
      </w:r>
      <w:proofErr w:type="spellStart"/>
      <w:r>
        <w:rPr>
          <w:rFonts w:ascii="Times New Roman" w:hAnsi="Times New Roman"/>
          <w:sz w:val="28"/>
          <w:szCs w:val="28"/>
        </w:rPr>
        <w:t>емпатійність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122E4" w:rsidRDefault="00F122E4" w:rsidP="00F122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Уміння </w:t>
      </w:r>
      <w:proofErr w:type="spellStart"/>
      <w:r>
        <w:rPr>
          <w:rFonts w:ascii="Times New Roman" w:hAnsi="Times New Roman"/>
          <w:sz w:val="28"/>
          <w:szCs w:val="28"/>
        </w:rPr>
        <w:t>грамотно</w:t>
      </w:r>
      <w:proofErr w:type="spellEnd"/>
      <w:r>
        <w:rPr>
          <w:rFonts w:ascii="Times New Roman" w:hAnsi="Times New Roman"/>
          <w:sz w:val="28"/>
          <w:szCs w:val="28"/>
        </w:rPr>
        <w:t xml:space="preserve"> користуватися словом – це перша ознака професійності лікаря,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оскільки словом можна лікувати, а можна й убити. Психіатр Є. </w:t>
      </w:r>
      <w:proofErr w:type="spellStart"/>
      <w:r>
        <w:rPr>
          <w:rFonts w:ascii="Times New Roman" w:hAnsi="Times New Roman"/>
          <w:sz w:val="28"/>
          <w:szCs w:val="28"/>
        </w:rPr>
        <w:t>Блейрев</w:t>
      </w:r>
      <w:proofErr w:type="spellEnd"/>
      <w:r>
        <w:rPr>
          <w:rFonts w:ascii="Times New Roman" w:hAnsi="Times New Roman"/>
          <w:sz w:val="28"/>
          <w:szCs w:val="28"/>
        </w:rPr>
        <w:t xml:space="preserve"> виявив, що через недисципліноване та непрофесійне мовлення медичного працівника, хід хвороби може </w:t>
      </w:r>
      <w:proofErr w:type="spellStart"/>
      <w:r>
        <w:rPr>
          <w:rFonts w:ascii="Times New Roman" w:hAnsi="Times New Roman"/>
          <w:sz w:val="28"/>
          <w:szCs w:val="28"/>
        </w:rPr>
        <w:t>ускладнюватись</w:t>
      </w:r>
      <w:proofErr w:type="spellEnd"/>
      <w:r>
        <w:rPr>
          <w:rFonts w:ascii="Times New Roman" w:hAnsi="Times New Roman"/>
          <w:sz w:val="28"/>
          <w:szCs w:val="28"/>
        </w:rPr>
        <w:t>. Це підтверджує робота О. </w:t>
      </w:r>
      <w:proofErr w:type="spellStart"/>
      <w:r>
        <w:rPr>
          <w:rFonts w:ascii="Times New Roman" w:hAnsi="Times New Roman"/>
          <w:sz w:val="28"/>
          <w:szCs w:val="28"/>
        </w:rPr>
        <w:t>Бумке</w:t>
      </w:r>
      <w:proofErr w:type="spellEnd"/>
      <w:r>
        <w:rPr>
          <w:rFonts w:ascii="Times New Roman" w:hAnsi="Times New Roman"/>
          <w:sz w:val="28"/>
          <w:szCs w:val="28"/>
        </w:rPr>
        <w:t xml:space="preserve"> «Лікар як причина душевних розладів», що вийшла друком 1925 р. Після її публікації в медицині почали використовувати термін «ятрогенія», що означає невроз, або психологічне захворювання, що виникає внаслідок поведінки або слів лікаря.  Джерелом ятрогенії може бути мовленнєва безграмотність лікаря та, навіть, найменша двозначність у мовленні така як: «Протягніть ноги» (замість </w:t>
      </w:r>
      <w:r>
        <w:rPr>
          <w:rFonts w:ascii="Times New Roman" w:hAnsi="Times New Roman"/>
          <w:sz w:val="28"/>
          <w:szCs w:val="28"/>
        </w:rPr>
        <w:lastRenderedPageBreak/>
        <w:t xml:space="preserve">«Випряміть ноги»), що може негативно вплинути на підсвідомість пацієнта, а тому й на розвиток хвороби. </w:t>
      </w:r>
    </w:p>
    <w:p w:rsidR="00F122E4" w:rsidRDefault="00F122E4" w:rsidP="00F122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Незалежно від обраної вузької спеціальності, кожен лікар насамперед психолог. Психологічні фактори зумовлюють додаткові підходи до процесу лікування. Доведено, що психологічні розлади пригнічують стан організму, сприяють розвитку </w:t>
      </w:r>
      <w:proofErr w:type="spellStart"/>
      <w:r>
        <w:rPr>
          <w:rFonts w:ascii="Times New Roman" w:hAnsi="Times New Roman"/>
          <w:sz w:val="28"/>
          <w:szCs w:val="28"/>
        </w:rPr>
        <w:t>хвороб</w:t>
      </w:r>
      <w:proofErr w:type="spellEnd"/>
      <w:r>
        <w:rPr>
          <w:rFonts w:ascii="Times New Roman" w:hAnsi="Times New Roman"/>
          <w:sz w:val="28"/>
          <w:szCs w:val="28"/>
        </w:rPr>
        <w:t xml:space="preserve"> та пухлин. Тому на окремих стадіях хвороби знання лікарем психології спілкування пришвидшує вирішення проблем, пошук істинних джерел захворювання та веде до швидшого одужання.</w:t>
      </w:r>
    </w:p>
    <w:p w:rsidR="00F122E4" w:rsidRDefault="00F122E4" w:rsidP="00F122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Саме тому відповідна психологічна підготовка та вміння </w:t>
      </w:r>
      <w:proofErr w:type="spellStart"/>
      <w:r>
        <w:rPr>
          <w:rFonts w:ascii="Times New Roman" w:hAnsi="Times New Roman"/>
          <w:sz w:val="28"/>
          <w:szCs w:val="28"/>
        </w:rPr>
        <w:t>грамотно</w:t>
      </w:r>
      <w:proofErr w:type="spellEnd"/>
      <w:r>
        <w:rPr>
          <w:rFonts w:ascii="Times New Roman" w:hAnsi="Times New Roman"/>
          <w:sz w:val="28"/>
          <w:szCs w:val="28"/>
        </w:rPr>
        <w:t xml:space="preserve"> користуватися мовленням є однією з основ професійного лікаря.</w:t>
      </w: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17A" w:rsidRDefault="0083617A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02AE" w:rsidRDefault="00AE02AE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02AE" w:rsidRDefault="00AE02AE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02AE" w:rsidRDefault="00AE02AE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02AE" w:rsidRDefault="00AE02AE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22E4" w:rsidRDefault="00F122E4" w:rsidP="0083617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22E4" w:rsidRDefault="00F122E4" w:rsidP="0083617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617A" w:rsidRDefault="00F122E4" w:rsidP="0083617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Зміст</w:t>
      </w:r>
    </w:p>
    <w:p w:rsidR="00F122E4" w:rsidRDefault="00F122E4" w:rsidP="00F122E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22E4">
        <w:rPr>
          <w:rFonts w:ascii="Times New Roman" w:hAnsi="Times New Roman" w:cs="Times New Roman"/>
          <w:color w:val="000000"/>
          <w:sz w:val="28"/>
          <w:szCs w:val="28"/>
        </w:rPr>
        <w:t>Свентозельська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Т.В.</w:t>
      </w:r>
    </w:p>
    <w:p w:rsidR="0083617A" w:rsidRDefault="00F122E4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Комінікативна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компетентність лікаря………………..</w:t>
      </w:r>
      <w:r w:rsidR="004A3209">
        <w:rPr>
          <w:rFonts w:ascii="Times New Roman" w:hAnsi="Times New Roman" w:cs="Times New Roman"/>
          <w:color w:val="000000"/>
          <w:sz w:val="28"/>
          <w:szCs w:val="28"/>
        </w:rPr>
        <w:t>………………С.</w:t>
      </w:r>
      <w:r>
        <w:rPr>
          <w:rFonts w:ascii="Times New Roman" w:hAnsi="Times New Roman" w:cs="Times New Roman"/>
          <w:color w:val="000000"/>
          <w:sz w:val="28"/>
          <w:szCs w:val="28"/>
        </w:rPr>
        <w:t>565-566</w:t>
      </w:r>
    </w:p>
    <w:p w:rsidR="0083617A" w:rsidRPr="0083617A" w:rsidRDefault="0083617A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Pr="0083617A" w:rsidRDefault="00497975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Pr="0083617A" w:rsidRDefault="00497975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Pr="001446A0" w:rsidRDefault="00FA25C3" w:rsidP="00FA25C3">
      <w:pPr>
        <w:spacing w:line="360" w:lineRule="auto"/>
        <w:jc w:val="both"/>
        <w:rPr>
          <w:sz w:val="36"/>
          <w:szCs w:val="36"/>
        </w:rPr>
      </w:pPr>
    </w:p>
    <w:p w:rsidR="00FA25C3" w:rsidRPr="001446A0" w:rsidRDefault="00FA25C3" w:rsidP="00FA25C3">
      <w:pPr>
        <w:spacing w:line="360" w:lineRule="auto"/>
        <w:jc w:val="both"/>
        <w:rPr>
          <w:sz w:val="36"/>
          <w:szCs w:val="36"/>
        </w:rPr>
      </w:pPr>
    </w:p>
    <w:sectPr w:rsidR="00FA25C3" w:rsidRPr="001446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A0"/>
    <w:rsid w:val="00131C08"/>
    <w:rsid w:val="001446A0"/>
    <w:rsid w:val="00284BA9"/>
    <w:rsid w:val="00401B81"/>
    <w:rsid w:val="00497975"/>
    <w:rsid w:val="004A3209"/>
    <w:rsid w:val="006F6B14"/>
    <w:rsid w:val="0083617A"/>
    <w:rsid w:val="00A60870"/>
    <w:rsid w:val="00AC0035"/>
    <w:rsid w:val="00AE02AE"/>
    <w:rsid w:val="00F122E4"/>
    <w:rsid w:val="00F16388"/>
    <w:rsid w:val="00FA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2E132-035A-4A03-B704-E5CDED07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02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2085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Инна</dc:creator>
  <cp:keywords/>
  <dc:description/>
  <cp:lastModifiedBy>Пархоменко Инна</cp:lastModifiedBy>
  <cp:revision>2</cp:revision>
  <dcterms:created xsi:type="dcterms:W3CDTF">2017-02-16T09:01:00Z</dcterms:created>
  <dcterms:modified xsi:type="dcterms:W3CDTF">2017-02-16T09:01:00Z</dcterms:modified>
</cp:coreProperties>
</file>