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0F" w:rsidRP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BA2F2F">
        <w:rPr>
          <w:rFonts w:ascii="Arial" w:hAnsi="Arial" w:cs="Arial"/>
          <w:b/>
          <w:sz w:val="20"/>
          <w:szCs w:val="20"/>
          <w:lang w:val="uk-UA"/>
        </w:rPr>
        <w:t>МІНІСТЕРСТВО ОХОРОНИ ЗДОРОВ’Я УКРАЇНИ</w:t>
      </w:r>
    </w:p>
    <w:p w:rsidR="00E8605C" w:rsidRP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BA2F2F">
        <w:rPr>
          <w:rFonts w:ascii="Arial" w:hAnsi="Arial" w:cs="Arial"/>
          <w:b/>
          <w:sz w:val="20"/>
          <w:szCs w:val="20"/>
          <w:lang w:val="uk-UA"/>
        </w:rPr>
        <w:t xml:space="preserve">УКРАЇНСЬКИЙ ЦЕНТР НАУКОВОЇ МЕДИЧНОЇ ІНФОРМАЦІЇ </w:t>
      </w:r>
    </w:p>
    <w:p w:rsidR="00E8605C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BA2F2F">
        <w:rPr>
          <w:rFonts w:ascii="Arial" w:hAnsi="Arial" w:cs="Arial"/>
          <w:b/>
          <w:sz w:val="20"/>
          <w:szCs w:val="20"/>
          <w:lang w:val="uk-UA"/>
        </w:rPr>
        <w:t>ТА ПАТЕНТНО-ЛІЦЕНЗІЙНОЇ РОБОТИ</w:t>
      </w: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  <w:sectPr w:rsidR="00BA2F2F" w:rsidSect="00B45F07">
          <w:footerReference w:type="default" r:id="rId9"/>
          <w:type w:val="continuous"/>
          <w:pgSz w:w="8391" w:h="11907" w:code="11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A2F2F" w:rsidRPr="00BA2F2F" w:rsidRDefault="00BA2F2F" w:rsidP="00BA2F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8605C" w:rsidRPr="00BA2F2F" w:rsidRDefault="00E8605C" w:rsidP="00BA2F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38D4" w:rsidRPr="00BA2F2F" w:rsidRDefault="009038D4" w:rsidP="00BA2F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</w:t>
      </w:r>
    </w:p>
    <w:p w:rsidR="009038D4" w:rsidRPr="00BA2F2F" w:rsidRDefault="009038D4" w:rsidP="00BA2F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038D4" w:rsidRPr="00BA2F2F" w:rsidRDefault="009038D4" w:rsidP="00BA2F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038D4" w:rsidRPr="00BA2F2F" w:rsidRDefault="00E8605C" w:rsidP="00BA2F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«УЗГОДЖЕНО»</w:t>
      </w:r>
      <w:r w:rsidR="009038D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0F6A05" w:rsidRPr="00BA2F2F">
        <w:rPr>
          <w:rFonts w:ascii="Times New Roman" w:hAnsi="Times New Roman" w:cs="Times New Roman"/>
          <w:sz w:val="20"/>
          <w:szCs w:val="20"/>
          <w:lang w:val="uk-UA"/>
        </w:rPr>
        <w:t>В. о. д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иректор</w:t>
      </w:r>
      <w:r w:rsidR="000F6A05" w:rsidRPr="00BA2F2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038D4" w:rsidRPr="00BA2F2F">
        <w:rPr>
          <w:rFonts w:ascii="Times New Roman" w:hAnsi="Times New Roman" w:cs="Times New Roman"/>
          <w:sz w:val="20"/>
          <w:szCs w:val="20"/>
          <w:lang w:val="uk-UA"/>
        </w:rPr>
        <w:t>Медичного</w:t>
      </w:r>
    </w:p>
    <w:p w:rsidR="00E8605C" w:rsidRPr="00BA2F2F" w:rsidRDefault="009038D4" w:rsidP="00BA2F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E8605C" w:rsidRPr="00BA2F2F">
        <w:rPr>
          <w:rFonts w:ascii="Times New Roman" w:hAnsi="Times New Roman" w:cs="Times New Roman"/>
          <w:sz w:val="20"/>
          <w:szCs w:val="20"/>
          <w:lang w:val="uk-UA"/>
        </w:rPr>
        <w:t>епартаменту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МОЗ України</w:t>
      </w:r>
    </w:p>
    <w:p w:rsidR="00E8605C" w:rsidRPr="00BA2F2F" w:rsidRDefault="000F6A05" w:rsidP="00BA2F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_________   А. О</w:t>
      </w:r>
      <w:r w:rsidR="009038D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Гаврилюк</w:t>
      </w:r>
    </w:p>
    <w:p w:rsidR="009038D4" w:rsidRPr="00BA2F2F" w:rsidRDefault="00BB4D31" w:rsidP="00BA2F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« </w:t>
      </w:r>
      <w:r w:rsidR="000F6A05" w:rsidRPr="00BA2F2F">
        <w:rPr>
          <w:rFonts w:ascii="Times New Roman" w:hAnsi="Times New Roman" w:cs="Times New Roman"/>
          <w:sz w:val="20"/>
          <w:szCs w:val="20"/>
          <w:lang w:val="uk-UA"/>
        </w:rPr>
        <w:t>23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»     </w:t>
      </w:r>
      <w:r w:rsidR="000F6A05" w:rsidRPr="00BA2F2F">
        <w:rPr>
          <w:rFonts w:ascii="Times New Roman" w:hAnsi="Times New Roman" w:cs="Times New Roman"/>
          <w:sz w:val="20"/>
          <w:szCs w:val="20"/>
          <w:lang w:val="uk-UA"/>
        </w:rPr>
        <w:t>12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="00E8605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038D4" w:rsidRPr="00BA2F2F">
        <w:rPr>
          <w:rFonts w:ascii="Times New Roman" w:hAnsi="Times New Roman" w:cs="Times New Roman"/>
          <w:sz w:val="20"/>
          <w:szCs w:val="20"/>
          <w:lang w:val="uk-UA"/>
        </w:rPr>
        <w:t>2016 р.</w:t>
      </w:r>
    </w:p>
    <w:p w:rsidR="00104094" w:rsidRPr="00BA2F2F" w:rsidRDefault="00104094" w:rsidP="00BA2F2F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val="uk-UA"/>
        </w:rPr>
      </w:pPr>
    </w:p>
    <w:p w:rsidR="00104094" w:rsidRPr="00BA2F2F" w:rsidRDefault="00104094" w:rsidP="00BA2F2F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104094" w:rsidRPr="00BA2F2F" w:rsidRDefault="00104094" w:rsidP="00BA2F2F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val="uk-UA"/>
        </w:rPr>
      </w:pPr>
    </w:p>
    <w:p w:rsidR="00104094" w:rsidRPr="00BA2F2F" w:rsidRDefault="00104094" w:rsidP="00BA2F2F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  <w:lang w:val="uk-UA"/>
        </w:rPr>
        <w:sectPr w:rsidR="00104094" w:rsidRPr="00BA2F2F" w:rsidSect="00B45F07">
          <w:type w:val="continuous"/>
          <w:pgSz w:w="8391" w:h="11907" w:code="11"/>
          <w:pgMar w:top="1134" w:right="851" w:bottom="1134" w:left="1134" w:header="709" w:footer="709" w:gutter="0"/>
          <w:cols w:num="2" w:space="708"/>
          <w:titlePg/>
          <w:docGrid w:linePitch="360"/>
        </w:sectPr>
      </w:pPr>
    </w:p>
    <w:p w:rsidR="00E8605C" w:rsidRPr="00BA2F2F" w:rsidRDefault="00E8605C" w:rsidP="00BA2F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655C1" w:rsidRPr="00BA2F2F" w:rsidRDefault="00C25680" w:rsidP="00BA2F2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uk-UA"/>
        </w:rPr>
      </w:pPr>
      <w:r w:rsidRPr="00BA2F2F">
        <w:rPr>
          <w:rFonts w:ascii="Arial" w:hAnsi="Arial" w:cs="Arial"/>
          <w:b/>
          <w:sz w:val="24"/>
          <w:szCs w:val="20"/>
          <w:lang w:val="uk-UA"/>
        </w:rPr>
        <w:t xml:space="preserve">КОМПЛЕКСНЕ ЛІКУВАННЯ </w:t>
      </w:r>
      <w:r w:rsidR="001D7922" w:rsidRPr="00BA2F2F">
        <w:rPr>
          <w:rFonts w:ascii="Arial" w:hAnsi="Arial" w:cs="Arial"/>
          <w:b/>
          <w:sz w:val="24"/>
          <w:szCs w:val="20"/>
          <w:lang w:val="uk-UA"/>
        </w:rPr>
        <w:t>УРОГЕНІТАЛЬНИХ</w:t>
      </w:r>
      <w:r w:rsidRPr="00BA2F2F">
        <w:rPr>
          <w:rFonts w:ascii="Arial" w:hAnsi="Arial" w:cs="Arial"/>
          <w:b/>
          <w:sz w:val="24"/>
          <w:szCs w:val="20"/>
          <w:lang w:val="uk-UA"/>
        </w:rPr>
        <w:t xml:space="preserve"> МІКСТ</w:t>
      </w:r>
      <w:r w:rsidR="00AF5963" w:rsidRPr="00BA2F2F">
        <w:rPr>
          <w:rFonts w:ascii="Arial" w:hAnsi="Arial" w:cs="Arial"/>
          <w:b/>
          <w:sz w:val="24"/>
          <w:szCs w:val="20"/>
          <w:lang w:val="uk-UA"/>
        </w:rPr>
        <w:t>-</w:t>
      </w:r>
      <w:r w:rsidR="001D7922" w:rsidRPr="00BA2F2F">
        <w:rPr>
          <w:rFonts w:ascii="Arial" w:hAnsi="Arial" w:cs="Arial"/>
          <w:b/>
          <w:sz w:val="24"/>
          <w:szCs w:val="20"/>
          <w:lang w:val="uk-UA"/>
        </w:rPr>
        <w:t xml:space="preserve">ІНФЕКЦІЙ (ХЛАМІДІОЗ, ТРИХОМОНОЗ, МІКОПЛАЗМОЗ, ГЕРПЕС) </w:t>
      </w:r>
    </w:p>
    <w:p w:rsidR="00E8605C" w:rsidRDefault="00391734" w:rsidP="00BA2F2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uk-UA"/>
        </w:rPr>
      </w:pPr>
      <w:r w:rsidRPr="00BA2F2F">
        <w:rPr>
          <w:rFonts w:ascii="Arial" w:hAnsi="Arial" w:cs="Arial"/>
          <w:b/>
          <w:sz w:val="24"/>
          <w:szCs w:val="20"/>
          <w:lang w:val="uk-UA"/>
        </w:rPr>
        <w:t xml:space="preserve">З ВИКОРИСТАННЯМ ФАРМАКОЛОГІЧНИХ ТА НЕФАРМАКОЛОГІЧНИХ </w:t>
      </w:r>
      <w:r w:rsidR="003B5F43" w:rsidRPr="00BA2F2F">
        <w:rPr>
          <w:rFonts w:ascii="Arial" w:hAnsi="Arial" w:cs="Arial"/>
          <w:b/>
          <w:sz w:val="24"/>
          <w:szCs w:val="20"/>
          <w:lang w:val="uk-UA"/>
        </w:rPr>
        <w:t>ЗАСОБІВ</w:t>
      </w:r>
    </w:p>
    <w:p w:rsid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uk-UA"/>
        </w:rPr>
      </w:pPr>
    </w:p>
    <w:p w:rsidR="00BA2F2F" w:rsidRPr="00BA2F2F" w:rsidRDefault="00BA2F2F" w:rsidP="00BA2F2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uk-UA"/>
        </w:rPr>
      </w:pPr>
    </w:p>
    <w:p w:rsidR="00124936" w:rsidRPr="00BA2F2F" w:rsidRDefault="009038D4" w:rsidP="00BA2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b/>
          <w:sz w:val="20"/>
          <w:szCs w:val="20"/>
          <w:lang w:val="uk-UA"/>
        </w:rPr>
        <w:t>(м</w:t>
      </w:r>
      <w:r w:rsidR="00124936" w:rsidRPr="00BA2F2F">
        <w:rPr>
          <w:rFonts w:ascii="Times New Roman" w:hAnsi="Times New Roman" w:cs="Times New Roman"/>
          <w:b/>
          <w:sz w:val="20"/>
          <w:szCs w:val="20"/>
          <w:lang w:val="uk-UA"/>
        </w:rPr>
        <w:t>етодичні рекомендації</w:t>
      </w:r>
      <w:r w:rsidRPr="00BA2F2F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</w:p>
    <w:p w:rsidR="000F6A05" w:rsidRPr="00BA2F2F" w:rsidRDefault="000F6A05" w:rsidP="00BA2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F6A05" w:rsidRPr="00BA2F2F" w:rsidRDefault="000F6A05" w:rsidP="00BA2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F6A05" w:rsidRPr="00BA2F2F" w:rsidRDefault="000F6A05" w:rsidP="00BA2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b/>
          <w:sz w:val="20"/>
          <w:szCs w:val="20"/>
          <w:lang w:val="uk-UA"/>
        </w:rPr>
        <w:t>(82.16/284.16)</w:t>
      </w:r>
    </w:p>
    <w:p w:rsidR="00124936" w:rsidRPr="00BA2F2F" w:rsidRDefault="00124936" w:rsidP="00BA2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24936" w:rsidRPr="00BA2F2F" w:rsidRDefault="00124936" w:rsidP="00BA2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24936" w:rsidRPr="00BA2F2F" w:rsidRDefault="00124936" w:rsidP="00BA2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24936" w:rsidRPr="00BA2F2F" w:rsidRDefault="00124936" w:rsidP="00BA2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24936" w:rsidRPr="00BA2F2F" w:rsidRDefault="00124936" w:rsidP="00BA2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24936" w:rsidRPr="00BA2F2F" w:rsidRDefault="00124936" w:rsidP="00BA2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24936" w:rsidRPr="00BA2F2F" w:rsidRDefault="00124936" w:rsidP="00BA2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038D4" w:rsidRPr="00BA2F2F" w:rsidRDefault="00BA2F2F" w:rsidP="00BA2F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Київ</w:t>
      </w:r>
      <w:r w:rsidR="009038D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- </w:t>
      </w:r>
      <w:r w:rsidR="00124936" w:rsidRPr="00BA2F2F">
        <w:rPr>
          <w:rFonts w:ascii="Times New Roman" w:hAnsi="Times New Roman" w:cs="Times New Roman"/>
          <w:sz w:val="20"/>
          <w:szCs w:val="20"/>
          <w:lang w:val="uk-UA"/>
        </w:rPr>
        <w:t>2016</w:t>
      </w:r>
      <w:r w:rsidR="009038D4" w:rsidRPr="00BA2F2F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124936" w:rsidRPr="00BA2F2F" w:rsidRDefault="00124936" w:rsidP="00BA2F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A6EE1" w:rsidRPr="00BA2F2F" w:rsidRDefault="00124936" w:rsidP="00BA2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b/>
          <w:sz w:val="20"/>
          <w:szCs w:val="20"/>
          <w:lang w:val="uk-UA"/>
        </w:rPr>
        <w:t>Установа</w:t>
      </w:r>
      <w:r w:rsidR="001E31B7" w:rsidRPr="00BA2F2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0F7DD9" w:rsidRPr="00BA2F2F">
        <w:rPr>
          <w:rFonts w:ascii="Times New Roman" w:hAnsi="Times New Roman" w:cs="Times New Roman"/>
          <w:b/>
          <w:sz w:val="20"/>
          <w:szCs w:val="20"/>
          <w:lang w:val="uk-UA"/>
        </w:rPr>
        <w:t>розробник</w:t>
      </w:r>
      <w:r w:rsidRPr="00BA2F2F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124936" w:rsidRPr="00BA2F2F" w:rsidRDefault="00124936" w:rsidP="00A54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Харківський національний медичний університет МОЗ України</w:t>
      </w:r>
    </w:p>
    <w:p w:rsidR="00124936" w:rsidRPr="00BA2F2F" w:rsidRDefault="00124936" w:rsidP="00BA2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24936" w:rsidRPr="00BA2F2F" w:rsidRDefault="00124936" w:rsidP="00BA2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b/>
          <w:sz w:val="20"/>
          <w:szCs w:val="20"/>
          <w:lang w:val="uk-UA"/>
        </w:rPr>
        <w:t>Укладачі:</w:t>
      </w:r>
    </w:p>
    <w:p w:rsidR="001E31B7" w:rsidRPr="00BA2F2F" w:rsidRDefault="001E31B7" w:rsidP="00BA2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  <w:sectPr w:rsidR="001E31B7" w:rsidRPr="00BA2F2F" w:rsidSect="00B45F07">
          <w:type w:val="continuous"/>
          <w:pgSz w:w="8391" w:h="11907" w:code="11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24936" w:rsidRPr="00BA2F2F" w:rsidRDefault="00124936" w:rsidP="00A54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lastRenderedPageBreak/>
        <w:t>д.мед.н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., проф.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Біловол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47A2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.М. </w:t>
      </w:r>
    </w:p>
    <w:p w:rsidR="00124936" w:rsidRPr="00BA2F2F" w:rsidRDefault="00124936" w:rsidP="00A54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к.мед.н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., доц. Ткаченко С.Г. </w:t>
      </w:r>
    </w:p>
    <w:p w:rsidR="00124936" w:rsidRPr="00BA2F2F" w:rsidRDefault="00124936" w:rsidP="00A54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ас. Берегова А.А. </w:t>
      </w:r>
    </w:p>
    <w:p w:rsidR="001E31B7" w:rsidRPr="00BA2F2F" w:rsidRDefault="001E31B7" w:rsidP="00A54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ас.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Колганова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Н.Л.  </w:t>
      </w:r>
      <w:r w:rsidR="00A547A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1E31B7" w:rsidRPr="00BA2F2F" w:rsidRDefault="001E31B7" w:rsidP="00A54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ас. Ніколаєва В.Б. </w:t>
      </w:r>
    </w:p>
    <w:p w:rsidR="001E31B7" w:rsidRPr="00BA2F2F" w:rsidRDefault="001E31B7" w:rsidP="00A54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ас.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Татузян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Є.Г. </w:t>
      </w:r>
    </w:p>
    <w:p w:rsidR="001E31B7" w:rsidRPr="00BA2F2F" w:rsidRDefault="001E31B7" w:rsidP="00A54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лікар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Лукʼянов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І.</w:t>
      </w:r>
      <w:r w:rsidR="00BF7923" w:rsidRPr="00BA2F2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E31B7" w:rsidRPr="00BA2F2F" w:rsidRDefault="001E31B7" w:rsidP="00574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1E31B7" w:rsidRPr="00BA2F2F" w:rsidRDefault="00A547A2" w:rsidP="00A547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 </w:t>
      </w:r>
      <w:r w:rsidR="001E31B7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(057) 70-63-199 </w:t>
      </w:r>
    </w:p>
    <w:p w:rsidR="001E31B7" w:rsidRPr="00BA2F2F" w:rsidRDefault="00A547A2" w:rsidP="00A547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="001E31B7" w:rsidRPr="00BA2F2F">
        <w:rPr>
          <w:rFonts w:ascii="Times New Roman" w:hAnsi="Times New Roman" w:cs="Times New Roman"/>
          <w:sz w:val="20"/>
          <w:szCs w:val="20"/>
          <w:lang w:val="uk-UA"/>
        </w:rPr>
        <w:t>(057) 70-63-013</w:t>
      </w:r>
    </w:p>
    <w:p w:rsidR="001E31B7" w:rsidRPr="00BA2F2F" w:rsidRDefault="00A547A2" w:rsidP="00A547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="001E31B7" w:rsidRPr="00BA2F2F">
        <w:rPr>
          <w:rFonts w:ascii="Times New Roman" w:hAnsi="Times New Roman" w:cs="Times New Roman"/>
          <w:sz w:val="20"/>
          <w:szCs w:val="20"/>
          <w:lang w:val="uk-UA"/>
        </w:rPr>
        <w:t>(057) 70-63-013</w:t>
      </w:r>
    </w:p>
    <w:p w:rsidR="00124936" w:rsidRPr="00BA2F2F" w:rsidRDefault="00A547A2" w:rsidP="00A547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="00124936" w:rsidRPr="00BA2F2F">
        <w:rPr>
          <w:rFonts w:ascii="Times New Roman" w:hAnsi="Times New Roman" w:cs="Times New Roman"/>
          <w:sz w:val="20"/>
          <w:szCs w:val="20"/>
          <w:lang w:val="uk-UA"/>
        </w:rPr>
        <w:t>(057) 70-63-013</w:t>
      </w:r>
    </w:p>
    <w:p w:rsidR="00124936" w:rsidRPr="00BA2F2F" w:rsidRDefault="00A547A2" w:rsidP="00A547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="00124936" w:rsidRPr="00BA2F2F">
        <w:rPr>
          <w:rFonts w:ascii="Times New Roman" w:hAnsi="Times New Roman" w:cs="Times New Roman"/>
          <w:sz w:val="20"/>
          <w:szCs w:val="20"/>
          <w:lang w:val="uk-UA"/>
        </w:rPr>
        <w:t>(057) 70-63-013</w:t>
      </w:r>
    </w:p>
    <w:p w:rsidR="00124936" w:rsidRPr="00BA2F2F" w:rsidRDefault="00A547A2" w:rsidP="00A547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="00124936" w:rsidRPr="00BA2F2F">
        <w:rPr>
          <w:rFonts w:ascii="Times New Roman" w:hAnsi="Times New Roman" w:cs="Times New Roman"/>
          <w:sz w:val="20"/>
          <w:szCs w:val="20"/>
          <w:lang w:val="uk-UA"/>
        </w:rPr>
        <w:t>(057) 70-63-013</w:t>
      </w:r>
    </w:p>
    <w:p w:rsidR="00124936" w:rsidRPr="00BA2F2F" w:rsidRDefault="00A547A2" w:rsidP="00A547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="00E53C70" w:rsidRPr="00BA2F2F">
        <w:rPr>
          <w:rFonts w:ascii="Times New Roman" w:hAnsi="Times New Roman" w:cs="Times New Roman"/>
          <w:sz w:val="20"/>
          <w:szCs w:val="20"/>
          <w:lang w:val="uk-UA"/>
        </w:rPr>
        <w:t>(057) 72-51-054</w:t>
      </w:r>
    </w:p>
    <w:p w:rsidR="001E31B7" w:rsidRPr="00BA2F2F" w:rsidRDefault="001E31B7" w:rsidP="00574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  <w:sectPr w:rsidR="001E31B7" w:rsidRPr="00BA2F2F" w:rsidSect="00A547A2">
          <w:type w:val="continuous"/>
          <w:pgSz w:w="8391" w:h="11907" w:code="11"/>
          <w:pgMar w:top="1134" w:right="851" w:bottom="1134" w:left="1134" w:header="709" w:footer="709" w:gutter="0"/>
          <w:cols w:num="2" w:space="170"/>
          <w:titlePg/>
          <w:docGrid w:linePitch="360"/>
        </w:sectPr>
      </w:pPr>
    </w:p>
    <w:p w:rsidR="001E31B7" w:rsidRPr="00BA2F2F" w:rsidRDefault="001E31B7" w:rsidP="00574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E31B7" w:rsidRPr="00BA2F2F" w:rsidRDefault="001E31B7" w:rsidP="00BA2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C674F" w:rsidRPr="00BA2F2F" w:rsidRDefault="004C674F" w:rsidP="00BA2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b/>
          <w:sz w:val="20"/>
          <w:szCs w:val="20"/>
          <w:lang w:val="uk-UA"/>
        </w:rPr>
        <w:t>Рецензент:</w:t>
      </w:r>
    </w:p>
    <w:p w:rsidR="00A547A2" w:rsidRDefault="00C560AB" w:rsidP="00A547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b/>
          <w:sz w:val="20"/>
          <w:szCs w:val="20"/>
          <w:lang w:val="uk-UA"/>
        </w:rPr>
        <w:t>Головний позаштатний спеціаліст зі спеціальності</w:t>
      </w:r>
    </w:p>
    <w:p w:rsidR="00A547A2" w:rsidRDefault="00C560AB" w:rsidP="00A547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b/>
          <w:sz w:val="20"/>
          <w:szCs w:val="20"/>
          <w:lang w:val="uk-UA"/>
        </w:rPr>
        <w:t>«</w:t>
      </w:r>
      <w:proofErr w:type="spellStart"/>
      <w:r w:rsidRPr="00BA2F2F">
        <w:rPr>
          <w:rFonts w:ascii="Times New Roman" w:hAnsi="Times New Roman" w:cs="Times New Roman"/>
          <w:b/>
          <w:sz w:val="20"/>
          <w:szCs w:val="20"/>
          <w:lang w:val="uk-UA"/>
        </w:rPr>
        <w:t>Дерматовенерологія</w:t>
      </w:r>
      <w:proofErr w:type="spellEnd"/>
      <w:r w:rsidRPr="00BA2F2F">
        <w:rPr>
          <w:rFonts w:ascii="Times New Roman" w:hAnsi="Times New Roman" w:cs="Times New Roman"/>
          <w:b/>
          <w:sz w:val="20"/>
          <w:szCs w:val="20"/>
          <w:lang w:val="uk-UA"/>
        </w:rPr>
        <w:t xml:space="preserve">» МОЗ України, </w:t>
      </w:r>
      <w:proofErr w:type="spellStart"/>
      <w:r w:rsidRPr="00BA2F2F">
        <w:rPr>
          <w:rFonts w:ascii="Times New Roman" w:hAnsi="Times New Roman" w:cs="Times New Roman"/>
          <w:b/>
          <w:sz w:val="20"/>
          <w:szCs w:val="20"/>
          <w:lang w:val="uk-UA"/>
        </w:rPr>
        <w:t>д.мед.н</w:t>
      </w:r>
      <w:proofErr w:type="spellEnd"/>
      <w:r w:rsidRPr="00BA2F2F">
        <w:rPr>
          <w:rFonts w:ascii="Times New Roman" w:hAnsi="Times New Roman" w:cs="Times New Roman"/>
          <w:b/>
          <w:sz w:val="20"/>
          <w:szCs w:val="20"/>
          <w:lang w:val="uk-UA"/>
        </w:rPr>
        <w:t>., професор</w:t>
      </w:r>
      <w:r w:rsidR="00A547A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C560AB" w:rsidRPr="00BA2F2F" w:rsidRDefault="00C560AB" w:rsidP="00A547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b/>
          <w:sz w:val="20"/>
          <w:szCs w:val="20"/>
          <w:lang w:val="uk-UA"/>
        </w:rPr>
        <w:t>Степаненко В.І.</w:t>
      </w:r>
    </w:p>
    <w:p w:rsidR="004C674F" w:rsidRPr="00BA2F2F" w:rsidRDefault="004C674F" w:rsidP="00574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D58D6" w:rsidRPr="00BA2F2F" w:rsidRDefault="00CD58D6" w:rsidP="00BA2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C674F" w:rsidRPr="00BA2F2F" w:rsidRDefault="004C674F" w:rsidP="00BA2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84A64" w:rsidRPr="00BA2F2F" w:rsidRDefault="00984A64" w:rsidP="00BA2F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ED4CE1" w:rsidRPr="00132039" w:rsidRDefault="00ED4CE1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32039">
        <w:rPr>
          <w:rFonts w:ascii="Arial" w:hAnsi="Arial" w:cs="Arial"/>
          <w:b/>
          <w:sz w:val="20"/>
          <w:szCs w:val="20"/>
          <w:lang w:val="uk-UA"/>
        </w:rPr>
        <w:lastRenderedPageBreak/>
        <w:t>ЗМІСТ</w:t>
      </w:r>
    </w:p>
    <w:p w:rsidR="00D819BF" w:rsidRPr="00BA2F2F" w:rsidRDefault="00D819BF" w:rsidP="00BA2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C75A6" w:rsidRPr="00BA2F2F" w:rsidRDefault="00B45F07" w:rsidP="009525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Перелік умовних скорочень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………………………………………………..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DC75A6" w:rsidRPr="00BA2F2F" w:rsidRDefault="00B45F07" w:rsidP="009525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Вст</w:t>
      </w:r>
      <w:r>
        <w:rPr>
          <w:rFonts w:ascii="Times New Roman" w:hAnsi="Times New Roman" w:cs="Times New Roman"/>
          <w:sz w:val="20"/>
          <w:szCs w:val="20"/>
          <w:lang w:val="uk-UA"/>
        </w:rPr>
        <w:t>уп…………………………………………………………………………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5</w:t>
      </w:r>
    </w:p>
    <w:p w:rsidR="00676971" w:rsidRPr="00BA2F2F" w:rsidRDefault="00B45F07" w:rsidP="009525CF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Логіка та обґрунтування комплексної терапії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урогенітальних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мікст-інфекцій (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трихомоноз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хламідіоз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мікоплазмоз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герпес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) з використанням фармакологічних та нефармакологічних засобів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…………………………..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7</w:t>
      </w:r>
    </w:p>
    <w:p w:rsidR="00676971" w:rsidRPr="00BA2F2F" w:rsidRDefault="00B45F07" w:rsidP="009525CF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Алгоритм проведення комплексної терапії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урогенітальних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мікст-інфекцій (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трихомоноз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хламідіоз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мікоплазмоз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герпес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) з використанням фармакологічних та нефармакологічних засобів.……</w:t>
      </w:r>
      <w:r>
        <w:rPr>
          <w:rFonts w:ascii="Times New Roman" w:hAnsi="Times New Roman" w:cs="Times New Roman"/>
          <w:sz w:val="20"/>
          <w:szCs w:val="20"/>
          <w:lang w:val="uk-UA"/>
        </w:rPr>
        <w:t>………..................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10</w:t>
      </w:r>
    </w:p>
    <w:p w:rsidR="00676971" w:rsidRPr="00BA2F2F" w:rsidRDefault="00B45F07" w:rsidP="009525CF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Вивчення ефективності комплексної терапії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урогенітальних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мікст-інфекцій (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трихомоноз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хламідіоз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мікоплазмоз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герпес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) з використанням фармакологічних та нефармакологічних засобів …</w:t>
      </w:r>
      <w:r>
        <w:rPr>
          <w:rFonts w:ascii="Times New Roman" w:hAnsi="Times New Roman" w:cs="Times New Roman"/>
          <w:sz w:val="20"/>
          <w:szCs w:val="20"/>
          <w:lang w:val="uk-UA"/>
        </w:rPr>
        <w:t>………………………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12</w:t>
      </w:r>
    </w:p>
    <w:p w:rsidR="00676971" w:rsidRPr="00BA2F2F" w:rsidRDefault="00B45F07" w:rsidP="009525CF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Виснов</w:t>
      </w:r>
      <w:r>
        <w:rPr>
          <w:rFonts w:ascii="Times New Roman" w:hAnsi="Times New Roman" w:cs="Times New Roman"/>
          <w:sz w:val="20"/>
          <w:szCs w:val="20"/>
          <w:lang w:val="uk-UA"/>
        </w:rPr>
        <w:t>ки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……..……………………………………………………………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uk-UA"/>
        </w:rPr>
        <w:t>…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17</w:t>
      </w:r>
    </w:p>
    <w:p w:rsidR="00676971" w:rsidRPr="00BA2F2F" w:rsidRDefault="00B45F07" w:rsidP="009525CF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Перелік рекоменд</w:t>
      </w:r>
      <w:r>
        <w:rPr>
          <w:rFonts w:ascii="Times New Roman" w:hAnsi="Times New Roman" w:cs="Times New Roman"/>
          <w:sz w:val="20"/>
          <w:szCs w:val="20"/>
          <w:lang w:val="uk-UA"/>
        </w:rPr>
        <w:t>ованої літератури..………………………………………</w:t>
      </w:r>
      <w:r w:rsidR="00C450D0">
        <w:rPr>
          <w:rFonts w:ascii="Times New Roman" w:hAnsi="Times New Roman" w:cs="Times New Roman"/>
          <w:sz w:val="20"/>
          <w:szCs w:val="20"/>
          <w:lang w:val="uk-UA"/>
        </w:rPr>
        <w:t>18</w:t>
      </w:r>
    </w:p>
    <w:p w:rsidR="00CD58D6" w:rsidRPr="00BA2F2F" w:rsidRDefault="00B45F07" w:rsidP="00BA2F2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622683" w:rsidRPr="00132039" w:rsidRDefault="00CD58D6" w:rsidP="00BA2F2F">
      <w:pPr>
        <w:spacing w:after="0" w:line="240" w:lineRule="auto"/>
        <w:ind w:firstLine="851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32039"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ПЕРЕЛІК УМОВНИХ </w:t>
      </w:r>
      <w:r w:rsidR="00622683" w:rsidRPr="00132039">
        <w:rPr>
          <w:rFonts w:ascii="Arial" w:hAnsi="Arial" w:cs="Arial"/>
          <w:b/>
          <w:sz w:val="20"/>
          <w:szCs w:val="20"/>
          <w:lang w:val="uk-UA"/>
        </w:rPr>
        <w:t xml:space="preserve">СКОРОЧЕНЬ </w:t>
      </w:r>
    </w:p>
    <w:p w:rsidR="00541117" w:rsidRPr="00BA2F2F" w:rsidRDefault="00541117" w:rsidP="00BA2F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22683" w:rsidRPr="00BA2F2F" w:rsidRDefault="00622683" w:rsidP="00952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ВПГ – вірус простого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герпесу</w:t>
      </w:r>
      <w:proofErr w:type="spellEnd"/>
    </w:p>
    <w:p w:rsidR="00622683" w:rsidRPr="00BA2F2F" w:rsidRDefault="00622683" w:rsidP="00952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ВЕБ</w:t>
      </w:r>
      <w:r w:rsidR="005E39D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вірус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Епштейна-Бара</w:t>
      </w:r>
      <w:proofErr w:type="spellEnd"/>
    </w:p>
    <w:p w:rsidR="002F06FC" w:rsidRPr="00BA2F2F" w:rsidRDefault="002F06FC" w:rsidP="00952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BA2F2F">
        <w:rPr>
          <w:rFonts w:ascii="Times New Roman" w:hAnsi="Times New Roman" w:cs="Times New Roman"/>
          <w:sz w:val="20"/>
          <w:szCs w:val="20"/>
        </w:rPr>
        <w:t>РО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вільнорадикальне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окислення</w:t>
      </w:r>
    </w:p>
    <w:p w:rsidR="006E0A80" w:rsidRPr="00BA2F2F" w:rsidRDefault="00D47BC1" w:rsidP="00952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ДНК –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дезоксирибонуклеїнова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кислота</w:t>
      </w:r>
    </w:p>
    <w:p w:rsidR="006E0A80" w:rsidRPr="00BA2F2F" w:rsidRDefault="006E0A80" w:rsidP="00952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ЗАОА – загальна антиоксидантна активність</w:t>
      </w:r>
    </w:p>
    <w:p w:rsidR="00622683" w:rsidRPr="00BA2F2F" w:rsidRDefault="00622683" w:rsidP="00952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ЗПСШ – захворювання, що передаються статевим шляхом</w:t>
      </w:r>
    </w:p>
    <w:p w:rsidR="00622683" w:rsidRPr="00BA2F2F" w:rsidRDefault="00622683" w:rsidP="00952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ІФА –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імуноферментний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аналіз</w:t>
      </w:r>
    </w:p>
    <w:p w:rsidR="002F06FC" w:rsidRPr="00BA2F2F" w:rsidRDefault="002F06FC" w:rsidP="00952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МДА –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малоновий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діальдегід</w:t>
      </w:r>
    </w:p>
    <w:p w:rsidR="00622683" w:rsidRPr="00BA2F2F" w:rsidRDefault="00622683" w:rsidP="00952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ОТ </w:t>
      </w:r>
      <w:r w:rsidR="005E39D9" w:rsidRPr="00BA2F2F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озонотерапія</w:t>
      </w:r>
      <w:proofErr w:type="spellEnd"/>
    </w:p>
    <w:p w:rsidR="00B97C8E" w:rsidRPr="00BA2F2F" w:rsidRDefault="00B97C8E" w:rsidP="00952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НІМЗ –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нітроімідазол</w:t>
      </w:r>
      <w:proofErr w:type="spellEnd"/>
    </w:p>
    <w:p w:rsidR="0017658F" w:rsidRPr="00BA2F2F" w:rsidRDefault="0017658F" w:rsidP="00952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ПЛР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–полімеразно-ланцюгова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реакція</w:t>
      </w:r>
    </w:p>
    <w:p w:rsidR="00622683" w:rsidRPr="00BA2F2F" w:rsidRDefault="00622683" w:rsidP="00952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ПОЛ –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перикисне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окислення ліпідів</w:t>
      </w:r>
    </w:p>
    <w:p w:rsidR="00AB4AF4" w:rsidRPr="00BA2F2F" w:rsidRDefault="00AB4AF4" w:rsidP="00952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ППТ – посил</w:t>
      </w:r>
      <w:r w:rsidR="00BC1CE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ена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протипротозойн</w:t>
      </w:r>
      <w:r w:rsidR="00BC1CE9" w:rsidRPr="00BA2F2F">
        <w:rPr>
          <w:rFonts w:ascii="Times New Roman" w:hAnsi="Times New Roman" w:cs="Times New Roman"/>
          <w:sz w:val="20"/>
          <w:szCs w:val="20"/>
          <w:lang w:val="uk-UA"/>
        </w:rPr>
        <w:t>а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терапі</w:t>
      </w:r>
      <w:r w:rsidR="00BC1CE9" w:rsidRPr="00BA2F2F">
        <w:rPr>
          <w:rFonts w:ascii="Times New Roman" w:hAnsi="Times New Roman" w:cs="Times New Roman"/>
          <w:sz w:val="20"/>
          <w:szCs w:val="20"/>
          <w:lang w:val="uk-UA"/>
        </w:rPr>
        <w:t>я</w:t>
      </w:r>
    </w:p>
    <w:p w:rsidR="005E39D9" w:rsidRPr="00BA2F2F" w:rsidRDefault="005E39D9" w:rsidP="00952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УГІ –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урогенітальна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інфекція</w:t>
      </w:r>
    </w:p>
    <w:p w:rsidR="002858FA" w:rsidRPr="00BA2F2F" w:rsidRDefault="002858FA" w:rsidP="00952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ЦМВ –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цитомегаловірус</w:t>
      </w:r>
      <w:proofErr w:type="spellEnd"/>
    </w:p>
    <w:p w:rsidR="002F06FC" w:rsidRPr="00BA2F2F" w:rsidRDefault="002F06FC" w:rsidP="009525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ШО –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шифові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основи</w:t>
      </w:r>
    </w:p>
    <w:p w:rsidR="00C131B7" w:rsidRPr="00BA2F2F" w:rsidRDefault="00C131B7" w:rsidP="009525CF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925DF2" w:rsidRPr="00132039" w:rsidRDefault="00622683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32039">
        <w:rPr>
          <w:rFonts w:ascii="Arial" w:hAnsi="Arial" w:cs="Arial"/>
          <w:b/>
          <w:sz w:val="20"/>
          <w:szCs w:val="20"/>
          <w:lang w:val="uk-UA"/>
        </w:rPr>
        <w:lastRenderedPageBreak/>
        <w:t>ВСТУП</w:t>
      </w:r>
    </w:p>
    <w:p w:rsidR="009525CF" w:rsidRPr="00BA2F2F" w:rsidRDefault="009525CF" w:rsidP="00BA2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D3D5E" w:rsidRPr="00BA2F2F" w:rsidRDefault="007D7F91" w:rsidP="00A86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На сьогодні основною проблемою охорони </w:t>
      </w:r>
      <w:r w:rsidR="00201CA3" w:rsidRPr="00BA2F2F">
        <w:rPr>
          <w:rFonts w:ascii="Times New Roman" w:hAnsi="Times New Roman" w:cs="Times New Roman"/>
          <w:sz w:val="20"/>
          <w:szCs w:val="20"/>
          <w:lang w:val="uk-UA"/>
        </w:rPr>
        <w:t>здоров’я</w:t>
      </w:r>
      <w:r w:rsidR="006E062D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та збереження генофонду української нації є боротьба з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хворобами, що пе</w:t>
      </w:r>
      <w:r w:rsidR="00F355B9" w:rsidRPr="00BA2F2F">
        <w:rPr>
          <w:rFonts w:ascii="Times New Roman" w:hAnsi="Times New Roman" w:cs="Times New Roman"/>
          <w:sz w:val="20"/>
          <w:szCs w:val="20"/>
          <w:lang w:val="uk-UA"/>
        </w:rPr>
        <w:t>редаються статевим шляхом. Це з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умовлено їх значною поширеністю,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багато</w:t>
      </w:r>
      <w:r w:rsidR="002B799F" w:rsidRPr="00BA2F2F">
        <w:rPr>
          <w:rFonts w:ascii="Times New Roman" w:hAnsi="Times New Roman" w:cs="Times New Roman"/>
          <w:sz w:val="20"/>
          <w:szCs w:val="20"/>
          <w:lang w:val="uk-UA"/>
        </w:rPr>
        <w:t>фокусністю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уражень сечостате</w:t>
      </w:r>
      <w:r w:rsidR="00C32AC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вих органів, </w:t>
      </w:r>
      <w:r w:rsidR="0037442D" w:rsidRPr="00BA2F2F">
        <w:rPr>
          <w:rFonts w:ascii="Times New Roman" w:hAnsi="Times New Roman" w:cs="Times New Roman"/>
          <w:sz w:val="20"/>
          <w:szCs w:val="20"/>
          <w:lang w:val="uk-UA"/>
        </w:rPr>
        <w:t>розвитком</w:t>
      </w:r>
      <w:r w:rsidR="00C32AC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тя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жких ускладнень</w:t>
      </w:r>
      <w:r w:rsidR="0037442D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(безпліддя у 17-22 % подружніх пар, більше 50 % випадків мимовільних абортів та передчасних пологів у вагітних, </w:t>
      </w:r>
      <w:r w:rsidR="00E01D47" w:rsidRPr="00BA2F2F">
        <w:rPr>
          <w:rFonts w:ascii="Times New Roman" w:hAnsi="Times New Roman" w:cs="Times New Roman"/>
          <w:sz w:val="20"/>
          <w:szCs w:val="20"/>
          <w:lang w:val="uk-UA"/>
        </w:rPr>
        <w:t>простатитів</w:t>
      </w:r>
      <w:r w:rsidR="0037442D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у </w:t>
      </w:r>
      <w:r w:rsidR="009525CF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="0037442D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35 % чоловіків, у 16 % – </w:t>
      </w:r>
      <w:proofErr w:type="spellStart"/>
      <w:r w:rsidR="00617C01" w:rsidRPr="00BA2F2F">
        <w:rPr>
          <w:rFonts w:ascii="Times New Roman" w:hAnsi="Times New Roman" w:cs="Times New Roman"/>
          <w:sz w:val="20"/>
          <w:szCs w:val="20"/>
          <w:lang w:val="uk-UA"/>
        </w:rPr>
        <w:t>орхоепідіді</w:t>
      </w:r>
      <w:r w:rsidR="00E01D47" w:rsidRPr="00BA2F2F">
        <w:rPr>
          <w:rFonts w:ascii="Times New Roman" w:hAnsi="Times New Roman" w:cs="Times New Roman"/>
          <w:sz w:val="20"/>
          <w:szCs w:val="20"/>
          <w:lang w:val="uk-UA"/>
        </w:rPr>
        <w:t>мітів</w:t>
      </w:r>
      <w:proofErr w:type="spellEnd"/>
      <w:r w:rsidR="0037442D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у 5 % – </w:t>
      </w:r>
      <w:r w:rsidR="00E01D47" w:rsidRPr="00BA2F2F">
        <w:rPr>
          <w:rFonts w:ascii="Times New Roman" w:hAnsi="Times New Roman" w:cs="Times New Roman"/>
          <w:sz w:val="20"/>
          <w:szCs w:val="20"/>
          <w:lang w:val="uk-UA"/>
        </w:rPr>
        <w:t>циститів</w:t>
      </w:r>
      <w:r w:rsidR="0037442D" w:rsidRPr="00BA2F2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A157C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недостатньою ефективністю проведеної терапії та частими рецидивами захворювань. </w:t>
      </w:r>
      <w:r w:rsidR="006226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Особливо це стосується </w:t>
      </w:r>
      <w:r w:rsidR="00003E5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поєднання </w:t>
      </w:r>
      <w:proofErr w:type="spellStart"/>
      <w:r w:rsidR="00F15210" w:rsidRPr="00BA2F2F">
        <w:rPr>
          <w:rFonts w:ascii="Times New Roman" w:hAnsi="Times New Roman" w:cs="Times New Roman"/>
          <w:sz w:val="20"/>
          <w:szCs w:val="20"/>
          <w:lang w:val="uk-UA"/>
        </w:rPr>
        <w:t>трихомон</w:t>
      </w:r>
      <w:r w:rsidR="00003E52" w:rsidRPr="00BA2F2F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F15210" w:rsidRPr="00BA2F2F">
        <w:rPr>
          <w:rFonts w:ascii="Times New Roman" w:hAnsi="Times New Roman" w:cs="Times New Roman"/>
          <w:sz w:val="20"/>
          <w:szCs w:val="20"/>
          <w:lang w:val="uk-UA"/>
        </w:rPr>
        <w:t>зу</w:t>
      </w:r>
      <w:proofErr w:type="spellEnd"/>
      <w:r w:rsidR="006226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0876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з </w:t>
      </w:r>
      <w:proofErr w:type="spellStart"/>
      <w:r w:rsidR="00F15210" w:rsidRPr="00BA2F2F">
        <w:rPr>
          <w:rFonts w:ascii="Times New Roman" w:hAnsi="Times New Roman" w:cs="Times New Roman"/>
          <w:sz w:val="20"/>
          <w:szCs w:val="20"/>
          <w:lang w:val="uk-UA"/>
        </w:rPr>
        <w:t>хламіді</w:t>
      </w:r>
      <w:r w:rsidR="00DD1B97" w:rsidRPr="00BA2F2F">
        <w:rPr>
          <w:rFonts w:ascii="Times New Roman" w:hAnsi="Times New Roman" w:cs="Times New Roman"/>
          <w:sz w:val="20"/>
          <w:szCs w:val="20"/>
          <w:lang w:val="uk-UA"/>
        </w:rPr>
        <w:t>озом</w:t>
      </w:r>
      <w:proofErr w:type="spellEnd"/>
      <w:r w:rsidR="00DD003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F15210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67,6 %), </w:t>
      </w:r>
      <w:proofErr w:type="spellStart"/>
      <w:r w:rsidR="00490876" w:rsidRPr="00BA2F2F">
        <w:rPr>
          <w:rFonts w:ascii="Times New Roman" w:hAnsi="Times New Roman" w:cs="Times New Roman"/>
          <w:sz w:val="20"/>
          <w:szCs w:val="20"/>
          <w:lang w:val="uk-UA"/>
        </w:rPr>
        <w:t>мікоплазм</w:t>
      </w:r>
      <w:r w:rsidR="00DD1B97" w:rsidRPr="00BA2F2F">
        <w:rPr>
          <w:rFonts w:ascii="Times New Roman" w:hAnsi="Times New Roman" w:cs="Times New Roman"/>
          <w:sz w:val="20"/>
          <w:szCs w:val="20"/>
          <w:lang w:val="uk-UA"/>
        </w:rPr>
        <w:t>озом</w:t>
      </w:r>
      <w:proofErr w:type="spellEnd"/>
      <w:r w:rsidR="00490876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7956AF" w:rsidRPr="00BA2F2F">
        <w:rPr>
          <w:rFonts w:ascii="Times New Roman" w:hAnsi="Times New Roman" w:cs="Times New Roman"/>
          <w:sz w:val="20"/>
          <w:szCs w:val="20"/>
          <w:lang w:val="uk-UA"/>
        </w:rPr>
        <w:t>79</w:t>
      </w:r>
      <w:r w:rsidR="00622683" w:rsidRPr="00BA2F2F">
        <w:rPr>
          <w:rFonts w:ascii="Times New Roman" w:hAnsi="Times New Roman" w:cs="Times New Roman"/>
          <w:sz w:val="20"/>
          <w:szCs w:val="20"/>
          <w:lang w:val="uk-UA"/>
        </w:rPr>
        <w:t>,2 %)</w:t>
      </w:r>
      <w:r w:rsidR="007876F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вірусом простого </w:t>
      </w:r>
      <w:proofErr w:type="spellStart"/>
      <w:r w:rsidR="007876F5" w:rsidRPr="00BA2F2F">
        <w:rPr>
          <w:rFonts w:ascii="Times New Roman" w:hAnsi="Times New Roman" w:cs="Times New Roman"/>
          <w:sz w:val="20"/>
          <w:szCs w:val="20"/>
          <w:lang w:val="uk-UA"/>
        </w:rPr>
        <w:t>герпесу</w:t>
      </w:r>
      <w:proofErr w:type="spellEnd"/>
      <w:r w:rsidR="00DD003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876F5" w:rsidRPr="00BA2F2F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FD3D5E" w:rsidRPr="00BA2F2F">
        <w:rPr>
          <w:rFonts w:ascii="Times New Roman" w:hAnsi="Times New Roman" w:cs="Times New Roman"/>
          <w:sz w:val="20"/>
          <w:szCs w:val="20"/>
          <w:lang w:val="uk-UA"/>
        </w:rPr>
        <w:t>29 %</w:t>
      </w:r>
      <w:r w:rsidR="007876F5" w:rsidRPr="00BA2F2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FD3D5E" w:rsidRPr="00BA2F2F">
        <w:rPr>
          <w:rFonts w:ascii="Times New Roman" w:hAnsi="Times New Roman" w:cs="Times New Roman"/>
          <w:sz w:val="20"/>
          <w:szCs w:val="20"/>
          <w:lang w:val="uk-UA"/>
        </w:rPr>
        <w:t>, що зміню</w:t>
      </w:r>
      <w:r w:rsidR="0037442D" w:rsidRPr="00BA2F2F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="006226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22683" w:rsidRPr="00BA2F2F">
        <w:rPr>
          <w:rFonts w:ascii="Times New Roman" w:hAnsi="Times New Roman" w:cs="Times New Roman"/>
          <w:sz w:val="20"/>
          <w:szCs w:val="20"/>
          <w:lang w:val="uk-UA"/>
        </w:rPr>
        <w:t>реактогенність</w:t>
      </w:r>
      <w:proofErr w:type="spellEnd"/>
      <w:r w:rsidR="006226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організму хворих </w:t>
      </w:r>
      <w:r w:rsidR="007876F5" w:rsidRPr="00BA2F2F">
        <w:rPr>
          <w:rFonts w:ascii="Times New Roman" w:hAnsi="Times New Roman" w:cs="Times New Roman"/>
          <w:sz w:val="20"/>
          <w:szCs w:val="20"/>
          <w:lang w:val="uk-UA"/>
        </w:rPr>
        <w:t>та виклика</w:t>
      </w:r>
      <w:r w:rsidR="005559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є </w:t>
      </w:r>
      <w:r w:rsidR="007876F5" w:rsidRPr="00BA2F2F">
        <w:rPr>
          <w:rFonts w:ascii="Times New Roman" w:hAnsi="Times New Roman" w:cs="Times New Roman"/>
          <w:sz w:val="20"/>
          <w:szCs w:val="20"/>
          <w:lang w:val="uk-UA"/>
        </w:rPr>
        <w:t>порушення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імунітету,</w:t>
      </w:r>
      <w:r w:rsidR="006226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сприяючи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хронізації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процесу</w:t>
      </w:r>
      <w:r w:rsidR="007876F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="007876F5" w:rsidRPr="00BA2F2F">
        <w:rPr>
          <w:rFonts w:ascii="Times New Roman" w:hAnsi="Times New Roman" w:cs="Times New Roman"/>
          <w:sz w:val="20"/>
          <w:szCs w:val="20"/>
          <w:lang w:val="uk-UA"/>
        </w:rPr>
        <w:t>рецидуванню</w:t>
      </w:r>
      <w:proofErr w:type="spellEnd"/>
      <w:r w:rsidR="007876F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захворювання.</w:t>
      </w:r>
      <w:r w:rsidR="005559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7442D" w:rsidRPr="00BA2F2F" w:rsidRDefault="0037442D" w:rsidP="00A86C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Актуальність проблеми зумовлена необхідністю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розробки ефективних методів лікування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урогенітальних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520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мікст-інфекцій, спричинених </w:t>
      </w:r>
      <w:proofErr w:type="spellStart"/>
      <w:r w:rsidR="00295202" w:rsidRPr="00BA2F2F">
        <w:rPr>
          <w:rFonts w:ascii="Times New Roman" w:hAnsi="Times New Roman" w:cs="Times New Roman"/>
          <w:sz w:val="20"/>
          <w:szCs w:val="20"/>
          <w:lang w:val="uk-UA"/>
        </w:rPr>
        <w:t>хламідіями</w:t>
      </w:r>
      <w:proofErr w:type="spellEnd"/>
      <w:r w:rsidR="0029520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555963" w:rsidRPr="00BA2F2F">
        <w:rPr>
          <w:rFonts w:ascii="Times New Roman" w:hAnsi="Times New Roman" w:cs="Times New Roman"/>
          <w:sz w:val="20"/>
          <w:szCs w:val="20"/>
          <w:lang w:val="uk-UA"/>
        </w:rPr>
        <w:t>трихомонадами</w:t>
      </w:r>
      <w:proofErr w:type="spellEnd"/>
      <w:r w:rsidR="005559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мікоплазмами та </w:t>
      </w:r>
      <w:proofErr w:type="spellStart"/>
      <w:r w:rsidR="00555963" w:rsidRPr="00BA2F2F">
        <w:rPr>
          <w:rFonts w:ascii="Times New Roman" w:hAnsi="Times New Roman" w:cs="Times New Roman"/>
          <w:sz w:val="20"/>
          <w:szCs w:val="20"/>
          <w:lang w:val="uk-UA"/>
        </w:rPr>
        <w:t>герпесвірусами</w:t>
      </w:r>
      <w:proofErr w:type="spellEnd"/>
      <w:r w:rsidR="005559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шляхом розробки комплексу фармакологічних та нефармакологічних методів, які </w:t>
      </w:r>
      <w:r w:rsidR="00AC5701" w:rsidRPr="00BA2F2F">
        <w:rPr>
          <w:rFonts w:ascii="Times New Roman" w:hAnsi="Times New Roman" w:cs="Times New Roman"/>
          <w:sz w:val="20"/>
          <w:szCs w:val="20"/>
          <w:lang w:val="uk-UA"/>
        </w:rPr>
        <w:t>забезпечать</w:t>
      </w:r>
      <w:r w:rsidR="005559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санацію</w:t>
      </w:r>
      <w:r w:rsidR="00AC570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організму, попередження розвитку ускладнень та рецидивів захворювання.</w:t>
      </w:r>
    </w:p>
    <w:p w:rsidR="00937275" w:rsidRPr="00BA2F2F" w:rsidRDefault="00A072E4" w:rsidP="00A86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>Вибір підході</w:t>
      </w:r>
      <w:r w:rsidR="008B4C38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в 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>до</w:t>
      </w:r>
      <w:r w:rsidR="008B4C38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проведен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>ня раці</w:t>
      </w:r>
      <w:r w:rsidR="008B4C38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онального 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>та</w:t>
      </w:r>
      <w:r w:rsidR="008B4C38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>ефективного комбінован</w:t>
      </w:r>
      <w:r w:rsidR="008B4C38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>ого л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>ікування</w:t>
      </w:r>
      <w:r w:rsidRPr="00BA2F2F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proofErr w:type="spellStart"/>
      <w:r w:rsidR="00B63A81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>урогенітальних</w:t>
      </w:r>
      <w:proofErr w:type="spellEnd"/>
      <w:r w:rsidR="00B63A81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мікст-інфекцій, спричинених </w:t>
      </w:r>
      <w:proofErr w:type="spellStart"/>
      <w:r w:rsidR="00B63A81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>хламідіями</w:t>
      </w:r>
      <w:proofErr w:type="spellEnd"/>
      <w:r w:rsidR="00B63A81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, </w:t>
      </w:r>
      <w:proofErr w:type="spellStart"/>
      <w:r w:rsidR="00B63A81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>трихомонадами</w:t>
      </w:r>
      <w:proofErr w:type="spellEnd"/>
      <w:r w:rsidR="00B63A81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, мікоплазмами та вірусами </w:t>
      </w:r>
      <w:proofErr w:type="spellStart"/>
      <w:r w:rsidR="00B63A81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>герпетичної</w:t>
      </w:r>
      <w:proofErr w:type="spellEnd"/>
      <w:r w:rsidR="00B63A81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групи</w:t>
      </w:r>
      <w:r w:rsidR="0050243D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>,</w:t>
      </w:r>
      <w:r w:rsidR="00B63A81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зумовлений не тільки їх біологічними властивостями, </w:t>
      </w:r>
      <w:r w:rsidR="008B4C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інвазивні</w:t>
      </w:r>
      <w:r w:rsidR="008B4C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стю</w:t>
      </w:r>
      <w:proofErr w:type="spellEnd"/>
      <w:r w:rsidR="008B4C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, ткан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инним тропізмом, вірулентністю,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антифагоцитарни</w:t>
      </w:r>
      <w:r w:rsidR="008B4C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ми</w:t>
      </w:r>
      <w:proofErr w:type="spellEnd"/>
      <w:r w:rsidR="008B4C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особливостями та</w:t>
      </w:r>
      <w:r w:rsidR="008B4C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токсикогенн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іст</w:t>
      </w:r>
      <w:r w:rsidR="008B4C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ю,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але і відсутністю </w:t>
      </w:r>
      <w:r w:rsidR="00271F31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наукових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даних про взаємодію</w:t>
      </w:r>
      <w:r w:rsidR="00B63A81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патогенних мікроорганізмів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при асоціативному симбіозі.</w:t>
      </w:r>
      <w:r w:rsidR="0016754D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50243D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Відомо, що </w:t>
      </w:r>
      <w:proofErr w:type="spellStart"/>
      <w:r w:rsidR="0050243D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у</w:t>
      </w:r>
      <w:r w:rsidR="0013038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рогенітальні</w:t>
      </w:r>
      <w:proofErr w:type="spellEnd"/>
      <w:r w:rsidR="0013038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13038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трихомонади</w:t>
      </w:r>
      <w:proofErr w:type="spellEnd"/>
      <w:r w:rsidR="0013038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можуть слугувати резервуаром для патогенних мік</w:t>
      </w:r>
      <w:r w:rsidR="00114FD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роорганізмів (</w:t>
      </w:r>
      <w:proofErr w:type="spellStart"/>
      <w:r w:rsidR="00114FD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хламідій</w:t>
      </w:r>
      <w:proofErr w:type="spellEnd"/>
      <w:r w:rsidR="00114FD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, гонококі</w:t>
      </w:r>
      <w:r w:rsidR="0013038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в, мікоплазм та вірусів), що знижує антигенне навантаження на імунну систему макроорганізму та зменшує імунну відповідь на інфекційні фактори. Саме </w:t>
      </w:r>
      <w:proofErr w:type="spellStart"/>
      <w:r w:rsidR="0050243D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резервуюча</w:t>
      </w:r>
      <w:proofErr w:type="spellEnd"/>
      <w:r w:rsidR="0013038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роль </w:t>
      </w:r>
      <w:proofErr w:type="spellStart"/>
      <w:r w:rsidR="0013038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трихомонад</w:t>
      </w:r>
      <w:proofErr w:type="spellEnd"/>
      <w:r w:rsidR="0013038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вважається пріоритетною у розвитку патогенних </w:t>
      </w:r>
      <w:proofErr w:type="spellStart"/>
      <w:r w:rsidR="0013038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мікробіоценозів</w:t>
      </w:r>
      <w:proofErr w:type="spellEnd"/>
      <w:r w:rsidR="0013038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13038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урогенітального</w:t>
      </w:r>
      <w:proofErr w:type="spellEnd"/>
      <w:r w:rsidR="0013038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тракту, що сприяє </w:t>
      </w:r>
      <w:proofErr w:type="spellStart"/>
      <w:r w:rsidR="0013038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персистенції</w:t>
      </w:r>
      <w:proofErr w:type="spellEnd"/>
      <w:r w:rsidR="0013038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297BF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сечостатевої </w:t>
      </w:r>
      <w:r w:rsidR="0013038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мікст-інфекції. </w:t>
      </w:r>
      <w:r w:rsidR="0024297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F15210" w:rsidRPr="00BA2F2F" w:rsidRDefault="00582B25" w:rsidP="00A86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Сьогодні відсутній єдиний підхід в лікувальній тактиці при симбіозі найпростіших з бактері</w:t>
      </w:r>
      <w:r w:rsidR="008B4C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ями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та ві</w:t>
      </w:r>
      <w:r w:rsidR="008B4C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русами,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що слугувало мотивацією до </w:t>
      </w:r>
      <w:r w:rsidR="00F15210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аналізу результатів амбулаторного лікування </w:t>
      </w:r>
      <w:r w:rsidR="004D634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161 пацієнта з </w:t>
      </w:r>
      <w:proofErr w:type="spellStart"/>
      <w:r w:rsidR="004D6344"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урогенітальною</w:t>
      </w:r>
      <w:proofErr w:type="spellEnd"/>
      <w:r w:rsidR="004D634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мікст-інфекцією (</w:t>
      </w:r>
      <w:proofErr w:type="spellStart"/>
      <w:r w:rsidR="004D6344" w:rsidRPr="00BA2F2F">
        <w:rPr>
          <w:rFonts w:ascii="Times New Roman" w:hAnsi="Times New Roman" w:cs="Times New Roman"/>
          <w:sz w:val="20"/>
          <w:szCs w:val="20"/>
          <w:lang w:val="uk-UA"/>
        </w:rPr>
        <w:t>хламідіоз</w:t>
      </w:r>
      <w:proofErr w:type="spellEnd"/>
      <w:r w:rsidR="004D634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94607B" w:rsidRPr="00BA2F2F">
        <w:rPr>
          <w:rFonts w:ascii="Times New Roman" w:hAnsi="Times New Roman" w:cs="Times New Roman"/>
          <w:sz w:val="20"/>
          <w:szCs w:val="20"/>
          <w:lang w:val="uk-UA"/>
        </w:rPr>
        <w:t>трихомо</w:t>
      </w:r>
      <w:r w:rsidR="004D6344" w:rsidRPr="00BA2F2F">
        <w:rPr>
          <w:rFonts w:ascii="Times New Roman" w:hAnsi="Times New Roman" w:cs="Times New Roman"/>
          <w:sz w:val="20"/>
          <w:szCs w:val="20"/>
          <w:lang w:val="uk-UA"/>
        </w:rPr>
        <w:t>ноз</w:t>
      </w:r>
      <w:proofErr w:type="spellEnd"/>
      <w:r w:rsidR="004D634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4D6344" w:rsidRPr="00BA2F2F">
        <w:rPr>
          <w:rFonts w:ascii="Times New Roman" w:hAnsi="Times New Roman" w:cs="Times New Roman"/>
          <w:sz w:val="20"/>
          <w:szCs w:val="20"/>
          <w:lang w:val="uk-UA"/>
        </w:rPr>
        <w:t>мікоплазмоз</w:t>
      </w:r>
      <w:proofErr w:type="spellEnd"/>
      <w:r w:rsidR="004D634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635F78" w:rsidRPr="00BA2F2F">
        <w:rPr>
          <w:rFonts w:ascii="Times New Roman" w:hAnsi="Times New Roman" w:cs="Times New Roman"/>
          <w:sz w:val="20"/>
          <w:szCs w:val="20"/>
          <w:lang w:val="uk-UA"/>
        </w:rPr>
        <w:t>герпес</w:t>
      </w:r>
      <w:proofErr w:type="spellEnd"/>
      <w:r w:rsidR="00635F78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) в рамках теми науково-дослідної роботи кафедри дерматології, венерології та медичної косметології Харківського національного медичного університету «Комплексне лікування інфекційних уретритів з </w:t>
      </w:r>
      <w:r w:rsidR="00635F78" w:rsidRPr="00BA2F2F">
        <w:rPr>
          <w:rFonts w:ascii="Times New Roman" w:hAnsi="Times New Roman" w:cs="Times New Roman"/>
          <w:sz w:val="20"/>
          <w:szCs w:val="20"/>
          <w:lang w:val="uk-UA"/>
        </w:rPr>
        <w:lastRenderedPageBreak/>
        <w:t>використанням фізіотерапевтичних засобів»</w:t>
      </w:r>
      <w:r w:rsidR="009525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35F78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(№ </w:t>
      </w:r>
      <w:proofErr w:type="spellStart"/>
      <w:r w:rsidR="00635F78" w:rsidRPr="00BA2F2F">
        <w:rPr>
          <w:rFonts w:ascii="Times New Roman" w:hAnsi="Times New Roman" w:cs="Times New Roman"/>
          <w:sz w:val="20"/>
          <w:szCs w:val="20"/>
          <w:lang w:val="uk-UA"/>
        </w:rPr>
        <w:t>держреєстрації</w:t>
      </w:r>
      <w:proofErr w:type="spellEnd"/>
      <w:r w:rsidR="00635F78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57657" w:rsidRPr="00BA2F2F">
        <w:rPr>
          <w:rFonts w:ascii="Times New Roman" w:hAnsi="Times New Roman" w:cs="Times New Roman"/>
          <w:sz w:val="20"/>
          <w:szCs w:val="20"/>
          <w:lang w:val="uk-UA"/>
        </w:rPr>
        <w:t>0111</w:t>
      </w:r>
      <w:r w:rsidR="00957657" w:rsidRPr="00BA2F2F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957657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001397, терміни виконання </w:t>
      </w:r>
      <w:r w:rsidR="003F405C" w:rsidRPr="00BA2F2F">
        <w:rPr>
          <w:rFonts w:ascii="Times New Roman" w:hAnsi="Times New Roman" w:cs="Times New Roman"/>
          <w:sz w:val="20"/>
          <w:szCs w:val="20"/>
          <w:lang w:val="uk-UA"/>
        </w:rPr>
        <w:t>2013</w:t>
      </w:r>
      <w:r w:rsidR="00957657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-2015 </w:t>
      </w:r>
      <w:proofErr w:type="spellStart"/>
      <w:r w:rsidR="00957657" w:rsidRPr="00BA2F2F">
        <w:rPr>
          <w:rFonts w:ascii="Times New Roman" w:hAnsi="Times New Roman" w:cs="Times New Roman"/>
          <w:sz w:val="20"/>
          <w:szCs w:val="20"/>
          <w:lang w:val="uk-UA"/>
        </w:rPr>
        <w:t>р.р</w:t>
      </w:r>
      <w:proofErr w:type="spellEnd"/>
      <w:r w:rsidR="00957657" w:rsidRPr="00BA2F2F">
        <w:rPr>
          <w:rFonts w:ascii="Times New Roman" w:hAnsi="Times New Roman" w:cs="Times New Roman"/>
          <w:sz w:val="20"/>
          <w:szCs w:val="20"/>
          <w:lang w:val="uk-UA"/>
        </w:rPr>
        <w:t>.)</w:t>
      </w:r>
      <w:r w:rsidR="00F15210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7D7F91" w:rsidRPr="00BA2F2F" w:rsidRDefault="007D7F91" w:rsidP="00A86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="00A16A30" w:rsidRPr="00BA2F2F">
        <w:rPr>
          <w:rFonts w:ascii="Times New Roman" w:hAnsi="Times New Roman" w:cs="Times New Roman"/>
          <w:sz w:val="20"/>
          <w:szCs w:val="20"/>
          <w:lang w:val="uk-UA"/>
        </w:rPr>
        <w:t>методичних</w:t>
      </w:r>
      <w:r w:rsidR="006226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>екомендаціях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122F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вперше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наведено комплексний метод фармакологічної та нефармакологічної терапії </w:t>
      </w:r>
      <w:proofErr w:type="spellStart"/>
      <w:r w:rsidR="00622683"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</w:t>
      </w:r>
      <w:r w:rsidR="00AF5963" w:rsidRPr="00BA2F2F">
        <w:rPr>
          <w:rFonts w:ascii="Times New Roman" w:hAnsi="Times New Roman" w:cs="Times New Roman"/>
          <w:sz w:val="20"/>
          <w:szCs w:val="20"/>
          <w:lang w:val="uk-UA"/>
        </w:rPr>
        <w:t>их</w:t>
      </w:r>
      <w:proofErr w:type="spellEnd"/>
      <w:r w:rsidR="00AF59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мікст-інфекцій</w:t>
      </w:r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>трихомоноз</w:t>
      </w:r>
      <w:proofErr w:type="spellEnd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>хламідіоз</w:t>
      </w:r>
      <w:proofErr w:type="spellEnd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>мікоплазмоз</w:t>
      </w:r>
      <w:proofErr w:type="spellEnd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>герпес</w:t>
      </w:r>
      <w:proofErr w:type="spellEnd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AF5963" w:rsidRPr="00BA2F2F">
        <w:rPr>
          <w:rFonts w:ascii="Times New Roman" w:hAnsi="Times New Roman" w:cs="Times New Roman"/>
          <w:sz w:val="20"/>
          <w:szCs w:val="20"/>
          <w:lang w:val="uk-UA"/>
        </w:rPr>
        <w:t>, що враховує</w:t>
      </w:r>
      <w:r w:rsidR="006226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22683" w:rsidRPr="00BA2F2F">
        <w:rPr>
          <w:rFonts w:ascii="Times New Roman" w:hAnsi="Times New Roman" w:cs="Times New Roman"/>
          <w:sz w:val="20"/>
          <w:szCs w:val="20"/>
          <w:lang w:val="uk-UA"/>
        </w:rPr>
        <w:t>етіопатогенетичні</w:t>
      </w:r>
      <w:proofErr w:type="spellEnd"/>
      <w:r w:rsidR="006226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та клінічні особливості та відповідає сучасним терапевтичним потребам. Такі засоби мають забезпечити ефективну санацію інфекції, попередити формування ускладнень та зменшити частоту рецидивів захворювання.</w:t>
      </w:r>
    </w:p>
    <w:p w:rsidR="0005387C" w:rsidRPr="00BA2F2F" w:rsidRDefault="00B50A5F" w:rsidP="00A86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Застосування </w:t>
      </w:r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>комплексного методу фармакологічної та нефармакологічної терапії</w:t>
      </w:r>
      <w:r w:rsidR="00FD3D5E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що базується на комбінації </w:t>
      </w:r>
      <w:proofErr w:type="spellStart"/>
      <w:r w:rsidR="00FD3D5E" w:rsidRPr="00BA2F2F">
        <w:rPr>
          <w:rFonts w:ascii="Times New Roman" w:hAnsi="Times New Roman" w:cs="Times New Roman"/>
          <w:sz w:val="20"/>
          <w:szCs w:val="20"/>
          <w:lang w:val="uk-UA"/>
        </w:rPr>
        <w:t>протипротозойних</w:t>
      </w:r>
      <w:proofErr w:type="spellEnd"/>
      <w:r w:rsidR="00FD3D5E" w:rsidRPr="00BA2F2F">
        <w:rPr>
          <w:rFonts w:ascii="Times New Roman" w:hAnsi="Times New Roman" w:cs="Times New Roman"/>
          <w:sz w:val="20"/>
          <w:szCs w:val="20"/>
          <w:lang w:val="uk-UA"/>
        </w:rPr>
        <w:t>, противірусних та антибактеріальних препаратів (</w:t>
      </w:r>
      <w:proofErr w:type="spellStart"/>
      <w:r w:rsidR="00681173" w:rsidRPr="00BA2F2F">
        <w:rPr>
          <w:rFonts w:ascii="Times New Roman" w:hAnsi="Times New Roman" w:cs="Times New Roman"/>
          <w:sz w:val="20"/>
          <w:szCs w:val="20"/>
          <w:lang w:val="uk-UA"/>
        </w:rPr>
        <w:t>етіотропна</w:t>
      </w:r>
      <w:proofErr w:type="spellEnd"/>
      <w:r w:rsidR="00FD3D5E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терапія) та методів активного впливу на організм </w:t>
      </w:r>
      <w:proofErr w:type="spellStart"/>
      <w:r w:rsidR="00FD3D5E" w:rsidRPr="00BA2F2F">
        <w:rPr>
          <w:rFonts w:ascii="Times New Roman" w:hAnsi="Times New Roman" w:cs="Times New Roman"/>
          <w:sz w:val="20"/>
          <w:szCs w:val="20"/>
          <w:lang w:val="uk-UA"/>
        </w:rPr>
        <w:t>імунокоректуючого</w:t>
      </w:r>
      <w:proofErr w:type="spellEnd"/>
      <w:r w:rsidR="00FD3D5E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="00FD3D5E" w:rsidRPr="00BA2F2F">
        <w:rPr>
          <w:rFonts w:ascii="Times New Roman" w:hAnsi="Times New Roman" w:cs="Times New Roman"/>
          <w:sz w:val="20"/>
          <w:szCs w:val="20"/>
          <w:lang w:val="uk-UA"/>
        </w:rPr>
        <w:t>загальнозміцнюючого</w:t>
      </w:r>
      <w:proofErr w:type="spellEnd"/>
      <w:r w:rsidR="00FD3D5E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характеру</w:t>
      </w:r>
      <w:r w:rsidR="002632E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="00681173" w:rsidRPr="00BA2F2F">
        <w:rPr>
          <w:rFonts w:ascii="Times New Roman" w:hAnsi="Times New Roman" w:cs="Times New Roman"/>
          <w:sz w:val="20"/>
          <w:szCs w:val="20"/>
          <w:lang w:val="uk-UA"/>
        </w:rPr>
        <w:t>озонотерапія</w:t>
      </w:r>
      <w:proofErr w:type="spellEnd"/>
      <w:r w:rsidR="002632E4" w:rsidRPr="00BA2F2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урогенітальних</w:t>
      </w:r>
      <w:proofErr w:type="spellEnd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мікст-інфекцій (</w:t>
      </w:r>
      <w:proofErr w:type="spellStart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>трихомоноз</w:t>
      </w:r>
      <w:proofErr w:type="spellEnd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>хламідіоз</w:t>
      </w:r>
      <w:proofErr w:type="spellEnd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>мікоплазмоз</w:t>
      </w:r>
      <w:proofErr w:type="spellEnd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>герпес</w:t>
      </w:r>
      <w:proofErr w:type="spellEnd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) дозволяє досягти елімінації збудника як в сечостатевих органах, так і </w:t>
      </w:r>
      <w:proofErr w:type="spellStart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>екстрагенітально</w:t>
      </w:r>
      <w:proofErr w:type="spellEnd"/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>, зняття токсичної блокади імунної системи та відновлення нормального г</w:t>
      </w:r>
      <w:r w:rsidR="0065408A" w:rsidRPr="00BA2F2F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65408A" w:rsidRPr="00BA2F2F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="0005387C" w:rsidRPr="00BA2F2F">
        <w:rPr>
          <w:rFonts w:ascii="Times New Roman" w:hAnsi="Times New Roman" w:cs="Times New Roman"/>
          <w:sz w:val="20"/>
          <w:szCs w:val="20"/>
          <w:lang w:val="uk-UA"/>
        </w:rPr>
        <w:t>остазу.</w:t>
      </w:r>
      <w:r w:rsidR="00B7212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Розроблена терапія дозволяє подолати стійкість </w:t>
      </w:r>
      <w:proofErr w:type="spellStart"/>
      <w:r w:rsidR="00B7212F" w:rsidRPr="00BA2F2F">
        <w:rPr>
          <w:rFonts w:ascii="Times New Roman" w:hAnsi="Times New Roman" w:cs="Times New Roman"/>
          <w:sz w:val="20"/>
          <w:szCs w:val="20"/>
          <w:lang w:val="uk-UA"/>
        </w:rPr>
        <w:t>трихомонад</w:t>
      </w:r>
      <w:proofErr w:type="spellEnd"/>
      <w:r w:rsidR="00B7212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до лікування за допомогою </w:t>
      </w:r>
      <w:proofErr w:type="spellStart"/>
      <w:r w:rsidR="00B7212F" w:rsidRPr="00BA2F2F">
        <w:rPr>
          <w:rFonts w:ascii="Times New Roman" w:hAnsi="Times New Roman" w:cs="Times New Roman"/>
          <w:sz w:val="20"/>
          <w:szCs w:val="20"/>
          <w:lang w:val="uk-UA"/>
        </w:rPr>
        <w:t>антитрихомонадних</w:t>
      </w:r>
      <w:proofErr w:type="spellEnd"/>
      <w:r w:rsidR="00B7212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і </w:t>
      </w:r>
      <w:proofErr w:type="spellStart"/>
      <w:r w:rsidR="00B7212F" w:rsidRPr="00BA2F2F">
        <w:rPr>
          <w:rFonts w:ascii="Times New Roman" w:hAnsi="Times New Roman" w:cs="Times New Roman"/>
          <w:sz w:val="20"/>
          <w:szCs w:val="20"/>
          <w:lang w:val="uk-UA"/>
        </w:rPr>
        <w:t>протипаразитарних</w:t>
      </w:r>
      <w:proofErr w:type="spellEnd"/>
      <w:r w:rsidR="00B7212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препаратів, </w:t>
      </w:r>
      <w:proofErr w:type="spellStart"/>
      <w:r w:rsidR="00B7212F" w:rsidRPr="00BA2F2F">
        <w:rPr>
          <w:rFonts w:ascii="Times New Roman" w:hAnsi="Times New Roman" w:cs="Times New Roman"/>
          <w:sz w:val="20"/>
          <w:szCs w:val="20"/>
          <w:lang w:val="uk-UA"/>
        </w:rPr>
        <w:t>озонотерапії</w:t>
      </w:r>
      <w:proofErr w:type="spellEnd"/>
      <w:r w:rsidR="00B7212F" w:rsidRPr="00BA2F2F">
        <w:rPr>
          <w:rFonts w:ascii="Times New Roman" w:hAnsi="Times New Roman" w:cs="Times New Roman"/>
          <w:sz w:val="20"/>
          <w:szCs w:val="20"/>
          <w:lang w:val="uk-UA"/>
        </w:rPr>
        <w:t>, що дає змогу у 95 % випадків досягти клінічного та мікробіологічного вилікування</w:t>
      </w:r>
      <w:r w:rsidR="0043360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на тлі нормалізації показників антиоксидантного захисту та позитивних змін показників імунної системи.</w:t>
      </w:r>
    </w:p>
    <w:p w:rsidR="00036A6A" w:rsidRPr="00BA2F2F" w:rsidRDefault="00957F4B" w:rsidP="00A86CB2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Методичні рекомендації призначені для лікарів: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дерматовенерологів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гінекологів, урологів. </w:t>
      </w:r>
      <w:r w:rsidR="00036A6A" w:rsidRPr="00BA2F2F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391734" w:rsidRPr="00132039" w:rsidRDefault="00CA0400" w:rsidP="00BA2F2F">
      <w:pPr>
        <w:pStyle w:val="a7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32039"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ЛОГІКА ТА ОБҐРУНТУВАННЯ КОМПЛЕКСНОЇ ТЕРАПІЇ </w:t>
      </w:r>
      <w:r w:rsidR="00D039B0" w:rsidRPr="00132039">
        <w:rPr>
          <w:rFonts w:ascii="Arial" w:hAnsi="Arial" w:cs="Arial"/>
          <w:b/>
          <w:sz w:val="20"/>
          <w:szCs w:val="20"/>
          <w:lang w:val="uk-UA"/>
        </w:rPr>
        <w:t>УРОГЕНІТАЛЬНИ</w:t>
      </w:r>
      <w:r w:rsidRPr="00132039">
        <w:rPr>
          <w:rFonts w:ascii="Arial" w:hAnsi="Arial" w:cs="Arial"/>
          <w:b/>
          <w:sz w:val="20"/>
          <w:szCs w:val="20"/>
          <w:lang w:val="uk-UA"/>
        </w:rPr>
        <w:t xml:space="preserve">Х МІКСТ-ІНФЕКЦІЙ (ТРИХОМОНОЗ, ХЛАМІДІОЗ, МІКОПЛАЗМОЗ, ГЕРПЕС) </w:t>
      </w:r>
      <w:r w:rsidR="00391734" w:rsidRPr="00132039">
        <w:rPr>
          <w:rFonts w:ascii="Arial" w:hAnsi="Arial" w:cs="Arial"/>
          <w:b/>
          <w:sz w:val="20"/>
          <w:szCs w:val="20"/>
          <w:lang w:val="uk-UA"/>
        </w:rPr>
        <w:t xml:space="preserve">З ВИКОРИСТАННЯМ ФАРМАКОЛОГІЧНИХ ТА НЕФАРМАКОЛОГІЧНИХ </w:t>
      </w:r>
      <w:r w:rsidR="00DC6113" w:rsidRPr="00132039">
        <w:rPr>
          <w:rFonts w:ascii="Arial" w:hAnsi="Arial" w:cs="Arial"/>
          <w:b/>
          <w:sz w:val="20"/>
          <w:szCs w:val="20"/>
          <w:lang w:val="uk-UA"/>
        </w:rPr>
        <w:t>ЗАСОБІВ</w:t>
      </w:r>
    </w:p>
    <w:p w:rsidR="00C219D5" w:rsidRPr="00BA2F2F" w:rsidRDefault="00C219D5" w:rsidP="00BA2F2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71F31" w:rsidRPr="00BA2F2F" w:rsidRDefault="009B087B" w:rsidP="00A86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39173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Україні, як і в інших регіонах, останніми роками спостерігається р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іст захворюваності на </w:t>
      </w:r>
      <w:r w:rsidR="00D325EB" w:rsidRPr="00BA2F2F">
        <w:rPr>
          <w:rFonts w:ascii="Times New Roman" w:hAnsi="Times New Roman" w:cs="Times New Roman"/>
          <w:sz w:val="20"/>
          <w:szCs w:val="20"/>
          <w:lang w:val="uk-UA"/>
        </w:rPr>
        <w:t>інфекції, що передаються статевим шляхом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в 5,</w:t>
      </w:r>
      <w:r w:rsidR="00391734" w:rsidRPr="00BA2F2F">
        <w:rPr>
          <w:rFonts w:ascii="Times New Roman" w:hAnsi="Times New Roman" w:cs="Times New Roman"/>
          <w:sz w:val="20"/>
          <w:szCs w:val="20"/>
          <w:lang w:val="uk-UA"/>
        </w:rPr>
        <w:t>8 раз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39173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за рахун</w:t>
      </w:r>
      <w:r w:rsidR="00F15210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ок збільшення частоти </w:t>
      </w:r>
      <w:proofErr w:type="spellStart"/>
      <w:r w:rsidR="00F15210" w:rsidRPr="00BA2F2F">
        <w:rPr>
          <w:rFonts w:ascii="Times New Roman" w:hAnsi="Times New Roman" w:cs="Times New Roman"/>
          <w:sz w:val="20"/>
          <w:szCs w:val="20"/>
          <w:lang w:val="uk-UA"/>
        </w:rPr>
        <w:t>хламідіозу</w:t>
      </w:r>
      <w:proofErr w:type="spellEnd"/>
      <w:r w:rsidR="00F15210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25E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на 56 % </w:t>
      </w:r>
      <w:r w:rsidR="009525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5210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та </w:t>
      </w:r>
      <w:r w:rsidR="009525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325EB" w:rsidRPr="00BA2F2F">
        <w:rPr>
          <w:rFonts w:ascii="Times New Roman" w:hAnsi="Times New Roman" w:cs="Times New Roman"/>
          <w:sz w:val="20"/>
          <w:szCs w:val="20"/>
          <w:lang w:val="uk-UA"/>
        </w:rPr>
        <w:t>мікоплазмозу</w:t>
      </w:r>
      <w:proofErr w:type="spellEnd"/>
      <w:r w:rsidR="009525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9173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25EB" w:rsidRPr="00BA2F2F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9525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9173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45 % </w:t>
      </w:r>
      <w:r w:rsidR="00D325EB" w:rsidRPr="00BA2F2F">
        <w:rPr>
          <w:rFonts w:ascii="Times New Roman" w:hAnsi="Times New Roman" w:cs="Times New Roman"/>
          <w:sz w:val="20"/>
          <w:szCs w:val="20"/>
          <w:lang w:val="uk-UA"/>
        </w:rPr>
        <w:t>в структурі</w:t>
      </w:r>
      <w:r w:rsidR="0039173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всіх ЗПСШ</w:t>
      </w:r>
      <w:r w:rsidR="0045160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 При цьому ріст питомої ваги </w:t>
      </w:r>
      <w:proofErr w:type="spellStart"/>
      <w:r w:rsidR="00451609"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урогенітального</w:t>
      </w:r>
      <w:proofErr w:type="spellEnd"/>
      <w:r w:rsidR="0045160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75718" w:rsidRPr="00BA2F2F">
        <w:rPr>
          <w:rFonts w:ascii="Times New Roman" w:hAnsi="Times New Roman" w:cs="Times New Roman"/>
          <w:sz w:val="20"/>
          <w:szCs w:val="20"/>
          <w:lang w:val="uk-UA"/>
        </w:rPr>
        <w:t>трихомонозу</w:t>
      </w:r>
      <w:proofErr w:type="spellEnd"/>
      <w:r w:rsidR="00675718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який вражає також верхні відділи сечостатевих органів, </w:t>
      </w:r>
      <w:r w:rsidR="00451609" w:rsidRPr="00BA2F2F">
        <w:rPr>
          <w:rFonts w:ascii="Times New Roman" w:hAnsi="Times New Roman" w:cs="Times New Roman"/>
          <w:sz w:val="20"/>
          <w:szCs w:val="20"/>
          <w:lang w:val="uk-UA"/>
        </w:rPr>
        <w:t>серед інших венеричних захворюв</w:t>
      </w:r>
      <w:r w:rsidR="00F15210" w:rsidRPr="00BA2F2F">
        <w:rPr>
          <w:rFonts w:ascii="Times New Roman" w:hAnsi="Times New Roman" w:cs="Times New Roman"/>
          <w:sz w:val="20"/>
          <w:szCs w:val="20"/>
          <w:lang w:val="uk-UA"/>
        </w:rPr>
        <w:t>ань в Україні</w:t>
      </w:r>
      <w:r w:rsidR="0092632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складає до 51,5 %</w:t>
      </w:r>
      <w:r w:rsidR="00F15210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451609" w:rsidRPr="00BA2F2F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451609" w:rsidRPr="00BA2F2F">
        <w:rPr>
          <w:rFonts w:ascii="Times New Roman" w:hAnsi="Times New Roman" w:cs="Times New Roman"/>
          <w:sz w:val="20"/>
          <w:szCs w:val="20"/>
          <w:lang w:val="uk-UA"/>
        </w:rPr>
        <w:t>водячи в 50 % випадків до вторинного безпліддя.</w:t>
      </w:r>
    </w:p>
    <w:p w:rsidR="00937275" w:rsidRPr="00BA2F2F" w:rsidRDefault="00451609" w:rsidP="00A86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="009C1D4D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При сполученні </w:t>
      </w:r>
      <w:proofErr w:type="spellStart"/>
      <w:r w:rsidR="009C1D4D"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урогенітального</w:t>
      </w:r>
      <w:proofErr w:type="spellEnd"/>
      <w:r w:rsidR="009C1D4D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75718" w:rsidRPr="00BA2F2F">
        <w:rPr>
          <w:rFonts w:ascii="Times New Roman" w:hAnsi="Times New Roman" w:cs="Times New Roman"/>
          <w:sz w:val="20"/>
          <w:szCs w:val="20"/>
          <w:lang w:val="uk-UA"/>
        </w:rPr>
        <w:t>трихомо</w:t>
      </w:r>
      <w:r w:rsidR="003B7C97" w:rsidRPr="00BA2F2F">
        <w:rPr>
          <w:rFonts w:ascii="Times New Roman" w:hAnsi="Times New Roman" w:cs="Times New Roman"/>
          <w:sz w:val="20"/>
          <w:szCs w:val="20"/>
          <w:lang w:val="uk-UA"/>
        </w:rPr>
        <w:t>нозу</w:t>
      </w:r>
      <w:proofErr w:type="spellEnd"/>
      <w:r w:rsidR="003B7C97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з </w:t>
      </w:r>
      <w:proofErr w:type="spellStart"/>
      <w:r w:rsidR="003B7C97" w:rsidRPr="00BA2F2F">
        <w:rPr>
          <w:rFonts w:ascii="Times New Roman" w:hAnsi="Times New Roman" w:cs="Times New Roman"/>
          <w:sz w:val="20"/>
          <w:szCs w:val="20"/>
          <w:lang w:val="uk-UA"/>
        </w:rPr>
        <w:t>хламідіозом</w:t>
      </w:r>
      <w:proofErr w:type="spellEnd"/>
      <w:r w:rsidR="003B7C97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3B7C97" w:rsidRPr="00BA2F2F">
        <w:rPr>
          <w:rFonts w:ascii="Times New Roman" w:hAnsi="Times New Roman" w:cs="Times New Roman"/>
          <w:sz w:val="20"/>
          <w:szCs w:val="20"/>
          <w:lang w:val="uk-UA"/>
        </w:rPr>
        <w:t>мікоплазмозом</w:t>
      </w:r>
      <w:proofErr w:type="spellEnd"/>
      <w:r w:rsidR="003B7C97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="003B7C97" w:rsidRPr="00BA2F2F">
        <w:rPr>
          <w:rFonts w:ascii="Times New Roman" w:hAnsi="Times New Roman" w:cs="Times New Roman"/>
          <w:sz w:val="20"/>
          <w:szCs w:val="20"/>
          <w:lang w:val="uk-UA"/>
        </w:rPr>
        <w:t>гені</w:t>
      </w:r>
      <w:r w:rsidR="00E21661" w:rsidRPr="00BA2F2F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3B7C97" w:rsidRPr="00BA2F2F">
        <w:rPr>
          <w:rFonts w:ascii="Times New Roman" w:hAnsi="Times New Roman" w:cs="Times New Roman"/>
          <w:sz w:val="20"/>
          <w:szCs w:val="20"/>
          <w:lang w:val="uk-UA"/>
        </w:rPr>
        <w:t>альним</w:t>
      </w:r>
      <w:proofErr w:type="spellEnd"/>
      <w:r w:rsidR="003B7C97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B7C97" w:rsidRPr="00BA2F2F">
        <w:rPr>
          <w:rFonts w:ascii="Times New Roman" w:hAnsi="Times New Roman" w:cs="Times New Roman"/>
          <w:sz w:val="20"/>
          <w:szCs w:val="20"/>
          <w:lang w:val="uk-UA"/>
        </w:rPr>
        <w:t>герпесом</w:t>
      </w:r>
      <w:proofErr w:type="spellEnd"/>
      <w:r w:rsidR="003B7C97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саме </w:t>
      </w:r>
      <w:proofErr w:type="spellStart"/>
      <w:r w:rsidR="003B7C97" w:rsidRPr="00BA2F2F">
        <w:rPr>
          <w:rFonts w:ascii="Times New Roman" w:hAnsi="Times New Roman" w:cs="Times New Roman"/>
          <w:sz w:val="20"/>
          <w:szCs w:val="20"/>
          <w:lang w:val="uk-UA"/>
        </w:rPr>
        <w:t>трихомонади</w:t>
      </w:r>
      <w:proofErr w:type="spellEnd"/>
      <w:r w:rsidR="003B7C97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є резервуаром збереження </w:t>
      </w:r>
      <w:proofErr w:type="spellStart"/>
      <w:r w:rsidR="003B7C97" w:rsidRPr="00BA2F2F">
        <w:rPr>
          <w:rFonts w:ascii="Times New Roman" w:hAnsi="Times New Roman" w:cs="Times New Roman"/>
          <w:sz w:val="20"/>
          <w:szCs w:val="20"/>
          <w:lang w:val="uk-UA"/>
        </w:rPr>
        <w:t>хламідій</w:t>
      </w:r>
      <w:proofErr w:type="spellEnd"/>
      <w:r w:rsidR="003B7C97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та мікоплазм, які під час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лікування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персистують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усередині </w:t>
      </w:r>
      <w:proofErr w:type="spellStart"/>
      <w:r w:rsidR="00E21661" w:rsidRPr="00BA2F2F">
        <w:rPr>
          <w:rFonts w:ascii="Times New Roman" w:hAnsi="Times New Roman" w:cs="Times New Roman"/>
          <w:sz w:val="20"/>
          <w:szCs w:val="20"/>
          <w:lang w:val="uk-UA"/>
        </w:rPr>
        <w:t>трихомонад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 Перебіг такого запального процесу частіше буває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мало-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чи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асимптомним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DB1457" w:rsidRPr="00BA2F2F">
        <w:rPr>
          <w:rFonts w:ascii="Times New Roman" w:hAnsi="Times New Roman" w:cs="Times New Roman"/>
          <w:sz w:val="20"/>
          <w:szCs w:val="20"/>
          <w:lang w:val="uk-UA"/>
        </w:rPr>
        <w:t>торпі</w:t>
      </w:r>
      <w:r w:rsidR="005D450B" w:rsidRPr="00BA2F2F">
        <w:rPr>
          <w:rFonts w:ascii="Times New Roman" w:hAnsi="Times New Roman" w:cs="Times New Roman"/>
          <w:sz w:val="20"/>
          <w:szCs w:val="20"/>
          <w:lang w:val="uk-UA"/>
        </w:rPr>
        <w:t>дним</w:t>
      </w:r>
      <w:proofErr w:type="spellEnd"/>
      <w:r w:rsidR="005D450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та</w:t>
      </w:r>
      <w:r w:rsidR="00DF3D5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виявляє </w:t>
      </w:r>
      <w:proofErr w:type="spellStart"/>
      <w:r w:rsidR="00DF3D59" w:rsidRPr="00BA2F2F">
        <w:rPr>
          <w:rFonts w:ascii="Times New Roman" w:hAnsi="Times New Roman" w:cs="Times New Roman"/>
          <w:sz w:val="20"/>
          <w:szCs w:val="20"/>
          <w:lang w:val="uk-UA"/>
        </w:rPr>
        <w:t>рефрактерність</w:t>
      </w:r>
      <w:proofErr w:type="spellEnd"/>
      <w:r w:rsidR="00DF3D5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до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проведеної терап</w:t>
      </w:r>
      <w:r w:rsidR="00DF3D5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ії. </w:t>
      </w:r>
    </w:p>
    <w:p w:rsidR="00801FC1" w:rsidRPr="00BA2F2F" w:rsidRDefault="00451609" w:rsidP="00A86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Особливості структури мікроорганізмів, метаболічних процесів, форм паразитування визначають їх реакт</w:t>
      </w:r>
      <w:r w:rsidR="00DD1B97" w:rsidRPr="00BA2F2F">
        <w:rPr>
          <w:rFonts w:ascii="Times New Roman" w:hAnsi="Times New Roman" w:cs="Times New Roman"/>
          <w:sz w:val="20"/>
          <w:szCs w:val="20"/>
          <w:lang w:val="uk-UA"/>
        </w:rPr>
        <w:t>ив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ність, при</w:t>
      </w:r>
      <w:r w:rsidR="00DC6113" w:rsidRPr="00BA2F2F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водячи до недостатньої та зміненої антиоксидантної та імунологічної ре</w:t>
      </w:r>
      <w:r w:rsidR="0033693B" w:rsidRPr="00BA2F2F">
        <w:rPr>
          <w:rFonts w:ascii="Times New Roman" w:hAnsi="Times New Roman" w:cs="Times New Roman"/>
          <w:sz w:val="20"/>
          <w:szCs w:val="20"/>
          <w:lang w:val="uk-UA"/>
        </w:rPr>
        <w:t>акці</w:t>
      </w:r>
      <w:r w:rsidR="00637125" w:rsidRPr="00BA2F2F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33693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ма</w:t>
      </w:r>
      <w:r w:rsidR="00DC6113" w:rsidRPr="00BA2F2F">
        <w:rPr>
          <w:rFonts w:ascii="Times New Roman" w:hAnsi="Times New Roman" w:cs="Times New Roman"/>
          <w:sz w:val="20"/>
          <w:szCs w:val="20"/>
          <w:lang w:val="uk-UA"/>
        </w:rPr>
        <w:t>кроор</w:t>
      </w:r>
      <w:r w:rsidR="006122FC" w:rsidRPr="00BA2F2F">
        <w:rPr>
          <w:rFonts w:ascii="Times New Roman" w:hAnsi="Times New Roman" w:cs="Times New Roman"/>
          <w:sz w:val="20"/>
          <w:szCs w:val="20"/>
          <w:lang w:val="uk-UA"/>
        </w:rPr>
        <w:t>ганізму та тривалого інфікуванн</w:t>
      </w:r>
      <w:r w:rsidR="00DC6113" w:rsidRPr="00BA2F2F">
        <w:rPr>
          <w:rFonts w:ascii="Times New Roman" w:hAnsi="Times New Roman" w:cs="Times New Roman"/>
          <w:sz w:val="20"/>
          <w:szCs w:val="20"/>
          <w:lang w:val="uk-UA"/>
        </w:rPr>
        <w:t>я.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C611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Це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спри</w:t>
      </w:r>
      <w:r w:rsidR="00DC611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яє </w:t>
      </w:r>
      <w:proofErr w:type="spellStart"/>
      <w:r w:rsidR="00DC6113" w:rsidRPr="00BA2F2F">
        <w:rPr>
          <w:rFonts w:ascii="Times New Roman" w:hAnsi="Times New Roman" w:cs="Times New Roman"/>
          <w:sz w:val="20"/>
          <w:szCs w:val="20"/>
          <w:lang w:val="uk-UA"/>
        </w:rPr>
        <w:t>хроні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зації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процесу з </w:t>
      </w:r>
      <w:r w:rsidR="00DC611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прогресуючими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проліферативними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і </w:t>
      </w:r>
      <w:r w:rsidR="00DC6113" w:rsidRPr="00BA2F2F">
        <w:rPr>
          <w:rFonts w:ascii="Times New Roman" w:hAnsi="Times New Roman" w:cs="Times New Roman"/>
          <w:sz w:val="20"/>
          <w:szCs w:val="20"/>
          <w:lang w:val="uk-UA"/>
        </w:rPr>
        <w:t>деструктивними явищами та</w:t>
      </w:r>
      <w:r w:rsidR="003B1F4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B1F44" w:rsidRPr="00BA2F2F">
        <w:rPr>
          <w:rFonts w:ascii="Times New Roman" w:hAnsi="Times New Roman" w:cs="Times New Roman"/>
          <w:sz w:val="20"/>
          <w:szCs w:val="20"/>
          <w:lang w:val="uk-UA"/>
        </w:rPr>
        <w:t>дис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плазією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епітелію, лікування </w:t>
      </w:r>
      <w:r w:rsidR="00DC6113" w:rsidRPr="00BA2F2F">
        <w:rPr>
          <w:rFonts w:ascii="Times New Roman" w:hAnsi="Times New Roman" w:cs="Times New Roman"/>
          <w:sz w:val="20"/>
          <w:szCs w:val="20"/>
          <w:lang w:val="uk-UA"/>
        </w:rPr>
        <w:t>котрих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B1F4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вимагає комплексного використання фармакологічних та нефармакологічних засобів для відновлення інтегративних систем макроорганізму та ефективної </w:t>
      </w:r>
      <w:proofErr w:type="spellStart"/>
      <w:r w:rsidR="003B1F44" w:rsidRPr="00BA2F2F">
        <w:rPr>
          <w:rFonts w:ascii="Times New Roman" w:hAnsi="Times New Roman" w:cs="Times New Roman"/>
          <w:sz w:val="20"/>
          <w:szCs w:val="20"/>
          <w:lang w:val="uk-UA"/>
        </w:rPr>
        <w:t>ерадикації</w:t>
      </w:r>
      <w:proofErr w:type="spellEnd"/>
      <w:r w:rsidR="003B1F4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патогенних </w:t>
      </w:r>
      <w:proofErr w:type="spellStart"/>
      <w:r w:rsidR="003B1F44" w:rsidRPr="00BA2F2F">
        <w:rPr>
          <w:rFonts w:ascii="Times New Roman" w:hAnsi="Times New Roman" w:cs="Times New Roman"/>
          <w:sz w:val="20"/>
          <w:szCs w:val="20"/>
          <w:lang w:val="uk-UA"/>
        </w:rPr>
        <w:t>мікроорганизмів</w:t>
      </w:r>
      <w:proofErr w:type="spellEnd"/>
      <w:r w:rsidR="00A2256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FA7AEB" w:rsidRPr="00BA2F2F" w:rsidRDefault="00A22569" w:rsidP="00A86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Останнім часом в</w:t>
      </w:r>
      <w:r w:rsidR="003B1F4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иліковність хворих на </w:t>
      </w:r>
      <w:proofErr w:type="spellStart"/>
      <w:r w:rsidR="003B1F44" w:rsidRPr="00BA2F2F">
        <w:rPr>
          <w:rFonts w:ascii="Times New Roman" w:hAnsi="Times New Roman" w:cs="Times New Roman"/>
          <w:sz w:val="20"/>
          <w:szCs w:val="20"/>
          <w:lang w:val="uk-UA"/>
        </w:rPr>
        <w:t>трихомоно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знизилася, </w:t>
      </w:r>
      <w:r w:rsidR="00A86CB2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а відсутн</w:t>
      </w:r>
      <w:r w:rsidR="0072010E" w:rsidRPr="00BA2F2F">
        <w:rPr>
          <w:rFonts w:ascii="Times New Roman" w:hAnsi="Times New Roman" w:cs="Times New Roman"/>
          <w:sz w:val="20"/>
          <w:szCs w:val="20"/>
          <w:lang w:val="uk-UA"/>
        </w:rPr>
        <w:t>ість ефекту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від терапії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метронідазолом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становить від 15 % до 40,2 %. </w:t>
      </w:r>
      <w:r w:rsidR="00FA7AEB" w:rsidRPr="00BA2F2F">
        <w:rPr>
          <w:rFonts w:ascii="Times New Roman" w:hAnsi="Times New Roman" w:cs="Times New Roman"/>
          <w:sz w:val="20"/>
          <w:szCs w:val="20"/>
          <w:lang w:val="uk-UA"/>
        </w:rPr>
        <w:t>З ціллю подолання кліні</w:t>
      </w:r>
      <w:r w:rsidR="00AD1F07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чної </w:t>
      </w:r>
      <w:proofErr w:type="spellStart"/>
      <w:r w:rsidR="00AD1F07" w:rsidRPr="00BA2F2F">
        <w:rPr>
          <w:rFonts w:ascii="Times New Roman" w:hAnsi="Times New Roman" w:cs="Times New Roman"/>
          <w:sz w:val="20"/>
          <w:szCs w:val="20"/>
          <w:lang w:val="uk-UA"/>
        </w:rPr>
        <w:t>рефрактерності</w:t>
      </w:r>
      <w:proofErr w:type="spellEnd"/>
      <w:r w:rsidR="00AD1F07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9177A"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урогенітального</w:t>
      </w:r>
      <w:proofErr w:type="spellEnd"/>
      <w:r w:rsidR="0029177A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D1F07" w:rsidRPr="00BA2F2F">
        <w:rPr>
          <w:rFonts w:ascii="Times New Roman" w:hAnsi="Times New Roman" w:cs="Times New Roman"/>
          <w:sz w:val="20"/>
          <w:szCs w:val="20"/>
          <w:lang w:val="uk-UA"/>
        </w:rPr>
        <w:t>трихомон</w:t>
      </w:r>
      <w:r w:rsidR="00D507A7" w:rsidRPr="00BA2F2F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AD1F07" w:rsidRPr="00BA2F2F">
        <w:rPr>
          <w:rFonts w:ascii="Times New Roman" w:hAnsi="Times New Roman" w:cs="Times New Roman"/>
          <w:sz w:val="20"/>
          <w:szCs w:val="20"/>
          <w:lang w:val="uk-UA"/>
        </w:rPr>
        <w:t>зу</w:t>
      </w:r>
      <w:proofErr w:type="spellEnd"/>
      <w:r w:rsidR="00FA7AE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507A7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нами </w:t>
      </w:r>
      <w:r w:rsidR="00FA7AEB" w:rsidRPr="00BA2F2F">
        <w:rPr>
          <w:rFonts w:ascii="Times New Roman" w:hAnsi="Times New Roman" w:cs="Times New Roman"/>
          <w:sz w:val="20"/>
          <w:szCs w:val="20"/>
          <w:lang w:val="uk-UA"/>
        </w:rPr>
        <w:t>запропон</w:t>
      </w:r>
      <w:r w:rsidR="00D507A7" w:rsidRPr="00BA2F2F">
        <w:rPr>
          <w:rFonts w:ascii="Times New Roman" w:hAnsi="Times New Roman" w:cs="Times New Roman"/>
          <w:sz w:val="20"/>
          <w:szCs w:val="20"/>
          <w:lang w:val="uk-UA"/>
        </w:rPr>
        <w:t>овано</w:t>
      </w:r>
      <w:r w:rsidR="00FA7AE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177A" w:rsidRPr="00BA2F2F">
        <w:rPr>
          <w:rFonts w:ascii="Times New Roman" w:hAnsi="Times New Roman" w:cs="Times New Roman"/>
          <w:sz w:val="20"/>
          <w:szCs w:val="20"/>
          <w:lang w:val="uk-UA"/>
        </w:rPr>
        <w:t>посилювати</w:t>
      </w:r>
      <w:r w:rsidR="00FA7AE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177A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традиційну </w:t>
      </w:r>
      <w:proofErr w:type="spellStart"/>
      <w:r w:rsidR="0029177A" w:rsidRPr="00BA2F2F">
        <w:rPr>
          <w:rFonts w:ascii="Times New Roman" w:hAnsi="Times New Roman" w:cs="Times New Roman"/>
          <w:sz w:val="20"/>
          <w:szCs w:val="20"/>
          <w:lang w:val="uk-UA"/>
        </w:rPr>
        <w:t>протитрихомонадну</w:t>
      </w:r>
      <w:proofErr w:type="spellEnd"/>
      <w:r w:rsidR="0029177A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A7AE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терапію </w:t>
      </w:r>
      <w:r w:rsidR="00E86DD9" w:rsidRPr="00BA2F2F">
        <w:rPr>
          <w:rFonts w:ascii="Times New Roman" w:hAnsi="Times New Roman" w:cs="Times New Roman"/>
          <w:sz w:val="20"/>
          <w:szCs w:val="20"/>
          <w:lang w:val="uk-UA"/>
        </w:rPr>
        <w:t>засобом</w:t>
      </w:r>
      <w:r w:rsidR="003937F7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групи </w:t>
      </w:r>
      <w:proofErr w:type="spellStart"/>
      <w:r w:rsidR="003937F7" w:rsidRPr="00BA2F2F">
        <w:rPr>
          <w:rFonts w:ascii="Times New Roman" w:hAnsi="Times New Roman" w:cs="Times New Roman"/>
          <w:sz w:val="20"/>
          <w:szCs w:val="20"/>
          <w:lang w:val="uk-UA"/>
        </w:rPr>
        <w:t>бензімідазолів</w:t>
      </w:r>
      <w:proofErr w:type="spellEnd"/>
      <w:r w:rsidR="00BC1CE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="00BC1CE9" w:rsidRPr="00BA2F2F">
        <w:rPr>
          <w:rFonts w:ascii="Times New Roman" w:hAnsi="Times New Roman" w:cs="Times New Roman"/>
          <w:sz w:val="20"/>
          <w:szCs w:val="20"/>
          <w:lang w:val="uk-UA"/>
        </w:rPr>
        <w:t>альбендазол</w:t>
      </w:r>
      <w:proofErr w:type="spellEnd"/>
      <w:r w:rsidR="00BC1CE9" w:rsidRPr="00BA2F2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3937F7" w:rsidRPr="00BA2F2F">
        <w:rPr>
          <w:rFonts w:ascii="Times New Roman" w:hAnsi="Times New Roman" w:cs="Times New Roman"/>
          <w:sz w:val="20"/>
          <w:szCs w:val="20"/>
          <w:lang w:val="uk-UA"/>
        </w:rPr>
        <w:t>, що ма</w:t>
      </w:r>
      <w:r w:rsidR="00BC1CE9" w:rsidRPr="00BA2F2F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="003937F7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специфічну </w:t>
      </w:r>
      <w:proofErr w:type="spellStart"/>
      <w:r w:rsidR="003937F7" w:rsidRPr="00BA2F2F">
        <w:rPr>
          <w:rFonts w:ascii="Times New Roman" w:hAnsi="Times New Roman" w:cs="Times New Roman"/>
          <w:sz w:val="20"/>
          <w:szCs w:val="20"/>
          <w:lang w:val="uk-UA"/>
        </w:rPr>
        <w:t>антипротозойну</w:t>
      </w:r>
      <w:proofErr w:type="spellEnd"/>
      <w:r w:rsidR="003937F7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дію</w:t>
      </w:r>
      <w:r w:rsidR="00BC1CE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за рахунок незворотного порушення утилізації глюкози в клітині найпростішого і гальмування синтезу АТФ. Посилена </w:t>
      </w:r>
      <w:proofErr w:type="spellStart"/>
      <w:r w:rsidR="00BC1CE9" w:rsidRPr="00BA2F2F">
        <w:rPr>
          <w:rFonts w:ascii="Times New Roman" w:hAnsi="Times New Roman" w:cs="Times New Roman"/>
          <w:sz w:val="20"/>
          <w:szCs w:val="20"/>
          <w:lang w:val="uk-UA"/>
        </w:rPr>
        <w:t>протипротозойна</w:t>
      </w:r>
      <w:proofErr w:type="spellEnd"/>
      <w:r w:rsidR="00BC1CE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терапія включає: 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препарат з діючою речовиною </w:t>
      </w:r>
      <w:proofErr w:type="spellStart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орнідазол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по 500 мг два рази на добу та одночасно препарат з діючою речовиною </w:t>
      </w:r>
      <w:proofErr w:type="spellStart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альбендазол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по 400 мг два рази на день.</w:t>
      </w:r>
    </w:p>
    <w:p w:rsidR="008B41F0" w:rsidRPr="00BA2F2F" w:rsidRDefault="00FA7AEB" w:rsidP="00A86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При </w:t>
      </w:r>
      <w:proofErr w:type="spellStart"/>
      <w:r w:rsidR="00DB55A5"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урогенітальній</w:t>
      </w:r>
      <w:proofErr w:type="spellEnd"/>
      <w:r w:rsidR="00DB55A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мікст-інфекції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="00685354" w:rsidRPr="00BA2F2F">
        <w:rPr>
          <w:rFonts w:ascii="Times New Roman" w:hAnsi="Times New Roman" w:cs="Times New Roman"/>
          <w:sz w:val="20"/>
          <w:szCs w:val="20"/>
          <w:lang w:val="uk-UA"/>
        </w:rPr>
        <w:t>трихомонади</w:t>
      </w:r>
      <w:proofErr w:type="spellEnd"/>
      <w:r w:rsidR="0068535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хламідії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, мікоплазми</w:t>
      </w:r>
      <w:r w:rsidR="0068535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DB55A5" w:rsidRPr="00BA2F2F">
        <w:rPr>
          <w:rFonts w:ascii="Times New Roman" w:hAnsi="Times New Roman" w:cs="Times New Roman"/>
          <w:sz w:val="20"/>
          <w:szCs w:val="20"/>
          <w:lang w:val="uk-UA"/>
        </w:rPr>
        <w:t>герпесвіруси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) своєчасне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доклінічне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виявлення метаболічних порушень обміну речовин і розробка методів нівелювання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оксидативного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стресу залишається актуальним завданням сучасної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дерматовенерології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lastRenderedPageBreak/>
        <w:t>урогінекології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. Експериментальні та клінічні дослідження показали ефективність індукці</w:t>
      </w:r>
      <w:r w:rsidR="008D38A5" w:rsidRPr="00BA2F2F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ної функції озону в якості активатора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вільнорадикальних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процесів з підвищеною генерацією перекисів в клітинній цитоплазмі.</w:t>
      </w:r>
    </w:p>
    <w:p w:rsidR="006D07FC" w:rsidRPr="00BA2F2F" w:rsidRDefault="00FA7AEB" w:rsidP="00A86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D05E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Засоби окислювальної терапії, а саме гіпербарична </w:t>
      </w:r>
      <w:proofErr w:type="spellStart"/>
      <w:r w:rsidR="00ED05E1" w:rsidRPr="00BA2F2F">
        <w:rPr>
          <w:rFonts w:ascii="Times New Roman" w:hAnsi="Times New Roman" w:cs="Times New Roman"/>
          <w:sz w:val="20"/>
          <w:szCs w:val="20"/>
          <w:lang w:val="uk-UA"/>
        </w:rPr>
        <w:t>оксигенація</w:t>
      </w:r>
      <w:proofErr w:type="spellEnd"/>
      <w:r w:rsidR="00ED05E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ультрафіолетове опромінення крові («мала </w:t>
      </w:r>
      <w:proofErr w:type="spellStart"/>
      <w:r w:rsidR="00ED05E1" w:rsidRPr="00BA2F2F">
        <w:rPr>
          <w:rFonts w:ascii="Times New Roman" w:hAnsi="Times New Roman" w:cs="Times New Roman"/>
          <w:sz w:val="20"/>
          <w:szCs w:val="20"/>
          <w:lang w:val="uk-UA"/>
        </w:rPr>
        <w:t>озонотерапія</w:t>
      </w:r>
      <w:proofErr w:type="spellEnd"/>
      <w:r w:rsidR="00ED05E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»), </w:t>
      </w:r>
      <w:proofErr w:type="spellStart"/>
      <w:r w:rsidR="00ED05E1" w:rsidRPr="00BA2F2F">
        <w:rPr>
          <w:rFonts w:ascii="Times New Roman" w:hAnsi="Times New Roman" w:cs="Times New Roman"/>
          <w:sz w:val="20"/>
          <w:szCs w:val="20"/>
          <w:lang w:val="uk-UA"/>
        </w:rPr>
        <w:t>озонотерапія</w:t>
      </w:r>
      <w:proofErr w:type="spellEnd"/>
      <w:r w:rsidR="00ED05E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активно вивчаються сьогодні як резервні методи боротьби з резистентними, </w:t>
      </w:r>
      <w:proofErr w:type="spellStart"/>
      <w:r w:rsidR="00ED05E1" w:rsidRPr="00BA2F2F">
        <w:rPr>
          <w:rFonts w:ascii="Times New Roman" w:hAnsi="Times New Roman" w:cs="Times New Roman"/>
          <w:sz w:val="20"/>
          <w:szCs w:val="20"/>
          <w:lang w:val="uk-UA"/>
        </w:rPr>
        <w:t>торпідними</w:t>
      </w:r>
      <w:proofErr w:type="spellEnd"/>
      <w:r w:rsidR="00ED05E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683FBD" w:rsidRPr="00BA2F2F">
        <w:rPr>
          <w:rFonts w:ascii="Times New Roman" w:hAnsi="Times New Roman" w:cs="Times New Roman"/>
          <w:sz w:val="20"/>
          <w:szCs w:val="20"/>
          <w:lang w:val="uk-UA"/>
        </w:rPr>
        <w:t>багатофокусними</w:t>
      </w:r>
      <w:proofErr w:type="spellEnd"/>
      <w:r w:rsidR="00ED05E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D05E1" w:rsidRPr="00BA2F2F">
        <w:rPr>
          <w:rFonts w:ascii="Times New Roman" w:hAnsi="Times New Roman" w:cs="Times New Roman"/>
          <w:sz w:val="20"/>
          <w:szCs w:val="20"/>
          <w:lang w:val="uk-UA"/>
        </w:rPr>
        <w:t>рецидивуючими</w:t>
      </w:r>
      <w:proofErr w:type="spellEnd"/>
      <w:r w:rsidR="00ED05E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інфекціями</w:t>
      </w:r>
      <w:r w:rsidR="00355586"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ED05E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При цьому бактерицидна, ф</w:t>
      </w:r>
      <w:r w:rsidR="001B79A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унгіцидна та </w:t>
      </w:r>
      <w:proofErr w:type="spellStart"/>
      <w:r w:rsidR="004427EF" w:rsidRPr="00BA2F2F">
        <w:rPr>
          <w:rFonts w:ascii="Times New Roman" w:hAnsi="Times New Roman" w:cs="Times New Roman"/>
          <w:sz w:val="20"/>
          <w:szCs w:val="20"/>
          <w:lang w:val="uk-UA"/>
        </w:rPr>
        <w:t>антивіральна</w:t>
      </w:r>
      <w:proofErr w:type="spellEnd"/>
      <w:r w:rsidR="001B79A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дії озону та продуктів </w:t>
      </w:r>
      <w:proofErr w:type="spellStart"/>
      <w:r w:rsidR="001B79A1" w:rsidRPr="00BA2F2F">
        <w:rPr>
          <w:rFonts w:ascii="Times New Roman" w:hAnsi="Times New Roman" w:cs="Times New Roman"/>
          <w:sz w:val="20"/>
          <w:szCs w:val="20"/>
          <w:lang w:val="uk-UA"/>
        </w:rPr>
        <w:t>озонолізу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озоніди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, пероксиди і т.</w:t>
      </w:r>
      <w:r w:rsidR="00683FBD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і.), порушують цілісність оболонок мікроорганізмів та підвищують їх чутливість до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етіотропної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терапії.</w:t>
      </w:r>
    </w:p>
    <w:p w:rsidR="001E754D" w:rsidRPr="00BA2F2F" w:rsidRDefault="003B5F43" w:rsidP="00B17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Ми запропонували використовувати для лікування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урогенітальних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мікст-інфекцій </w:t>
      </w:r>
      <w:r w:rsidR="006D07FC" w:rsidRPr="00BA2F2F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="006D07FC" w:rsidRPr="00BA2F2F">
        <w:rPr>
          <w:rFonts w:ascii="Times New Roman" w:hAnsi="Times New Roman" w:cs="Times New Roman"/>
          <w:sz w:val="20"/>
          <w:szCs w:val="20"/>
          <w:lang w:val="uk-UA"/>
        </w:rPr>
        <w:t>трихомонади</w:t>
      </w:r>
      <w:proofErr w:type="spellEnd"/>
      <w:r w:rsidR="006D07F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6D07FC" w:rsidRPr="00BA2F2F">
        <w:rPr>
          <w:rFonts w:ascii="Times New Roman" w:hAnsi="Times New Roman" w:cs="Times New Roman"/>
          <w:sz w:val="20"/>
          <w:szCs w:val="20"/>
          <w:lang w:val="uk-UA"/>
        </w:rPr>
        <w:t>хламідії</w:t>
      </w:r>
      <w:proofErr w:type="spellEnd"/>
      <w:r w:rsidR="006D07F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мікоплазми, </w:t>
      </w:r>
      <w:proofErr w:type="spellStart"/>
      <w:r w:rsidR="006D07FC" w:rsidRPr="00BA2F2F">
        <w:rPr>
          <w:rFonts w:ascii="Times New Roman" w:hAnsi="Times New Roman" w:cs="Times New Roman"/>
          <w:sz w:val="20"/>
          <w:szCs w:val="20"/>
          <w:lang w:val="uk-UA"/>
        </w:rPr>
        <w:t>герпесвіруси</w:t>
      </w:r>
      <w:proofErr w:type="spellEnd"/>
      <w:r w:rsidR="006D07F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комплекс </w:t>
      </w:r>
      <w:r w:rsidR="00ED05E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стандартизованих 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оригінальних засобів системної </w:t>
      </w:r>
      <w:r w:rsidR="00FA653A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та місцевої </w:t>
      </w:r>
      <w:proofErr w:type="spellStart"/>
      <w:r w:rsidR="006D07FC" w:rsidRPr="00BA2F2F">
        <w:rPr>
          <w:rFonts w:ascii="Times New Roman" w:hAnsi="Times New Roman" w:cs="Times New Roman"/>
          <w:sz w:val="20"/>
          <w:szCs w:val="20"/>
          <w:lang w:val="uk-UA"/>
        </w:rPr>
        <w:t>озонотерапії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, що при</w:t>
      </w:r>
      <w:r w:rsidR="00574180" w:rsidRPr="00BA2F2F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1B79A1" w:rsidRPr="00BA2F2F">
        <w:rPr>
          <w:rFonts w:ascii="Times New Roman" w:hAnsi="Times New Roman" w:cs="Times New Roman"/>
          <w:sz w:val="20"/>
          <w:szCs w:val="20"/>
          <w:lang w:val="uk-UA"/>
        </w:rPr>
        <w:t>води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ть до </w:t>
      </w:r>
      <w:proofErr w:type="spellStart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реактивації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та відновлення кисневого гомеоста</w:t>
      </w:r>
      <w:r w:rsidR="007226D6" w:rsidRPr="00BA2F2F">
        <w:rPr>
          <w:rFonts w:ascii="Times New Roman" w:hAnsi="Times New Roman" w:cs="Times New Roman"/>
          <w:sz w:val="20"/>
          <w:szCs w:val="20"/>
          <w:lang w:val="uk-UA"/>
        </w:rPr>
        <w:t>зу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в організм</w:t>
      </w:r>
      <w:r w:rsidR="007F2C60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і хворих </w:t>
      </w:r>
      <w:r w:rsidR="007226D6" w:rsidRPr="00BA2F2F">
        <w:rPr>
          <w:rFonts w:ascii="Times New Roman" w:hAnsi="Times New Roman" w:cs="Times New Roman"/>
          <w:sz w:val="20"/>
          <w:szCs w:val="20"/>
          <w:lang w:val="uk-UA"/>
        </w:rPr>
        <w:t>з оптимізацією гемостазу і метаболізму</w:t>
      </w:r>
      <w:r w:rsidR="006D07F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80CAC" w:rsidRPr="00BA2F2F">
        <w:rPr>
          <w:rFonts w:ascii="Times New Roman" w:hAnsi="Times New Roman" w:cs="Times New Roman"/>
          <w:sz w:val="20"/>
          <w:szCs w:val="20"/>
          <w:lang w:val="uk-UA"/>
        </w:rPr>
        <w:t>регулю</w:t>
      </w:r>
      <w:r w:rsidR="006D07FC" w:rsidRPr="00BA2F2F">
        <w:rPr>
          <w:rFonts w:ascii="Times New Roman" w:hAnsi="Times New Roman" w:cs="Times New Roman"/>
          <w:sz w:val="20"/>
          <w:szCs w:val="20"/>
          <w:lang w:val="uk-UA"/>
        </w:rPr>
        <w:t>вання</w:t>
      </w:r>
      <w:r w:rsidR="00121C67" w:rsidRPr="00BA2F2F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6D07F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6D07FC" w:rsidRPr="00BA2F2F">
        <w:rPr>
          <w:rFonts w:ascii="Times New Roman" w:hAnsi="Times New Roman" w:cs="Times New Roman"/>
          <w:sz w:val="20"/>
          <w:szCs w:val="20"/>
          <w:lang w:val="uk-UA"/>
        </w:rPr>
        <w:t>про-</w:t>
      </w:r>
      <w:proofErr w:type="spellEnd"/>
      <w:r w:rsidR="006D07F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та антиоксидантних систем, а також імунної системи</w:t>
      </w:r>
      <w:r w:rsidR="00CA1F3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хворих. </w:t>
      </w:r>
    </w:p>
    <w:p w:rsidR="00405A42" w:rsidRPr="00BA2F2F" w:rsidRDefault="00233AA3" w:rsidP="00B17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В якості генератора озону використову</w:t>
      </w:r>
      <w:r w:rsidR="00141826" w:rsidRPr="00BA2F2F">
        <w:rPr>
          <w:rFonts w:ascii="Times New Roman" w:hAnsi="Times New Roman" w:cs="Times New Roman"/>
          <w:sz w:val="20"/>
          <w:szCs w:val="20"/>
          <w:lang w:val="uk-UA"/>
        </w:rPr>
        <w:t>ється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серійний апарат універсальний медичний «Озон УМ-80» ТУ У 33.1-30881586–001-2004, зареєстрований в Україні та дозволений для застосування в медичній практиці (сертифікат № 2578/2004, №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держреєстрації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14203/2014).</w:t>
      </w:r>
      <w:r w:rsidR="004C4B1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85583" w:rsidRPr="00BA2F2F">
        <w:rPr>
          <w:rFonts w:ascii="Times New Roman" w:hAnsi="Times New Roman" w:cs="Times New Roman"/>
          <w:sz w:val="20"/>
          <w:szCs w:val="20"/>
          <w:lang w:val="uk-UA"/>
        </w:rPr>
        <w:t>Алотропно</w:t>
      </w:r>
      <w:proofErr w:type="spellEnd"/>
      <w:r w:rsidR="00E855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модифікований кисень – озон (О</w:t>
      </w:r>
      <w:r w:rsidR="00E85583" w:rsidRPr="00BA2F2F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="00E855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) – отримується з медичного кисню шляхом електросинтезу. Концентрація </w:t>
      </w:r>
      <w:proofErr w:type="spellStart"/>
      <w:r w:rsidR="00E85583" w:rsidRPr="00BA2F2F">
        <w:rPr>
          <w:rFonts w:ascii="Times New Roman" w:hAnsi="Times New Roman" w:cs="Times New Roman"/>
          <w:sz w:val="20"/>
          <w:szCs w:val="20"/>
          <w:lang w:val="uk-UA"/>
        </w:rPr>
        <w:t>озоно-кисневої</w:t>
      </w:r>
      <w:proofErr w:type="spellEnd"/>
      <w:r w:rsidR="00E855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суміші в апараті регулюється з кроком 0,1 мг/л от 0,2 до 80 мг/л </w:t>
      </w:r>
      <w:r w:rsidR="00405A42" w:rsidRPr="00BA2F2F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E855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автоматич</w:t>
      </w:r>
      <w:r w:rsidR="00405A4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ною </w:t>
      </w:r>
      <w:r w:rsidR="00E85583" w:rsidRPr="00BA2F2F">
        <w:rPr>
          <w:rFonts w:ascii="Times New Roman" w:hAnsi="Times New Roman" w:cs="Times New Roman"/>
          <w:sz w:val="20"/>
          <w:szCs w:val="20"/>
          <w:lang w:val="uk-UA"/>
        </w:rPr>
        <w:t>системо</w:t>
      </w:r>
      <w:r w:rsidR="00405A42" w:rsidRPr="00BA2F2F">
        <w:rPr>
          <w:rFonts w:ascii="Times New Roman" w:hAnsi="Times New Roman" w:cs="Times New Roman"/>
          <w:sz w:val="20"/>
          <w:szCs w:val="20"/>
          <w:lang w:val="uk-UA"/>
        </w:rPr>
        <w:t>ю контролю</w:t>
      </w:r>
      <w:r w:rsidR="00E855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концентрац</w:t>
      </w:r>
      <w:r w:rsidR="00405A42" w:rsidRPr="00BA2F2F">
        <w:rPr>
          <w:rFonts w:ascii="Times New Roman" w:hAnsi="Times New Roman" w:cs="Times New Roman"/>
          <w:sz w:val="20"/>
          <w:szCs w:val="20"/>
          <w:lang w:val="uk-UA"/>
        </w:rPr>
        <w:t>ії</w:t>
      </w:r>
      <w:r w:rsidR="00E855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05A42" w:rsidRPr="00BA2F2F">
        <w:rPr>
          <w:rFonts w:ascii="Times New Roman" w:hAnsi="Times New Roman" w:cs="Times New Roman"/>
          <w:sz w:val="20"/>
          <w:szCs w:val="20"/>
          <w:lang w:val="uk-UA"/>
        </w:rPr>
        <w:t>і гарантованою чистотою</w:t>
      </w:r>
      <w:r w:rsidR="00E855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О</w:t>
      </w:r>
      <w:r w:rsidR="00E85583" w:rsidRPr="00BA2F2F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E85583" w:rsidRPr="00BA2F2F">
        <w:rPr>
          <w:rFonts w:ascii="Times New Roman" w:hAnsi="Times New Roman" w:cs="Times New Roman"/>
          <w:sz w:val="20"/>
          <w:szCs w:val="20"/>
          <w:lang w:val="uk-UA"/>
        </w:rPr>
        <w:t>/О</w:t>
      </w:r>
      <w:r w:rsidR="00E85583" w:rsidRPr="00BA2F2F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3</w:t>
      </w:r>
      <w:r w:rsidR="00E855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05A42" w:rsidRPr="00BA2F2F">
        <w:rPr>
          <w:rFonts w:ascii="Times New Roman" w:hAnsi="Times New Roman" w:cs="Times New Roman"/>
          <w:sz w:val="20"/>
          <w:szCs w:val="20"/>
          <w:lang w:val="uk-UA"/>
        </w:rPr>
        <w:t>суміші</w:t>
      </w:r>
      <w:r w:rsidR="00E8558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D13F75" w:rsidRPr="00BA2F2F" w:rsidRDefault="00405A42" w:rsidP="0029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Методики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озонотерапії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D13F75" w:rsidRPr="00BA2F2F" w:rsidRDefault="00D13F75" w:rsidP="0029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Велика автогемотерапія з озоном. У спеціальний контейнер з антикоагулянтами забирають 50–150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венозної крові, у неї вводять 50–300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="009525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45DAF" w:rsidRPr="00BA2F2F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зоно</w:t>
      </w:r>
      <w:r w:rsidR="00A45DAF" w:rsidRPr="00BA2F2F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кисневої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газової суміші з концентрацією озону 5–30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мкг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/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. Дуже ретельно змішують складники в контейнері, а потім кров повторно вводять пацієнту у вену. Кількість розчиненого у крові озону дорівнює добутку об’єму використаного газу та концентрації озону в ньому.</w:t>
      </w:r>
    </w:p>
    <w:p w:rsidR="00D13F75" w:rsidRPr="00BA2F2F" w:rsidRDefault="00D13F75" w:rsidP="0029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Внутрішньовенне введення озонованого фізіологічного розчину. </w:t>
      </w:r>
      <w:r w:rsidR="00734C63" w:rsidRPr="00BA2F2F">
        <w:rPr>
          <w:rFonts w:ascii="Times New Roman" w:hAnsi="Times New Roman" w:cs="Times New Roman"/>
          <w:sz w:val="20"/>
          <w:szCs w:val="20"/>
          <w:lang w:val="uk-UA"/>
        </w:rPr>
        <w:t>Фізіологічний р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озчин (200–400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) попередньо озонують, пропускаючи крізь нього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озоно</w:t>
      </w:r>
      <w:r w:rsidR="00A8103A" w:rsidRPr="00BA2F2F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кисневу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суміш. Концентрацію озону в рідині доводять до 2–6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мкг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/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13F75" w:rsidRPr="00BA2F2F" w:rsidRDefault="00D13F75" w:rsidP="0029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Мала автогемотерапія з озоном. Забір 5–15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венозної крові, змішування її з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озоно</w:t>
      </w:r>
      <w:r w:rsidR="00103798" w:rsidRPr="00BA2F2F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кисневою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газовою сумішшю з подальшим внутрішньо</w:t>
      </w:r>
      <w:r w:rsidR="00103798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м’язовим уведенням. </w:t>
      </w:r>
    </w:p>
    <w:p w:rsidR="00D13F75" w:rsidRPr="00BA2F2F" w:rsidRDefault="00D13F75" w:rsidP="0029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Зовнішнє застосування спеціально виготовлених олій, що містять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озоніди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9723CC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Олія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Озонід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» являє собою розчин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озонідів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ненасичених карбонових кислот природного походження в олії. «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Озонід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» виготовляється з оливкової, очищеної, рафінованої олії, в яку за допомогою озонатора додається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озоно-киснева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суміш в концентрації 6 мг/л</w:t>
      </w:r>
      <w:r w:rsidR="007F7FD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зі швидкістю потоку</w:t>
      </w:r>
      <w:r w:rsidR="006E0CAE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0,5 л/</w:t>
      </w:r>
      <w:proofErr w:type="spellStart"/>
      <w:r w:rsidR="006E0CAE" w:rsidRPr="00BA2F2F">
        <w:rPr>
          <w:rFonts w:ascii="Times New Roman" w:hAnsi="Times New Roman" w:cs="Times New Roman"/>
          <w:sz w:val="20"/>
          <w:szCs w:val="20"/>
          <w:lang w:val="uk-UA"/>
        </w:rPr>
        <w:t>хв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, час барботування — 1 година.</w:t>
      </w:r>
    </w:p>
    <w:p w:rsidR="00D13F75" w:rsidRPr="00BA2F2F" w:rsidRDefault="00D13F75" w:rsidP="00BA2F2F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:rsidR="004F5D63" w:rsidRPr="00132039" w:rsidRDefault="0056188F" w:rsidP="00BA2F2F">
      <w:pPr>
        <w:pStyle w:val="a7"/>
        <w:spacing w:after="0" w:line="240" w:lineRule="auto"/>
        <w:ind w:left="709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32039"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АЛГОРИТМ ПРОВЕДЕННЯ </w:t>
      </w:r>
      <w:r w:rsidR="00273737" w:rsidRPr="00132039">
        <w:rPr>
          <w:rFonts w:ascii="Arial" w:hAnsi="Arial" w:cs="Arial"/>
          <w:b/>
          <w:sz w:val="20"/>
          <w:szCs w:val="20"/>
          <w:lang w:val="uk-UA"/>
        </w:rPr>
        <w:t xml:space="preserve">КОМПЛЕКСНОЇ ТЕРАПІЇ  </w:t>
      </w:r>
      <w:r w:rsidR="00637125" w:rsidRPr="00132039">
        <w:rPr>
          <w:rFonts w:ascii="Arial" w:hAnsi="Arial" w:cs="Arial"/>
          <w:b/>
          <w:sz w:val="20"/>
          <w:szCs w:val="20"/>
          <w:lang w:val="uk-UA"/>
        </w:rPr>
        <w:t xml:space="preserve">УРОГЕНІТАЛЬНИХ МІКСТ-ІНФЕКЦІЙ </w:t>
      </w:r>
      <w:r w:rsidR="00734C63" w:rsidRPr="00132039">
        <w:rPr>
          <w:rFonts w:ascii="Arial" w:hAnsi="Arial" w:cs="Arial"/>
          <w:b/>
          <w:sz w:val="20"/>
          <w:szCs w:val="20"/>
          <w:lang w:val="uk-UA"/>
        </w:rPr>
        <w:t xml:space="preserve">(ТРИХОМОНОЗ, ХЛАМІДІОЗ, МІКОПЛАЗМОЗ, ГЕРПЕС) </w:t>
      </w:r>
      <w:r w:rsidR="00273737" w:rsidRPr="00132039">
        <w:rPr>
          <w:rFonts w:ascii="Arial" w:hAnsi="Arial" w:cs="Arial"/>
          <w:b/>
          <w:sz w:val="20"/>
          <w:szCs w:val="20"/>
          <w:lang w:val="uk-UA"/>
        </w:rPr>
        <w:t xml:space="preserve">З ВИКОРИСТАННЯМ ФАРМАКОЛОГІЧНИХ ТА НЕФАРМАКОЛОГІЧНИХ </w:t>
      </w:r>
      <w:r w:rsidR="0029523E" w:rsidRPr="00132039">
        <w:rPr>
          <w:rFonts w:ascii="Arial" w:hAnsi="Arial" w:cs="Arial"/>
          <w:b/>
          <w:sz w:val="20"/>
          <w:szCs w:val="20"/>
          <w:lang w:val="uk-UA"/>
        </w:rPr>
        <w:t>ЗАСОБІВ</w:t>
      </w:r>
    </w:p>
    <w:p w:rsidR="0029523E" w:rsidRPr="00BA2F2F" w:rsidRDefault="0029523E" w:rsidP="00BA2F2F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86125" w:rsidRPr="00BA2F2F" w:rsidRDefault="00A92436" w:rsidP="0029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Запропонований к</w:t>
      </w:r>
      <w:r w:rsidR="00B8612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омплексний метод лікування хворих на хронічну </w:t>
      </w:r>
      <w:proofErr w:type="spellStart"/>
      <w:r w:rsidR="00B86125"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урогенітальну</w:t>
      </w:r>
      <w:proofErr w:type="spellEnd"/>
      <w:r w:rsidR="00B8612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мікст-інфекцію з використанням фармакологічних та нефармакологічних засобів рекомендований для наступних асоціацій патологічних збудників: </w:t>
      </w:r>
    </w:p>
    <w:p w:rsidR="00B86125" w:rsidRPr="00BA2F2F" w:rsidRDefault="00B86125" w:rsidP="00BA2F2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proofErr w:type="spellStart"/>
      <w:r w:rsidRPr="00BA2F2F">
        <w:rPr>
          <w:rFonts w:ascii="Times New Roman" w:eastAsia="Times New Roman" w:hAnsi="Times New Roman" w:cs="Times New Roman"/>
          <w:sz w:val="20"/>
          <w:szCs w:val="20"/>
          <w:lang w:eastAsia="ru-RU"/>
        </w:rPr>
        <w:t>рихомонад</w:t>
      </w:r>
      <w:proofErr w:type="spellEnd"/>
      <w:r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BA2F2F">
        <w:rPr>
          <w:rFonts w:ascii="Times New Roman" w:eastAsia="Times New Roman" w:hAnsi="Times New Roman" w:cs="Times New Roman"/>
          <w:sz w:val="20"/>
          <w:szCs w:val="20"/>
          <w:lang w:eastAsia="ru-RU"/>
        </w:rPr>
        <w:t>, хлам</w:t>
      </w:r>
      <w:r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BA2F2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Start"/>
      <w:r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proofErr w:type="spellEnd"/>
      <w:r w:rsidR="00D66CEB" w:rsidRPr="00BA2F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D66CEB" w:rsidRPr="00BA2F2F">
        <w:rPr>
          <w:rFonts w:ascii="Times New Roman" w:eastAsia="Times New Roman" w:hAnsi="Times New Roman" w:cs="Times New Roman"/>
          <w:sz w:val="20"/>
          <w:szCs w:val="20"/>
          <w:lang w:eastAsia="ru-RU"/>
        </w:rPr>
        <w:t>уре</w:t>
      </w:r>
      <w:proofErr w:type="spellEnd"/>
      <w:r w:rsidR="00D66CEB"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BA2F2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плазм</w:t>
      </w:r>
      <w:r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BA2F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D30D8"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герпес</w:t>
      </w:r>
      <w:proofErr w:type="spellEnd"/>
      <w:r w:rsidRPr="00BA2F2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BA2F2F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</w:t>
      </w:r>
      <w:r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и;</w:t>
      </w:r>
    </w:p>
    <w:p w:rsidR="00B86125" w:rsidRPr="00BA2F2F" w:rsidRDefault="00B86125" w:rsidP="00BA2F2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BA2F2F">
        <w:rPr>
          <w:rFonts w:ascii="Times New Roman" w:eastAsia="Times New Roman" w:hAnsi="Times New Roman" w:cs="Times New Roman"/>
          <w:sz w:val="20"/>
          <w:szCs w:val="20"/>
          <w:lang w:eastAsia="ru-RU"/>
        </w:rPr>
        <w:t>лам</w:t>
      </w:r>
      <w:r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BA2F2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Start"/>
      <w:r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proofErr w:type="spellEnd"/>
      <w:r w:rsidRPr="00BA2F2F">
        <w:rPr>
          <w:rFonts w:ascii="Times New Roman" w:eastAsia="Times New Roman" w:hAnsi="Times New Roman" w:cs="Times New Roman"/>
          <w:sz w:val="20"/>
          <w:szCs w:val="20"/>
          <w:lang w:eastAsia="ru-RU"/>
        </w:rPr>
        <w:t>, м</w:t>
      </w:r>
      <w:r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proofErr w:type="spellStart"/>
      <w:r w:rsidRPr="00BA2F2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коплазм</w:t>
      </w:r>
      <w:proofErr w:type="spellEnd"/>
      <w:r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BA2F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D30D8"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герпес</w:t>
      </w:r>
      <w:proofErr w:type="spellEnd"/>
      <w:r w:rsidRPr="00BA2F2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BA2F2F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</w:t>
      </w:r>
      <w:r w:rsidRPr="00BA2F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и;</w:t>
      </w:r>
    </w:p>
    <w:p w:rsidR="00B86125" w:rsidRPr="00BA2F2F" w:rsidRDefault="00B86125" w:rsidP="00BA2F2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трихомонади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мікоплазми, </w:t>
      </w:r>
      <w:proofErr w:type="spellStart"/>
      <w:r w:rsidR="007D30D8" w:rsidRPr="00BA2F2F">
        <w:rPr>
          <w:rFonts w:ascii="Times New Roman" w:hAnsi="Times New Roman" w:cs="Times New Roman"/>
          <w:sz w:val="20"/>
          <w:szCs w:val="20"/>
          <w:lang w:val="uk-UA"/>
        </w:rPr>
        <w:t>герпес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віруси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EE44AE" w:rsidRPr="00BA2F2F" w:rsidRDefault="00A569EC" w:rsidP="0029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Основу алгоритму комплексної терапії </w:t>
      </w:r>
      <w:proofErr w:type="spellStart"/>
      <w:r w:rsidR="000A3FE8"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урогенітальної</w:t>
      </w:r>
      <w:proofErr w:type="spellEnd"/>
      <w:r w:rsidR="000A3FE8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мікст інфекції (</w:t>
      </w:r>
      <w:proofErr w:type="spellStart"/>
      <w:r w:rsidR="000A3FE8" w:rsidRPr="00BA2F2F">
        <w:rPr>
          <w:rFonts w:ascii="Times New Roman" w:hAnsi="Times New Roman" w:cs="Times New Roman"/>
          <w:sz w:val="20"/>
          <w:szCs w:val="20"/>
          <w:lang w:val="uk-UA"/>
        </w:rPr>
        <w:t>трихомонади</w:t>
      </w:r>
      <w:proofErr w:type="spellEnd"/>
      <w:r w:rsidR="000A3FE8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A3FE8" w:rsidRPr="00BA2F2F">
        <w:rPr>
          <w:rFonts w:ascii="Times New Roman" w:hAnsi="Times New Roman" w:cs="Times New Roman"/>
          <w:sz w:val="20"/>
          <w:szCs w:val="20"/>
          <w:lang w:val="uk-UA"/>
        </w:rPr>
        <w:t>хламідії</w:t>
      </w:r>
      <w:proofErr w:type="spellEnd"/>
      <w:r w:rsidR="000A3FE8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мікоплазми, </w:t>
      </w:r>
      <w:proofErr w:type="spellStart"/>
      <w:r w:rsidR="007D30D8" w:rsidRPr="00BA2F2F">
        <w:rPr>
          <w:rFonts w:ascii="Times New Roman" w:hAnsi="Times New Roman" w:cs="Times New Roman"/>
          <w:sz w:val="20"/>
          <w:szCs w:val="20"/>
          <w:lang w:val="uk-UA"/>
        </w:rPr>
        <w:t>герпес</w:t>
      </w:r>
      <w:r w:rsidR="000A3FE8" w:rsidRPr="00BA2F2F">
        <w:rPr>
          <w:rFonts w:ascii="Times New Roman" w:hAnsi="Times New Roman" w:cs="Times New Roman"/>
          <w:sz w:val="20"/>
          <w:szCs w:val="20"/>
          <w:lang w:val="uk-UA"/>
        </w:rPr>
        <w:t>віруси</w:t>
      </w:r>
      <w:proofErr w:type="spellEnd"/>
      <w:r w:rsidR="000A3FE8" w:rsidRPr="00BA2F2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складає базова 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терапія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, що</w:t>
      </w:r>
      <w:r w:rsidR="009548D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включає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медикаментозні препарати і схеми їх застосування за затвердженими клінічними протоколами надання допомоги хворим </w:t>
      </w:r>
      <w:proofErr w:type="spellStart"/>
      <w:r w:rsidR="009769B5" w:rsidRPr="00BA2F2F">
        <w:rPr>
          <w:rFonts w:ascii="Times New Roman" w:hAnsi="Times New Roman" w:cs="Times New Roman"/>
          <w:sz w:val="20"/>
          <w:szCs w:val="20"/>
          <w:lang w:val="uk-UA"/>
        </w:rPr>
        <w:t>дерматовенерологічного</w:t>
      </w:r>
      <w:proofErr w:type="spellEnd"/>
      <w:r w:rsidR="009769B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пр</w:t>
      </w:r>
      <w:r w:rsidR="008B4C38" w:rsidRPr="00BA2F2F">
        <w:rPr>
          <w:rFonts w:ascii="Times New Roman" w:hAnsi="Times New Roman" w:cs="Times New Roman"/>
          <w:sz w:val="20"/>
          <w:szCs w:val="20"/>
          <w:lang w:val="uk-UA"/>
        </w:rPr>
        <w:t>офілю (</w:t>
      </w:r>
      <w:r w:rsidR="00BE5642" w:rsidRPr="00BA2F2F">
        <w:rPr>
          <w:rFonts w:ascii="Times New Roman" w:hAnsi="Times New Roman" w:cs="Times New Roman"/>
          <w:sz w:val="20"/>
          <w:szCs w:val="20"/>
          <w:lang w:val="uk-UA"/>
        </w:rPr>
        <w:t>Наказ</w:t>
      </w:r>
      <w:r w:rsidR="00286DA4" w:rsidRPr="00BA2F2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BE564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МОЗ України </w:t>
      </w:r>
      <w:r w:rsidR="00286DA4" w:rsidRPr="00BA2F2F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BE564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Про удосконалення </w:t>
      </w:r>
      <w:proofErr w:type="spellStart"/>
      <w:r w:rsidR="00BE5642" w:rsidRPr="00BA2F2F">
        <w:rPr>
          <w:rFonts w:ascii="Times New Roman" w:hAnsi="Times New Roman" w:cs="Times New Roman"/>
          <w:sz w:val="20"/>
          <w:szCs w:val="20"/>
          <w:lang w:val="uk-UA"/>
        </w:rPr>
        <w:t>дерматовенерологічної</w:t>
      </w:r>
      <w:proofErr w:type="spellEnd"/>
      <w:r w:rsidR="00BE564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допомоги населенню України</w:t>
      </w:r>
      <w:r w:rsidR="00286DA4" w:rsidRPr="00BA2F2F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BE564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523E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BE564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№ 286 від 07.06.2004 року та </w:t>
      </w:r>
      <w:r w:rsidR="00286DA4" w:rsidRPr="00BA2F2F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BE564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Про затвердження клінічних протоколів надання медичної допомоги хворим на </w:t>
      </w:r>
      <w:proofErr w:type="spellStart"/>
      <w:r w:rsidR="00BE5642" w:rsidRPr="00BA2F2F">
        <w:rPr>
          <w:rFonts w:ascii="Times New Roman" w:hAnsi="Times New Roman" w:cs="Times New Roman"/>
          <w:sz w:val="20"/>
          <w:szCs w:val="20"/>
          <w:lang w:val="uk-UA"/>
        </w:rPr>
        <w:t>дерматовенерологічні</w:t>
      </w:r>
      <w:proofErr w:type="spellEnd"/>
      <w:r w:rsidR="00BE564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захворювання</w:t>
      </w:r>
      <w:r w:rsidR="00286DA4" w:rsidRPr="00BA2F2F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BE564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№ 312 від 08.05.2009 року</w:t>
      </w:r>
      <w:r w:rsidR="00D66CEB" w:rsidRPr="00BA2F2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BE5642"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F5D63" w:rsidRPr="00BA2F2F" w:rsidRDefault="00EE44AE" w:rsidP="0029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огляду на тривалість життєвого циклу </w:t>
      </w:r>
      <w:proofErr w:type="spellStart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трихомонад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13 діб (311,5±10,6 годину), перший тиждень за результатами мікробіологічної чутливості проводи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ться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лікування </w:t>
      </w:r>
      <w:proofErr w:type="spellStart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трихомонад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препаратами групи 5-НІ</w:t>
      </w:r>
      <w:r w:rsidR="00574180" w:rsidRPr="00BA2F2F">
        <w:rPr>
          <w:rFonts w:ascii="Times New Roman" w:hAnsi="Times New Roman" w:cs="Times New Roman"/>
          <w:sz w:val="20"/>
          <w:szCs w:val="20"/>
          <w:lang w:val="uk-UA"/>
        </w:rPr>
        <w:t>МЗ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за наступною схемою: </w:t>
      </w:r>
      <w:proofErr w:type="spellStart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метронідазол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або </w:t>
      </w:r>
      <w:proofErr w:type="spellStart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тинідазол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одноразово у початковій дозі 2 г, потім по 500 мг×2 р. на день ще протягом 6 днів. Далі лік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ування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трихомон</w:t>
      </w:r>
      <w:r w:rsidR="00C51877" w:rsidRPr="00BA2F2F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зу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поєднується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з лікуванням </w:t>
      </w:r>
      <w:proofErr w:type="spellStart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урогенітальної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101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бактеріальної 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та вірусної інфекції.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F503C" w:rsidRPr="00BA2F2F">
        <w:rPr>
          <w:rFonts w:ascii="Times New Roman" w:hAnsi="Times New Roman" w:cs="Times New Roman"/>
          <w:sz w:val="20"/>
          <w:szCs w:val="20"/>
        </w:rPr>
        <w:t xml:space="preserve"> </w:t>
      </w:r>
      <w:r w:rsidR="0070684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разі резистентності </w:t>
      </w:r>
      <w:proofErr w:type="spellStart"/>
      <w:r w:rsidR="00706841" w:rsidRPr="00BA2F2F">
        <w:rPr>
          <w:rFonts w:ascii="Times New Roman" w:hAnsi="Times New Roman" w:cs="Times New Roman"/>
          <w:sz w:val="20"/>
          <w:szCs w:val="20"/>
          <w:lang w:val="uk-UA"/>
        </w:rPr>
        <w:t>трихомоно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зу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до препаратів групи 5-НІ</w:t>
      </w:r>
      <w:r w:rsidR="00574180" w:rsidRPr="00BA2F2F">
        <w:rPr>
          <w:rFonts w:ascii="Times New Roman" w:hAnsi="Times New Roman" w:cs="Times New Roman"/>
          <w:sz w:val="20"/>
          <w:szCs w:val="20"/>
          <w:lang w:val="uk-UA"/>
        </w:rPr>
        <w:t>МЗ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оча</w:t>
      </w:r>
      <w:r w:rsidR="0070684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тковий курс лікування </w:t>
      </w:r>
      <w:proofErr w:type="spellStart"/>
      <w:r w:rsidR="00706841" w:rsidRPr="00BA2F2F">
        <w:rPr>
          <w:rFonts w:ascii="Times New Roman" w:hAnsi="Times New Roman" w:cs="Times New Roman"/>
          <w:sz w:val="20"/>
          <w:szCs w:val="20"/>
          <w:lang w:val="uk-UA"/>
        </w:rPr>
        <w:t>трихомоно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зу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продовжується на 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10 днів комплексом </w:t>
      </w:r>
      <w:r w:rsidR="003F4059" w:rsidRPr="00BA2F2F">
        <w:rPr>
          <w:rFonts w:ascii="Times New Roman" w:hAnsi="Times New Roman" w:cs="Times New Roman"/>
          <w:sz w:val="20"/>
          <w:szCs w:val="20"/>
          <w:lang w:val="uk-UA"/>
        </w:rPr>
        <w:t>ППТ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орнідазол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по 0,5 г×2 р. на день у поєднанні з </w:t>
      </w:r>
      <w:proofErr w:type="spellStart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альбендазолом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по 0</w:t>
      </w:r>
      <w:r w:rsidR="00574180" w:rsidRPr="00BA2F2F">
        <w:rPr>
          <w:rFonts w:ascii="Times New Roman" w:hAnsi="Times New Roman" w:cs="Times New Roman"/>
          <w:sz w:val="20"/>
          <w:szCs w:val="20"/>
          <w:lang w:val="uk-UA"/>
        </w:rPr>
        <w:t>,4 г×2 р. в день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574180" w:rsidRPr="00BA2F2F" w:rsidRDefault="004F5D63" w:rsidP="0029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Починаючи з другого тижня лікування, проводи</w:t>
      </w:r>
      <w:r w:rsidR="00EE44AE" w:rsidRPr="00BA2F2F">
        <w:rPr>
          <w:rFonts w:ascii="Times New Roman" w:hAnsi="Times New Roman" w:cs="Times New Roman"/>
          <w:sz w:val="20"/>
          <w:szCs w:val="20"/>
          <w:lang w:val="uk-UA"/>
        </w:rPr>
        <w:t>ть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ся додатково наступна антибактеріальна терапія. На початку, враховуючи незначний вплив на анаер</w:t>
      </w:r>
      <w:r w:rsidR="001934B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обну ланку мікрофлори піхви і </w:t>
      </w:r>
      <w:proofErr w:type="spellStart"/>
      <w:r w:rsidR="001934B1" w:rsidRPr="00BA2F2F">
        <w:rPr>
          <w:rFonts w:ascii="Times New Roman" w:hAnsi="Times New Roman" w:cs="Times New Roman"/>
          <w:sz w:val="20"/>
          <w:szCs w:val="20"/>
          <w:lang w:val="uk-UA"/>
        </w:rPr>
        <w:t>ки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ш</w:t>
      </w:r>
      <w:r w:rsidR="00D05E42" w:rsidRPr="00BA2F2F">
        <w:rPr>
          <w:rFonts w:ascii="Times New Roman" w:hAnsi="Times New Roman" w:cs="Times New Roman"/>
          <w:sz w:val="20"/>
          <w:szCs w:val="20"/>
          <w:lang w:val="uk-UA"/>
        </w:rPr>
        <w:t>ківника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, признача</w:t>
      </w:r>
      <w:r w:rsidR="00574180" w:rsidRPr="00BA2F2F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="00EE44AE" w:rsidRPr="00BA2F2F">
        <w:rPr>
          <w:rFonts w:ascii="Times New Roman" w:hAnsi="Times New Roman" w:cs="Times New Roman"/>
          <w:sz w:val="20"/>
          <w:szCs w:val="20"/>
          <w:lang w:val="uk-UA"/>
        </w:rPr>
        <w:t>ться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препарати групи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фторхінолонів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ципрофлоксацин</w:t>
      </w:r>
      <w:proofErr w:type="spellEnd"/>
      <w:r w:rsidR="00574180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по 0</w:t>
      </w:r>
      <w:r w:rsidR="00D05E4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,5 г </w:t>
      </w:r>
      <w:r w:rsidR="00706841" w:rsidRPr="00BA2F2F">
        <w:rPr>
          <w:rFonts w:ascii="Times New Roman" w:hAnsi="Times New Roman" w:cs="Times New Roman"/>
          <w:sz w:val="20"/>
          <w:szCs w:val="20"/>
          <w:lang w:val="uk-UA"/>
        </w:rPr>
        <w:t>2 рази</w:t>
      </w:r>
      <w:r w:rsidR="00D05E4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на день або  </w:t>
      </w:r>
      <w:proofErr w:type="spellStart"/>
      <w:r w:rsidR="00D05E42" w:rsidRPr="00BA2F2F">
        <w:rPr>
          <w:rFonts w:ascii="Times New Roman" w:hAnsi="Times New Roman" w:cs="Times New Roman"/>
          <w:sz w:val="20"/>
          <w:szCs w:val="20"/>
          <w:lang w:val="uk-UA"/>
        </w:rPr>
        <w:t>гати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флоксацин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по 0,2 г</w:t>
      </w:r>
      <w:r w:rsidR="0070684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2 рази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на день 10 днів), а потім ще протягом 14 днів в стандартному дозуванні антибіотики групи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макролідів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кларитроміцин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або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джозаміцин</w:t>
      </w:r>
      <w:proofErr w:type="spellEnd"/>
      <w:r w:rsidR="00574180" w:rsidRPr="00BA2F2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4F511E" w:rsidRPr="00BA2F2F" w:rsidRDefault="004F5D63" w:rsidP="0029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Місцево провод</w:t>
      </w:r>
      <w:r w:rsidR="00FC28A6" w:rsidRPr="00BA2F2F">
        <w:rPr>
          <w:rFonts w:ascii="Times New Roman" w:hAnsi="Times New Roman" w:cs="Times New Roman"/>
          <w:sz w:val="20"/>
          <w:szCs w:val="20"/>
          <w:lang w:val="uk-UA"/>
        </w:rPr>
        <w:t>яться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щоденні 15-20-хвилинні інстиляції у чоловіків уретри, а у жінок піхви приготованим на основі риб'ячого жиру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антибактеріальним </w:t>
      </w:r>
      <w:r w:rsidR="00706841" w:rsidRPr="00BA2F2F">
        <w:rPr>
          <w:rFonts w:ascii="Times New Roman" w:hAnsi="Times New Roman" w:cs="Times New Roman"/>
          <w:sz w:val="20"/>
          <w:szCs w:val="20"/>
          <w:lang w:val="uk-UA"/>
        </w:rPr>
        <w:t>розчином, що містить  продукти окислення риб’ячого жиру в розчині 9 г/л натрію хлориду</w:t>
      </w:r>
      <w:r w:rsidR="004F511E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(розчин для зовнішнього застосування</w:t>
      </w:r>
      <w:r w:rsidR="0070684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по 50 </w:t>
      </w:r>
      <w:proofErr w:type="spellStart"/>
      <w:r w:rsidR="00706841" w:rsidRPr="00BA2F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="0070684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або по 250 </w:t>
      </w:r>
      <w:proofErr w:type="spellStart"/>
      <w:r w:rsidR="00706841" w:rsidRPr="00BA2F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="0070684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в пляшках № 1, термін дії 20.12.2016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70684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4F5D63" w:rsidRPr="00BA2F2F" w:rsidRDefault="00E85583" w:rsidP="0029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Вразі виявлення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герпесвірусної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інфекції о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дночасно проводи</w:t>
      </w:r>
      <w:r w:rsidR="00236C5B" w:rsidRPr="00BA2F2F">
        <w:rPr>
          <w:rFonts w:ascii="Times New Roman" w:hAnsi="Times New Roman" w:cs="Times New Roman"/>
          <w:sz w:val="20"/>
          <w:szCs w:val="20"/>
          <w:lang w:val="uk-UA"/>
        </w:rPr>
        <w:t>ть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ся противірусна терапія </w:t>
      </w:r>
      <w:proofErr w:type="spellStart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валацикловіром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по 500 мг 2-3 рази на добу протягом 7-14 діб з </w:t>
      </w:r>
      <w:r w:rsidR="004863B6" w:rsidRPr="00BA2F2F">
        <w:rPr>
          <w:rFonts w:ascii="Times New Roman" w:hAnsi="Times New Roman" w:cs="Times New Roman"/>
          <w:sz w:val="20"/>
          <w:szCs w:val="20"/>
          <w:lang w:val="uk-UA"/>
        </w:rPr>
        <w:t>внутрішньо</w:t>
      </w:r>
      <w:r w:rsidR="007D45FA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863B6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м'язовим введенням </w:t>
      </w:r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1-2 </w:t>
      </w:r>
      <w:proofErr w:type="spellStart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млн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МО </w:t>
      </w:r>
      <w:proofErr w:type="spellStart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рекомбінантних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інтерферонів альфа-2b протягом 10 днів і подальшим введенням за стандартною схемою індукторів інтерферонів (</w:t>
      </w:r>
      <w:proofErr w:type="spellStart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аміксин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гропринозин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або </w:t>
      </w:r>
      <w:proofErr w:type="spellStart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циклоферон</w:t>
      </w:r>
      <w:proofErr w:type="spellEnd"/>
      <w:r w:rsidR="004F5D63" w:rsidRPr="00BA2F2F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374179" w:rsidRPr="00BA2F2F" w:rsidRDefault="0058478D" w:rsidP="0029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Проведення у хворих курсів </w:t>
      </w:r>
      <w:r w:rsidR="00574180" w:rsidRPr="00BA2F2F">
        <w:rPr>
          <w:rFonts w:ascii="Times New Roman" w:hAnsi="Times New Roman" w:cs="Times New Roman"/>
          <w:sz w:val="20"/>
          <w:szCs w:val="20"/>
          <w:lang w:val="uk-UA"/>
        </w:rPr>
        <w:t>ОТ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відбувається </w:t>
      </w:r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комплексом системної та місцевої </w:t>
      </w:r>
      <w:proofErr w:type="spellStart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>озонотерапії</w:t>
      </w:r>
      <w:proofErr w:type="spellEnd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 Системну </w:t>
      </w:r>
      <w:proofErr w:type="spellStart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>озонотерапію</w:t>
      </w:r>
      <w:proofErr w:type="spellEnd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проводять через день внутрішньовенно за м</w:t>
      </w:r>
      <w:r w:rsidR="00B62792" w:rsidRPr="00BA2F2F">
        <w:rPr>
          <w:rFonts w:ascii="Times New Roman" w:hAnsi="Times New Roman" w:cs="Times New Roman"/>
          <w:sz w:val="20"/>
          <w:szCs w:val="20"/>
          <w:lang w:val="uk-UA"/>
        </w:rPr>
        <w:t>етодикою великої автогемотерапі</w:t>
      </w:r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ї з озоном. Для цього венозну кров у кількості 50-150 </w:t>
      </w:r>
      <w:proofErr w:type="spellStart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збирають у спеціальний контейнер з антикоагулянтом і додають 50-300 </w:t>
      </w:r>
      <w:proofErr w:type="spellStart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>озоно-кисневої</w:t>
      </w:r>
      <w:proofErr w:type="spellEnd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газової суміші з концентрацією озону 5-20 мг/л, дуже ретельно змішують та отриману суміш вводять пацієнту у вену. Місцева </w:t>
      </w:r>
      <w:proofErr w:type="spellStart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>озонотерапія</w:t>
      </w:r>
      <w:proofErr w:type="spellEnd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у чоловіків проводиться використанням </w:t>
      </w:r>
      <w:proofErr w:type="spellStart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>мікроклізм</w:t>
      </w:r>
      <w:proofErr w:type="spellEnd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із озонованої олії «</w:t>
      </w:r>
      <w:proofErr w:type="spellStart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>Озонід</w:t>
      </w:r>
      <w:proofErr w:type="spellEnd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» у кількості 20,0 </w:t>
      </w:r>
      <w:proofErr w:type="spellStart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і концентрацією </w:t>
      </w:r>
      <w:proofErr w:type="spellStart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>озонідів</w:t>
      </w:r>
      <w:proofErr w:type="spellEnd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20,0±1  мг/л курсом № 30, а також інстиляції в уретру з її висхідним масажем олії «</w:t>
      </w:r>
      <w:proofErr w:type="spellStart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>Озонід</w:t>
      </w:r>
      <w:proofErr w:type="spellEnd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» 5,0 -10,0 мг/л по 10 </w:t>
      </w:r>
      <w:proofErr w:type="spellStart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на 20 хв. щодня № 10 - 20. У жінок для санації піхви використовуються щоденні 20-хвилинні вагінальні ванни з озонованою олією «</w:t>
      </w:r>
      <w:proofErr w:type="spellStart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>Озонід</w:t>
      </w:r>
      <w:proofErr w:type="spellEnd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>», для чого ватні тампони просочують олією «</w:t>
      </w:r>
      <w:proofErr w:type="spellStart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>Озонід</w:t>
      </w:r>
      <w:proofErr w:type="spellEnd"/>
      <w:r w:rsidR="00D13F75" w:rsidRPr="00BA2F2F">
        <w:rPr>
          <w:rFonts w:ascii="Times New Roman" w:hAnsi="Times New Roman" w:cs="Times New Roman"/>
          <w:sz w:val="20"/>
          <w:szCs w:val="20"/>
          <w:lang w:val="uk-UA"/>
        </w:rPr>
        <w:t>» з концентрацією озону 5,0 -10,0 мг/л № 10 -20.  </w:t>
      </w:r>
    </w:p>
    <w:p w:rsidR="00374179" w:rsidRPr="00BA2F2F" w:rsidRDefault="00374179" w:rsidP="00BA2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C40F2" w:rsidRPr="00132039" w:rsidRDefault="00036A6A" w:rsidP="00BA2F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br w:type="page"/>
      </w:r>
      <w:r w:rsidR="008D4477" w:rsidRPr="00132039">
        <w:rPr>
          <w:rFonts w:ascii="Arial" w:hAnsi="Arial" w:cs="Arial"/>
          <w:b/>
          <w:sz w:val="20"/>
          <w:szCs w:val="20"/>
          <w:lang w:val="uk-UA"/>
        </w:rPr>
        <w:lastRenderedPageBreak/>
        <w:t>ВИВЧЕННЯ</w:t>
      </w:r>
      <w:r w:rsidR="008D4477" w:rsidRPr="00132039">
        <w:rPr>
          <w:rFonts w:ascii="Arial" w:hAnsi="Arial" w:cs="Arial"/>
          <w:sz w:val="20"/>
          <w:szCs w:val="20"/>
          <w:lang w:val="uk-UA"/>
        </w:rPr>
        <w:t xml:space="preserve"> </w:t>
      </w:r>
      <w:r w:rsidR="008D4477" w:rsidRPr="00132039">
        <w:rPr>
          <w:rFonts w:ascii="Arial" w:hAnsi="Arial" w:cs="Arial"/>
          <w:b/>
          <w:sz w:val="20"/>
          <w:szCs w:val="20"/>
          <w:lang w:val="uk-UA"/>
        </w:rPr>
        <w:t>ЕФЕКТИВНОСТІ</w:t>
      </w:r>
      <w:r w:rsidR="00A92436" w:rsidRPr="00132039">
        <w:rPr>
          <w:rFonts w:ascii="Arial" w:hAnsi="Arial" w:cs="Arial"/>
          <w:b/>
          <w:sz w:val="20"/>
          <w:szCs w:val="20"/>
          <w:lang w:val="uk-UA"/>
        </w:rPr>
        <w:t xml:space="preserve"> КОМПЛЕКСНОЇ ТЕРАПІЇ  </w:t>
      </w:r>
      <w:r w:rsidR="00E06A11" w:rsidRPr="00132039">
        <w:rPr>
          <w:rFonts w:ascii="Arial" w:hAnsi="Arial" w:cs="Arial"/>
          <w:b/>
          <w:sz w:val="20"/>
          <w:szCs w:val="20"/>
          <w:lang w:val="uk-UA"/>
        </w:rPr>
        <w:t xml:space="preserve">УРОГЕНІТАЛЬНИХ МІКСТ-ІНФЕКЦІЙ </w:t>
      </w:r>
      <w:r w:rsidR="001F7851" w:rsidRPr="00132039">
        <w:rPr>
          <w:rFonts w:ascii="Arial" w:hAnsi="Arial" w:cs="Arial"/>
          <w:b/>
          <w:sz w:val="20"/>
          <w:szCs w:val="20"/>
          <w:lang w:val="uk-UA"/>
        </w:rPr>
        <w:t xml:space="preserve">(ТРИХОМОНОЗ, ХЛАМІДІОЗ, МІКОПЛАЗМОЗ, ГЕРПЕС) </w:t>
      </w:r>
      <w:r w:rsidR="007C40F2" w:rsidRPr="00132039">
        <w:rPr>
          <w:rFonts w:ascii="Arial" w:hAnsi="Arial" w:cs="Arial"/>
          <w:b/>
          <w:sz w:val="20"/>
          <w:szCs w:val="20"/>
          <w:lang w:val="uk-UA"/>
        </w:rPr>
        <w:t>З ВИКОРИСТАННЯМ ФАРМАКОЛОГІЧНИХ ТА НЕФАРМАКОЛОГІЧНИХ ЗАСОБІВ</w:t>
      </w:r>
    </w:p>
    <w:p w:rsidR="000D3B04" w:rsidRPr="00BA2F2F" w:rsidRDefault="007C40F2" w:rsidP="00BA2F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A343F5" w:rsidRPr="00BA2F2F" w:rsidRDefault="00A343F5" w:rsidP="0013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Під спостереженням перебував 161 хворий. Чоловіків було 101 (67,2 %), жінок – 60 (37,3 %). Середній вік 28,3±2,1 років. Пацієнти були розділені на 3 порівнянні групи. До групи контролю </w:t>
      </w:r>
      <w:r w:rsidR="004C5479" w:rsidRPr="00BA2F2F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E85BDB" w:rsidRPr="00BA2F2F">
        <w:rPr>
          <w:rFonts w:ascii="Times New Roman" w:hAnsi="Times New Roman" w:cs="Times New Roman"/>
          <w:sz w:val="20"/>
          <w:szCs w:val="20"/>
          <w:lang w:val="uk-UA"/>
        </w:rPr>
        <w:t>Ⅰ</w:t>
      </w:r>
      <w:r w:rsidR="004C547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група)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увійшли</w:t>
      </w:r>
      <w:r w:rsidR="00E85BD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2</w:t>
      </w:r>
      <w:r w:rsidR="004C5479" w:rsidRPr="00BA2F2F">
        <w:rPr>
          <w:rFonts w:ascii="Times New Roman" w:hAnsi="Times New Roman" w:cs="Times New Roman"/>
          <w:sz w:val="20"/>
          <w:szCs w:val="20"/>
          <w:lang w:val="uk-UA"/>
        </w:rPr>
        <w:t>3 хворих [13 (56,5 %) чоловіків і 10 (43,5 %) жінок]</w:t>
      </w:r>
      <w:r w:rsidR="00E85BDB" w:rsidRPr="00BA2F2F">
        <w:rPr>
          <w:rFonts w:ascii="Times New Roman" w:hAnsi="Times New Roman" w:cs="Times New Roman"/>
          <w:sz w:val="20"/>
          <w:szCs w:val="20"/>
          <w:lang w:val="uk-UA"/>
        </w:rPr>
        <w:t>, яким проводилась традиційно-стандартизована терапія. До групи порівняння (</w:t>
      </w:r>
      <w:r w:rsidR="00E85BDB" w:rsidRPr="00BA2F2F">
        <w:rPr>
          <w:rFonts w:ascii="Times New Roman" w:hAnsi="Times New Roman" w:cs="Times New Roman"/>
          <w:sz w:val="20"/>
          <w:szCs w:val="20"/>
          <w:lang w:val="uk-UA" w:bidi="he-IL"/>
        </w:rPr>
        <w:t xml:space="preserve">Ⅱ </w:t>
      </w:r>
      <w:r w:rsidR="00E85BD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група) увійшли 53 хворих [35 (66,0 %) чоловіків і 18 (34,0 %) жінок], яким вводилися </w:t>
      </w:r>
      <w:proofErr w:type="spellStart"/>
      <w:r w:rsidR="000A3FE8" w:rsidRPr="00BA2F2F">
        <w:rPr>
          <w:rFonts w:ascii="Times New Roman" w:hAnsi="Times New Roman" w:cs="Times New Roman"/>
          <w:sz w:val="20"/>
          <w:szCs w:val="20"/>
          <w:lang w:val="uk-UA"/>
        </w:rPr>
        <w:t>проти</w:t>
      </w:r>
      <w:r w:rsidR="00C97A84" w:rsidRPr="00BA2F2F">
        <w:rPr>
          <w:rFonts w:ascii="Times New Roman" w:hAnsi="Times New Roman" w:cs="Times New Roman"/>
          <w:sz w:val="20"/>
          <w:szCs w:val="20"/>
          <w:lang w:val="uk-UA"/>
        </w:rPr>
        <w:t>паразитарні</w:t>
      </w:r>
      <w:proofErr w:type="spellEnd"/>
      <w:r w:rsidR="00C97A8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препарати, індуктори інтерферонів, а також </w:t>
      </w:r>
      <w:proofErr w:type="spellStart"/>
      <w:r w:rsidR="00C97A84" w:rsidRPr="00BA2F2F">
        <w:rPr>
          <w:rFonts w:ascii="Times New Roman" w:hAnsi="Times New Roman" w:cs="Times New Roman"/>
          <w:sz w:val="20"/>
          <w:szCs w:val="20"/>
          <w:lang w:val="uk-UA"/>
        </w:rPr>
        <w:t>рекомбінантні</w:t>
      </w:r>
      <w:proofErr w:type="spellEnd"/>
      <w:r w:rsidR="00C97A8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інтерферони. Основну групу (</w:t>
      </w:r>
      <w:r w:rsidR="00E85BDB" w:rsidRPr="00BA2F2F">
        <w:rPr>
          <w:rFonts w:ascii="Times New Roman" w:hAnsi="Times New Roman" w:cs="Times New Roman"/>
          <w:sz w:val="20"/>
          <w:szCs w:val="20"/>
          <w:lang w:val="uk-UA" w:bidi="he-IL"/>
        </w:rPr>
        <w:t>Ⅲ</w:t>
      </w:r>
      <w:r w:rsidR="00C97A84" w:rsidRPr="00BA2F2F">
        <w:rPr>
          <w:rFonts w:ascii="Times New Roman" w:hAnsi="Times New Roman" w:cs="Times New Roman"/>
          <w:sz w:val="20"/>
          <w:szCs w:val="20"/>
          <w:lang w:val="uk-UA" w:bidi="he-IL"/>
        </w:rPr>
        <w:t xml:space="preserve"> група) склали 85 хворих </w:t>
      </w:r>
      <w:r w:rsidR="00C97A84" w:rsidRPr="00BA2F2F">
        <w:rPr>
          <w:rFonts w:ascii="Times New Roman" w:hAnsi="Times New Roman" w:cs="Times New Roman"/>
          <w:sz w:val="20"/>
          <w:szCs w:val="20"/>
          <w:lang w:val="uk-UA"/>
        </w:rPr>
        <w:t>[53 (62,4 %) чоловіки і 32 (37,6</w:t>
      </w:r>
      <w:r w:rsidR="000A3FE8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%) жінки</w:t>
      </w:r>
      <w:r w:rsidR="00C97A84" w:rsidRPr="00BA2F2F">
        <w:rPr>
          <w:rFonts w:ascii="Times New Roman" w:hAnsi="Times New Roman" w:cs="Times New Roman"/>
          <w:sz w:val="20"/>
          <w:szCs w:val="20"/>
          <w:lang w:val="uk-UA"/>
        </w:rPr>
        <w:t>]</w:t>
      </w:r>
      <w:r w:rsidR="000A3FE8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які отримували </w:t>
      </w:r>
      <w:proofErr w:type="spellStart"/>
      <w:r w:rsidR="000A3FE8" w:rsidRPr="00BA2F2F">
        <w:rPr>
          <w:rFonts w:ascii="Times New Roman" w:hAnsi="Times New Roman" w:cs="Times New Roman"/>
          <w:sz w:val="20"/>
          <w:szCs w:val="20"/>
          <w:lang w:val="uk-UA"/>
        </w:rPr>
        <w:t>озонотерапію</w:t>
      </w:r>
      <w:proofErr w:type="spellEnd"/>
      <w:r w:rsidR="008E5D26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(табл.1)</w:t>
      </w:r>
      <w:r w:rsidR="000A3FE8"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A3FE8" w:rsidRPr="00BA2F2F" w:rsidRDefault="000A3FE8" w:rsidP="0013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При лабораторній діагностиці інфекцій використовували</w:t>
      </w:r>
      <w:r w:rsidR="000B59EB" w:rsidRPr="00BA2F2F">
        <w:rPr>
          <w:rFonts w:ascii="Times New Roman" w:hAnsi="Times New Roman" w:cs="Times New Roman"/>
          <w:sz w:val="20"/>
          <w:szCs w:val="20"/>
          <w:lang w:val="uk-UA"/>
        </w:rPr>
        <w:t>ся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тест-системи «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Літех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», </w:t>
      </w:r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BA2F2F">
        <w:rPr>
          <w:rFonts w:ascii="Times New Roman" w:hAnsi="Times New Roman" w:cs="Times New Roman"/>
          <w:sz w:val="20"/>
          <w:szCs w:val="20"/>
          <w:lang w:val="en-US"/>
        </w:rPr>
        <w:t>DRG</w:t>
      </w:r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BA2F2F">
        <w:rPr>
          <w:rFonts w:ascii="Times New Roman" w:hAnsi="Times New Roman" w:cs="Times New Roman"/>
          <w:sz w:val="20"/>
          <w:szCs w:val="20"/>
          <w:lang w:val="en-US"/>
        </w:rPr>
        <w:t>IBL</w:t>
      </w:r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 </w:t>
      </w:r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>«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en-US"/>
        </w:rPr>
        <w:t>Dya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en-US"/>
        </w:rPr>
        <w:t>Sys</w:t>
      </w:r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0B59E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з визначенням показників на обладнанні фірми «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en-US"/>
        </w:rPr>
        <w:t>Tecan</w:t>
      </w:r>
      <w:proofErr w:type="spellEnd"/>
      <w:r w:rsidR="000B59EB" w:rsidRPr="00BA2F2F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proofErr w:type="spellStart"/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>імуноферментний</w:t>
      </w:r>
      <w:proofErr w:type="spellEnd"/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аналіз і фірми «</w:t>
      </w:r>
      <w:proofErr w:type="spellStart"/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>ДНК-діагностика</w:t>
      </w:r>
      <w:proofErr w:type="spellEnd"/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>»–</w:t>
      </w:r>
      <w:r w:rsidR="008440F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440F9" w:rsidRPr="00BA2F2F">
        <w:rPr>
          <w:rFonts w:ascii="Times New Roman" w:hAnsi="Times New Roman" w:cs="Times New Roman"/>
          <w:sz w:val="20"/>
          <w:szCs w:val="20"/>
          <w:lang w:val="uk-UA"/>
        </w:rPr>
        <w:t>полімеразна</w:t>
      </w:r>
      <w:proofErr w:type="spellEnd"/>
      <w:r w:rsidR="008440F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ланцюгова реакція. </w:t>
      </w:r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Дослідження </w:t>
      </w:r>
      <w:proofErr w:type="spellStart"/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>перикисного</w:t>
      </w:r>
      <w:proofErr w:type="spellEnd"/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окислення ліпідів і антиоксидантного захисту проводилися на апараті «</w:t>
      </w:r>
      <w:proofErr w:type="spellStart"/>
      <w:r w:rsidR="00342761" w:rsidRPr="00BA2F2F">
        <w:rPr>
          <w:rFonts w:ascii="Times New Roman" w:hAnsi="Times New Roman" w:cs="Times New Roman"/>
          <w:sz w:val="20"/>
          <w:szCs w:val="20"/>
          <w:lang w:val="en-US"/>
        </w:rPr>
        <w:t>CobasMira</w:t>
      </w:r>
      <w:proofErr w:type="spellEnd"/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>» з використанням  реактивів</w:t>
      </w:r>
      <w:r w:rsidR="000B59E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>«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en-US"/>
        </w:rPr>
        <w:t>Kone</w:t>
      </w:r>
      <w:proofErr w:type="spellEnd"/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»,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BA2F2F">
        <w:rPr>
          <w:rFonts w:ascii="Times New Roman" w:hAnsi="Times New Roman" w:cs="Times New Roman"/>
          <w:sz w:val="20"/>
          <w:szCs w:val="20"/>
          <w:lang w:val="en-US"/>
        </w:rPr>
        <w:t>Cone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BA2F2F">
        <w:rPr>
          <w:rFonts w:ascii="Times New Roman" w:hAnsi="Times New Roman" w:cs="Times New Roman"/>
          <w:sz w:val="20"/>
          <w:szCs w:val="20"/>
          <w:lang w:val="en-US"/>
        </w:rPr>
        <w:t>Lab</w:t>
      </w:r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» та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BA2F2F">
        <w:rPr>
          <w:rFonts w:ascii="Times New Roman" w:hAnsi="Times New Roman" w:cs="Times New Roman"/>
          <w:sz w:val="20"/>
          <w:szCs w:val="20"/>
          <w:lang w:val="en-US"/>
        </w:rPr>
        <w:t>La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en-US"/>
        </w:rPr>
        <w:t>Roche</w:t>
      </w:r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». Систему контролю якості виконували відповідно до стандартів </w:t>
      </w:r>
      <w:r w:rsidR="00342761" w:rsidRPr="00BA2F2F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>-9000 контрольних сироваток фірми «</w:t>
      </w:r>
      <w:r w:rsidRPr="00BA2F2F">
        <w:rPr>
          <w:rFonts w:ascii="Times New Roman" w:hAnsi="Times New Roman" w:cs="Times New Roman"/>
          <w:sz w:val="20"/>
          <w:szCs w:val="20"/>
          <w:lang w:val="en-US"/>
        </w:rPr>
        <w:t>Human</w:t>
      </w:r>
      <w:r w:rsidR="00342761" w:rsidRPr="00BA2F2F">
        <w:rPr>
          <w:rFonts w:ascii="Times New Roman" w:hAnsi="Times New Roman" w:cs="Times New Roman"/>
          <w:sz w:val="20"/>
          <w:szCs w:val="20"/>
          <w:lang w:val="uk-UA"/>
        </w:rPr>
        <w:t>».</w:t>
      </w:r>
    </w:p>
    <w:p w:rsidR="008E5D26" w:rsidRPr="00132039" w:rsidRDefault="008E5D26" w:rsidP="00BA2F2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 w:rsidRPr="00132039">
        <w:rPr>
          <w:rFonts w:ascii="Times New Roman" w:hAnsi="Times New Roman" w:cs="Times New Roman"/>
          <w:sz w:val="20"/>
          <w:szCs w:val="20"/>
          <w:lang w:val="uk-UA"/>
        </w:rPr>
        <w:t xml:space="preserve">Таблиця 1 </w:t>
      </w:r>
    </w:p>
    <w:p w:rsidR="000D3B04" w:rsidRPr="00A63568" w:rsidRDefault="000D3B04" w:rsidP="00A63568">
      <w:pPr>
        <w:spacing w:after="0" w:line="240" w:lineRule="auto"/>
        <w:ind w:firstLine="851"/>
        <w:jc w:val="center"/>
        <w:rPr>
          <w:rFonts w:ascii="Arial" w:hAnsi="Arial" w:cs="Arial"/>
          <w:b/>
          <w:sz w:val="16"/>
          <w:szCs w:val="20"/>
          <w:lang w:val="uk-UA"/>
        </w:rPr>
      </w:pPr>
      <w:r w:rsidRPr="00A63568">
        <w:rPr>
          <w:rFonts w:ascii="Arial" w:hAnsi="Arial" w:cs="Arial"/>
          <w:b/>
          <w:sz w:val="16"/>
          <w:szCs w:val="20"/>
          <w:lang w:val="uk-UA"/>
        </w:rPr>
        <w:t xml:space="preserve">Розподіл хворих на </w:t>
      </w:r>
      <w:proofErr w:type="spellStart"/>
      <w:r w:rsidRPr="00A63568">
        <w:rPr>
          <w:rFonts w:ascii="Arial" w:hAnsi="Arial" w:cs="Arial"/>
          <w:b/>
          <w:sz w:val="16"/>
          <w:szCs w:val="20"/>
          <w:lang w:val="uk-UA"/>
        </w:rPr>
        <w:t>уроге</w:t>
      </w:r>
      <w:r w:rsidR="00204734" w:rsidRPr="00A63568">
        <w:rPr>
          <w:rFonts w:ascii="Arial" w:hAnsi="Arial" w:cs="Arial"/>
          <w:b/>
          <w:sz w:val="16"/>
          <w:szCs w:val="20"/>
          <w:lang w:val="uk-UA"/>
        </w:rPr>
        <w:t>нітальну</w:t>
      </w:r>
      <w:proofErr w:type="spellEnd"/>
      <w:r w:rsidR="00204734" w:rsidRPr="00A63568">
        <w:rPr>
          <w:rFonts w:ascii="Arial" w:hAnsi="Arial" w:cs="Arial"/>
          <w:b/>
          <w:sz w:val="16"/>
          <w:szCs w:val="20"/>
          <w:lang w:val="uk-UA"/>
        </w:rPr>
        <w:t xml:space="preserve"> мікст-інфекцію (</w:t>
      </w:r>
      <w:proofErr w:type="spellStart"/>
      <w:r w:rsidR="00204734" w:rsidRPr="00A63568">
        <w:rPr>
          <w:rFonts w:ascii="Arial" w:hAnsi="Arial" w:cs="Arial"/>
          <w:b/>
          <w:sz w:val="16"/>
          <w:szCs w:val="20"/>
          <w:lang w:val="uk-UA"/>
        </w:rPr>
        <w:t>трихомо</w:t>
      </w:r>
      <w:r w:rsidRPr="00A63568">
        <w:rPr>
          <w:rFonts w:ascii="Arial" w:hAnsi="Arial" w:cs="Arial"/>
          <w:b/>
          <w:sz w:val="16"/>
          <w:szCs w:val="20"/>
          <w:lang w:val="uk-UA"/>
        </w:rPr>
        <w:t>ноз</w:t>
      </w:r>
      <w:proofErr w:type="spellEnd"/>
      <w:r w:rsidRPr="00A63568">
        <w:rPr>
          <w:rFonts w:ascii="Arial" w:hAnsi="Arial" w:cs="Arial"/>
          <w:b/>
          <w:sz w:val="16"/>
          <w:szCs w:val="20"/>
          <w:lang w:val="uk-UA"/>
        </w:rPr>
        <w:t xml:space="preserve">, </w:t>
      </w:r>
      <w:proofErr w:type="spellStart"/>
      <w:r w:rsidRPr="00A63568">
        <w:rPr>
          <w:rFonts w:ascii="Arial" w:hAnsi="Arial" w:cs="Arial"/>
          <w:b/>
          <w:sz w:val="16"/>
          <w:szCs w:val="20"/>
          <w:lang w:val="uk-UA"/>
        </w:rPr>
        <w:t>хламідіоз</w:t>
      </w:r>
      <w:proofErr w:type="spellEnd"/>
      <w:r w:rsidRPr="00A63568">
        <w:rPr>
          <w:rFonts w:ascii="Arial" w:hAnsi="Arial" w:cs="Arial"/>
          <w:b/>
          <w:sz w:val="16"/>
          <w:szCs w:val="20"/>
          <w:lang w:val="uk-UA"/>
        </w:rPr>
        <w:t xml:space="preserve">, </w:t>
      </w:r>
      <w:proofErr w:type="spellStart"/>
      <w:r w:rsidRPr="00A63568">
        <w:rPr>
          <w:rFonts w:ascii="Arial" w:hAnsi="Arial" w:cs="Arial"/>
          <w:b/>
          <w:sz w:val="16"/>
          <w:szCs w:val="20"/>
          <w:lang w:val="uk-UA"/>
        </w:rPr>
        <w:t>мікоплазмоз</w:t>
      </w:r>
      <w:proofErr w:type="spellEnd"/>
      <w:r w:rsidRPr="00A63568">
        <w:rPr>
          <w:rFonts w:ascii="Arial" w:hAnsi="Arial" w:cs="Arial"/>
          <w:b/>
          <w:sz w:val="16"/>
          <w:szCs w:val="20"/>
          <w:lang w:val="uk-UA"/>
        </w:rPr>
        <w:t xml:space="preserve">, </w:t>
      </w:r>
      <w:proofErr w:type="spellStart"/>
      <w:r w:rsidRPr="00A63568">
        <w:rPr>
          <w:rFonts w:ascii="Arial" w:hAnsi="Arial" w:cs="Arial"/>
          <w:b/>
          <w:sz w:val="16"/>
          <w:szCs w:val="20"/>
          <w:lang w:val="uk-UA"/>
        </w:rPr>
        <w:t>герпес</w:t>
      </w:r>
      <w:proofErr w:type="spellEnd"/>
      <w:r w:rsidRPr="00A63568">
        <w:rPr>
          <w:rFonts w:ascii="Arial" w:hAnsi="Arial" w:cs="Arial"/>
          <w:b/>
          <w:sz w:val="16"/>
          <w:szCs w:val="20"/>
          <w:lang w:val="uk-UA"/>
        </w:rPr>
        <w:t>)</w:t>
      </w:r>
      <w:r w:rsidR="0086505A" w:rsidRPr="00A63568">
        <w:rPr>
          <w:rFonts w:ascii="Arial" w:hAnsi="Arial" w:cs="Arial"/>
          <w:b/>
          <w:sz w:val="16"/>
          <w:szCs w:val="20"/>
          <w:lang w:val="uk-UA"/>
        </w:rPr>
        <w:t xml:space="preserve"> </w:t>
      </w:r>
      <w:r w:rsidRPr="00A63568">
        <w:rPr>
          <w:rFonts w:ascii="Arial" w:hAnsi="Arial" w:cs="Arial"/>
          <w:b/>
          <w:sz w:val="16"/>
          <w:szCs w:val="20"/>
          <w:lang w:val="uk-UA"/>
        </w:rPr>
        <w:t xml:space="preserve">в залежності від </w:t>
      </w:r>
      <w:proofErr w:type="spellStart"/>
      <w:r w:rsidR="0086505A" w:rsidRPr="00A63568">
        <w:rPr>
          <w:rFonts w:ascii="Arial" w:hAnsi="Arial" w:cs="Arial"/>
          <w:b/>
          <w:sz w:val="16"/>
          <w:szCs w:val="20"/>
          <w:lang w:val="uk-UA"/>
        </w:rPr>
        <w:t>протозойно-бактеріально-вірусних</w:t>
      </w:r>
      <w:proofErr w:type="spellEnd"/>
      <w:r w:rsidR="0086505A" w:rsidRPr="00A63568">
        <w:rPr>
          <w:rFonts w:ascii="Arial" w:hAnsi="Arial" w:cs="Arial"/>
          <w:b/>
          <w:sz w:val="16"/>
          <w:szCs w:val="20"/>
          <w:lang w:val="uk-UA"/>
        </w:rPr>
        <w:t xml:space="preserve"> асоціацій і обсяг</w:t>
      </w:r>
      <w:r w:rsidRPr="00A63568">
        <w:rPr>
          <w:rFonts w:ascii="Arial" w:hAnsi="Arial" w:cs="Arial"/>
          <w:b/>
          <w:sz w:val="16"/>
          <w:szCs w:val="20"/>
          <w:lang w:val="uk-UA"/>
        </w:rPr>
        <w:t>у</w:t>
      </w:r>
      <w:r w:rsidR="0086505A" w:rsidRPr="00A63568">
        <w:rPr>
          <w:rFonts w:ascii="Arial" w:hAnsi="Arial" w:cs="Arial"/>
          <w:b/>
          <w:sz w:val="16"/>
          <w:szCs w:val="20"/>
          <w:lang w:val="uk-UA"/>
        </w:rPr>
        <w:t xml:space="preserve"> проведеного лікування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559"/>
        <w:gridCol w:w="1360"/>
        <w:gridCol w:w="1610"/>
      </w:tblGrid>
      <w:tr w:rsidR="001F1717" w:rsidRPr="00132039" w:rsidTr="00315E56">
        <w:trPr>
          <w:trHeight w:val="2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17" w:rsidRPr="00132039" w:rsidRDefault="001F1717" w:rsidP="001320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Вид інфекції та кількість хворих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17" w:rsidRPr="00132039" w:rsidRDefault="001F1717" w:rsidP="00BA2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Види лікування хворих</w:t>
            </w:r>
          </w:p>
        </w:tc>
      </w:tr>
      <w:tr w:rsidR="001F1717" w:rsidRPr="00132039" w:rsidTr="00315E56">
        <w:trPr>
          <w:trHeight w:val="7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17" w:rsidRPr="00132039" w:rsidRDefault="001F1717" w:rsidP="00BA2F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87" w:rsidRPr="00132039" w:rsidRDefault="001F1717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за клінічним протоколом</w:t>
            </w:r>
          </w:p>
          <w:p w:rsidR="001F1717" w:rsidRPr="00132039" w:rsidRDefault="001F1717" w:rsidP="00BA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 (I</w:t>
            </w:r>
            <w:r w:rsidR="00AF1287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 </w:t>
            </w: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група)</w:t>
            </w:r>
            <w:r w:rsidR="00A510DF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, </w:t>
            </w: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n=23; </w:t>
            </w:r>
            <w:proofErr w:type="spellStart"/>
            <w:r w:rsidR="00AF1287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абс</w:t>
            </w:r>
            <w:proofErr w:type="spellEnd"/>
            <w:r w:rsidR="00AF1287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.(%)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17" w:rsidRPr="00132039" w:rsidRDefault="00AF1287" w:rsidP="00BA2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к</w:t>
            </w:r>
            <w:r w:rsidR="001F1717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омплексне з ППТ</w:t>
            </w:r>
          </w:p>
          <w:p w:rsidR="001F1717" w:rsidRPr="00132039" w:rsidRDefault="001F1717" w:rsidP="00BA2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(II група)</w:t>
            </w:r>
            <w:r w:rsidR="00A510DF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, </w:t>
            </w: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n=53</w:t>
            </w:r>
            <w:r w:rsidR="00A510DF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; </w:t>
            </w:r>
            <w:proofErr w:type="spellStart"/>
            <w:r w:rsidR="00AF1287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абс</w:t>
            </w:r>
            <w:proofErr w:type="spellEnd"/>
            <w:r w:rsidR="00AF1287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.(%)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17" w:rsidRPr="00132039" w:rsidRDefault="00AF1287" w:rsidP="00BA2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к</w:t>
            </w:r>
            <w:r w:rsidR="001F1717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омплексне з ППТ </w:t>
            </w:r>
            <w:r w:rsidR="00A510DF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та ОТ</w:t>
            </w:r>
          </w:p>
          <w:p w:rsidR="001F1717" w:rsidRPr="00132039" w:rsidRDefault="001F1717" w:rsidP="00BA2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(III група)</w:t>
            </w:r>
            <w:r w:rsidR="00A510DF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, </w:t>
            </w: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n=85</w:t>
            </w:r>
            <w:r w:rsidR="00A510DF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; </w:t>
            </w:r>
            <w:proofErr w:type="spellStart"/>
            <w:r w:rsidR="00AF1287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абс</w:t>
            </w:r>
            <w:proofErr w:type="spellEnd"/>
            <w:r w:rsidR="00AF1287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.(%)</w:t>
            </w:r>
          </w:p>
        </w:tc>
      </w:tr>
      <w:tr w:rsidR="001F1717" w:rsidRPr="00132039" w:rsidTr="00315E56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17" w:rsidRPr="00132039" w:rsidRDefault="001F1717" w:rsidP="00BA2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proofErr w:type="spellStart"/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Трихомонади</w:t>
            </w:r>
            <w:proofErr w:type="spellEnd"/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, </w:t>
            </w:r>
            <w:proofErr w:type="spellStart"/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хламідії</w:t>
            </w:r>
            <w:proofErr w:type="spellEnd"/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,</w:t>
            </w:r>
            <w:r w:rsidR="00F26117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 </w:t>
            </w:r>
            <w:proofErr w:type="spellStart"/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уреаплазми</w:t>
            </w:r>
            <w:proofErr w:type="spellEnd"/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, </w:t>
            </w:r>
            <w:proofErr w:type="spellStart"/>
            <w:r w:rsidR="00EA454B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герпес</w:t>
            </w: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віруси</w:t>
            </w:r>
            <w:proofErr w:type="spellEnd"/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 n=74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17" w:rsidRPr="00132039" w:rsidRDefault="001F1717" w:rsidP="00BA2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11 (47,8 %)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17" w:rsidRPr="00132039" w:rsidRDefault="001F1717" w:rsidP="00BA2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24 (45,3 %)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17" w:rsidRPr="00132039" w:rsidRDefault="001F1717" w:rsidP="00BA2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39 (45,9 %)</w:t>
            </w:r>
          </w:p>
        </w:tc>
      </w:tr>
      <w:tr w:rsidR="001F1717" w:rsidRPr="00132039" w:rsidTr="00315E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17" w:rsidRPr="00132039" w:rsidRDefault="001F1717" w:rsidP="00BA2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proofErr w:type="spellStart"/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Хламідії</w:t>
            </w:r>
            <w:proofErr w:type="spellEnd"/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, мікоплазми, </w:t>
            </w:r>
            <w:proofErr w:type="spellStart"/>
            <w:r w:rsidR="00EA454B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герпес</w:t>
            </w: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віруси</w:t>
            </w:r>
            <w:proofErr w:type="spellEnd"/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 n=41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17" w:rsidRPr="00132039" w:rsidRDefault="001F1717" w:rsidP="00BA2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6 (26,1 %)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17" w:rsidRPr="00132039" w:rsidRDefault="001F1717" w:rsidP="00BA2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13 (24,5 %)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17" w:rsidRPr="00132039" w:rsidRDefault="001F1717" w:rsidP="00BA2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22 (25,9 %)</w:t>
            </w:r>
          </w:p>
        </w:tc>
      </w:tr>
      <w:tr w:rsidR="001F1717" w:rsidRPr="00132039" w:rsidTr="00315E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17" w:rsidRPr="00132039" w:rsidRDefault="001F1717" w:rsidP="00BA2F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Мікоплазми, </w:t>
            </w:r>
            <w:proofErr w:type="spellStart"/>
            <w:r w:rsidR="00EA454B"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герпес</w:t>
            </w: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віруси</w:t>
            </w:r>
            <w:proofErr w:type="spellEnd"/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, </w:t>
            </w:r>
            <w:proofErr w:type="spellStart"/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трихомонади</w:t>
            </w:r>
            <w:proofErr w:type="spellEnd"/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, n=46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17" w:rsidRPr="00132039" w:rsidRDefault="001F1717" w:rsidP="00BA2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6 (26,1 %)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17" w:rsidRPr="00132039" w:rsidRDefault="001F1717" w:rsidP="00BA2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16 (30,2 %)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17" w:rsidRPr="00132039" w:rsidRDefault="001F1717" w:rsidP="00BA2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uk-UA" w:eastAsia="ru-RU"/>
              </w:rPr>
            </w:pPr>
            <w:r w:rsidRPr="00132039">
              <w:rPr>
                <w:rFonts w:ascii="Arial" w:hAnsi="Arial" w:cs="Arial"/>
                <w:sz w:val="16"/>
                <w:szCs w:val="20"/>
                <w:lang w:val="uk-UA" w:eastAsia="ru-RU"/>
              </w:rPr>
              <w:t>24 (28,2 %)</w:t>
            </w:r>
          </w:p>
        </w:tc>
      </w:tr>
    </w:tbl>
    <w:p w:rsidR="00696732" w:rsidRPr="00BA2F2F" w:rsidRDefault="0086505A" w:rsidP="00BA2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15E56" w:rsidRDefault="00132039" w:rsidP="00315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За результатами комплексного обстеження у 161 хворого виявлені наступні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інфекції сечостатевого тракту: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трихомоноз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– у 119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хворих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(73,9 %),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хламідіоз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– у 116 (72,1 %),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мікоплазмоз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(викликаний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мікоплазмою – у 87 (54,0 %),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уреаплазмою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– у 74 (46,0 %),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герпесвірусна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інфекція у 123 (77,2 %) хворих. Встановлено, що запальний процес сечостатевих органів, зумовлений чотирма інфекціями (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трихомонади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хламідії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уреаплазми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і віруси) діагностовано у 74 (46,0 %) пацієнтів. У 46 (28,6 %) спостережуваних хворих одночасно виявлено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трихомонади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мікоплазми та віруси, у 41 (25,4 %) хворого -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хламідії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, мікоплазми і віруси</w:t>
      </w:r>
      <w:r w:rsidR="00315E5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62ED5" w:rsidRPr="00BA2F2F" w:rsidRDefault="00204734" w:rsidP="00315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Вихідними показниками для оцінки ефективності проведеного лікування були нижчевикладені клініко-лабораторні та інструментальні показники. Скарги пацієнтів чоловічої статі включали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: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свербіж та дискомфорт в уретрі 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у 76 (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75,2 %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)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, б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іль у ділянці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геніталій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у 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34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(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33,7 %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)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, 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біль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у промежині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у 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27 (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26,7 %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)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та біль у попереково-крижовій ділянці 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у 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28 (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27,7 %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)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хворих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. 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У жінок головними скаргами були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: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6D532D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мізерні 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виділення зі статевих органів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у всіх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60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(100 %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)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, 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а 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з неприємним запахом у 19 (31,7 %)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пацієнток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, свербіж 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у ділянці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геніталій</w:t>
      </w:r>
      <w:proofErr w:type="spellEnd"/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у 16 (26,7 %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)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, 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печіння у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9 (15 %), 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біль внизу живота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у 18 (30 %), дискомфорт внизу живота у 7 (11,7 %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) та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дизурія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у 6 (10 %)</w:t>
      </w:r>
      <w:r w:rsidR="000D67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пацієнток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  <w:r w:rsidR="00BF41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61731C" w:rsidRPr="00BA2F2F" w:rsidRDefault="0061731C" w:rsidP="00315E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Лабораторн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і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метод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и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вериф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ікації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патогенних збудників (мікроскопі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я, </w:t>
      </w:r>
      <w:r w:rsidR="008A7DF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бактеріологічне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дослідження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імуноферментний</w:t>
      </w:r>
      <w:proofErr w:type="spellEnd"/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аналіз, </w:t>
      </w:r>
      <w:proofErr w:type="spellStart"/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полімеразна</w:t>
      </w:r>
      <w:proofErr w:type="spellEnd"/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ланцюгова реакція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) </w:t>
      </w:r>
      <w:r w:rsidR="00562ED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виявили наступне: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824E56" w:rsidRPr="00BA2F2F">
        <w:rPr>
          <w:rFonts w:ascii="Times New Roman" w:hAnsi="Times New Roman" w:cs="Times New Roman"/>
          <w:i/>
          <w:sz w:val="20"/>
          <w:szCs w:val="20"/>
          <w:lang w:val="uk-UA" w:eastAsia="ru-RU"/>
        </w:rPr>
        <w:t>Trichomonas</w:t>
      </w:r>
      <w:proofErr w:type="spellEnd"/>
      <w:r w:rsidR="00824E56" w:rsidRPr="00BA2F2F">
        <w:rPr>
          <w:rFonts w:ascii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proofErr w:type="spellStart"/>
      <w:r w:rsidR="00824E56" w:rsidRPr="00BA2F2F">
        <w:rPr>
          <w:rFonts w:ascii="Times New Roman" w:hAnsi="Times New Roman" w:cs="Times New Roman"/>
          <w:i/>
          <w:sz w:val="20"/>
          <w:szCs w:val="20"/>
          <w:lang w:val="uk-UA" w:eastAsia="ru-RU"/>
        </w:rPr>
        <w:t>vaginalis</w:t>
      </w:r>
      <w:proofErr w:type="spellEnd"/>
      <w:r w:rsidR="00824E56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8A7DF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виявлено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м</w:t>
      </w:r>
      <w:r w:rsidR="006D783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ікроскопічно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6D783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нати</w:t>
      </w:r>
      <w:r w:rsidR="008A7DF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в</w:t>
      </w:r>
      <w:r w:rsidR="006D783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но</w:t>
      </w:r>
      <w:proofErr w:type="spellEnd"/>
      <w:r w:rsidR="006D783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у 57</w:t>
      </w:r>
      <w:r w:rsidR="006D783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пацієнтів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(47,9</w:t>
      </w:r>
      <w:r w:rsidRPr="00BA2F2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%) </w:t>
      </w:r>
      <w:r w:rsidR="006D783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та при забарвлені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у 80 </w:t>
      </w:r>
      <w:r w:rsidR="006D783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пацієнтів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(67,2</w:t>
      </w:r>
      <w:r w:rsidRPr="00BA2F2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%), </w:t>
      </w:r>
      <w:r w:rsidR="006D783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ІФА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eastAsia="ru-RU"/>
        </w:rPr>
        <w:t>IgG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– у 100 </w:t>
      </w:r>
      <w:r w:rsidR="006D783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пацієнтів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(84,03</w:t>
      </w:r>
      <w:r w:rsidRPr="00BA2F2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%), </w:t>
      </w:r>
      <w:proofErr w:type="spellStart"/>
      <w:r w:rsidR="006D783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бактеріологічно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– у 108</w:t>
      </w:r>
      <w:r w:rsidR="006D783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пацієнтів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(90,76</w:t>
      </w:r>
      <w:r w:rsidRPr="00BA2F2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%) </w:t>
      </w:r>
      <w:r w:rsidR="006D783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та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</w:t>
      </w:r>
      <w:r w:rsidR="006D783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Л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Р – у 114 </w:t>
      </w:r>
      <w:r w:rsidR="006D783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пацієнтів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(95,8</w:t>
      </w:r>
      <w:r w:rsidRPr="00BA2F2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824E56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%);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824E56" w:rsidRPr="00BA2F2F">
        <w:rPr>
          <w:rFonts w:ascii="Times New Roman" w:hAnsi="Times New Roman" w:cs="Times New Roman"/>
          <w:i/>
          <w:sz w:val="20"/>
          <w:szCs w:val="20"/>
          <w:lang w:val="uk-UA" w:eastAsia="ru-RU"/>
        </w:rPr>
        <w:t>Chlamydia</w:t>
      </w:r>
      <w:proofErr w:type="spellEnd"/>
      <w:r w:rsidR="00824E56" w:rsidRPr="00BA2F2F">
        <w:rPr>
          <w:rFonts w:ascii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proofErr w:type="spellStart"/>
      <w:r w:rsidR="00824E56" w:rsidRPr="00BA2F2F">
        <w:rPr>
          <w:rFonts w:ascii="Times New Roman" w:hAnsi="Times New Roman" w:cs="Times New Roman"/>
          <w:i/>
          <w:sz w:val="20"/>
          <w:szCs w:val="20"/>
          <w:lang w:val="uk-UA" w:eastAsia="ru-RU"/>
        </w:rPr>
        <w:t>trachomatis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в ц</w:t>
      </w:r>
      <w:r w:rsidR="003758F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иліндричному епітелії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3758F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з забарвленням за </w:t>
      </w:r>
      <w:proofErr w:type="spellStart"/>
      <w:r w:rsidR="003758F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Романовськ</w:t>
      </w:r>
      <w:r w:rsidR="00E64260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им</w:t>
      </w:r>
      <w:r w:rsidR="003758F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-Гімза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3758F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ідентифіковано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у 13 </w:t>
      </w:r>
      <w:r w:rsidR="003758F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пацієнтів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(11,2</w:t>
      </w:r>
      <w:r w:rsidRPr="00BA2F2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%), </w:t>
      </w:r>
      <w:r w:rsidR="003758F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І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ФА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eastAsia="ru-RU"/>
        </w:rPr>
        <w:t>IgG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3758F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був позитивним у високих титрах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3758F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(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1:64; 1:128 и 1:256) у 101</w:t>
      </w:r>
      <w:r w:rsidR="003758F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(87,1</w:t>
      </w:r>
      <w:r w:rsidRPr="00BA2F2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%) </w:t>
      </w:r>
      <w:r w:rsidR="003758F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та ПЛ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Р у 114</w:t>
      </w:r>
      <w:r w:rsidR="003758F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пацієнтів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(98,28</w:t>
      </w:r>
      <w:r w:rsidRPr="00BA2F2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824E56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%);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824E56" w:rsidRPr="00BA2F2F">
        <w:rPr>
          <w:rFonts w:ascii="Times New Roman" w:hAnsi="Times New Roman" w:cs="Times New Roman"/>
          <w:i/>
          <w:sz w:val="20"/>
          <w:szCs w:val="20"/>
          <w:lang w:val="uk-UA" w:eastAsia="ru-RU"/>
        </w:rPr>
        <w:t>Mycoplasma</w:t>
      </w:r>
      <w:proofErr w:type="spellEnd"/>
      <w:r w:rsidR="00824E56" w:rsidRPr="00BA2F2F">
        <w:rPr>
          <w:rFonts w:ascii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proofErr w:type="spellStart"/>
      <w:r w:rsidR="00824E56" w:rsidRPr="00BA2F2F">
        <w:rPr>
          <w:rFonts w:ascii="Times New Roman" w:hAnsi="Times New Roman" w:cs="Times New Roman"/>
          <w:i/>
          <w:sz w:val="20"/>
          <w:szCs w:val="20"/>
          <w:lang w:val="uk-UA" w:eastAsia="ru-RU"/>
        </w:rPr>
        <w:t>hominis</w:t>
      </w:r>
      <w:proofErr w:type="spellEnd"/>
      <w:r w:rsidR="00824E56" w:rsidRPr="00BA2F2F">
        <w:rPr>
          <w:rFonts w:ascii="Times New Roman" w:hAnsi="Times New Roman" w:cs="Times New Roman"/>
          <w:i/>
          <w:sz w:val="20"/>
          <w:szCs w:val="20"/>
          <w:lang w:val="uk-UA" w:eastAsia="ru-RU"/>
        </w:rPr>
        <w:t>(</w:t>
      </w:r>
      <w:proofErr w:type="spellStart"/>
      <w:r w:rsidR="00824E56" w:rsidRPr="00BA2F2F">
        <w:rPr>
          <w:rFonts w:ascii="Times New Roman" w:hAnsi="Times New Roman" w:cs="Times New Roman"/>
          <w:i/>
          <w:sz w:val="20"/>
          <w:szCs w:val="20"/>
          <w:lang w:val="uk-UA" w:eastAsia="ru-RU"/>
        </w:rPr>
        <w:t>genitalium</w:t>
      </w:r>
      <w:proofErr w:type="spellEnd"/>
      <w:r w:rsidR="00824E56" w:rsidRPr="00BA2F2F">
        <w:rPr>
          <w:rFonts w:ascii="Times New Roman" w:hAnsi="Times New Roman" w:cs="Times New Roman"/>
          <w:i/>
          <w:sz w:val="20"/>
          <w:szCs w:val="20"/>
          <w:lang w:val="uk-UA" w:eastAsia="ru-RU"/>
        </w:rPr>
        <w:t xml:space="preserve">) </w:t>
      </w:r>
      <w:r w:rsidR="00824E56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та </w:t>
      </w:r>
      <w:proofErr w:type="spellStart"/>
      <w:r w:rsidR="00824E56" w:rsidRPr="00BA2F2F">
        <w:rPr>
          <w:rFonts w:ascii="Times New Roman" w:hAnsi="Times New Roman" w:cs="Times New Roman"/>
          <w:i/>
          <w:sz w:val="20"/>
          <w:szCs w:val="20"/>
          <w:lang w:val="uk-UA" w:eastAsia="ru-RU"/>
        </w:rPr>
        <w:t>Ureaplasma</w:t>
      </w:r>
      <w:proofErr w:type="spellEnd"/>
      <w:r w:rsidR="00824E56" w:rsidRPr="00BA2F2F">
        <w:rPr>
          <w:rFonts w:ascii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proofErr w:type="spellStart"/>
      <w:r w:rsidR="00824E56" w:rsidRPr="00BA2F2F">
        <w:rPr>
          <w:rFonts w:ascii="Times New Roman" w:hAnsi="Times New Roman" w:cs="Times New Roman"/>
          <w:i/>
          <w:sz w:val="20"/>
          <w:szCs w:val="20"/>
          <w:lang w:val="uk-UA" w:eastAsia="ru-RU"/>
        </w:rPr>
        <w:t>spp</w:t>
      </w:r>
      <w:proofErr w:type="spellEnd"/>
      <w:r w:rsidR="00824E56" w:rsidRPr="00BA2F2F">
        <w:rPr>
          <w:rFonts w:ascii="Times New Roman" w:hAnsi="Times New Roman" w:cs="Times New Roman"/>
          <w:i/>
          <w:sz w:val="20"/>
          <w:szCs w:val="20"/>
          <w:lang w:val="uk-UA" w:eastAsia="ru-RU"/>
        </w:rPr>
        <w:t>.</w:t>
      </w:r>
      <w:r w:rsidR="00824E56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д</w:t>
      </w:r>
      <w:r w:rsidR="003758F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іагностовано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3758F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бактеріологічно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у 85 (97,7</w:t>
      </w:r>
      <w:r w:rsidRPr="00BA2F2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%) </w:t>
      </w:r>
      <w:r w:rsidR="004C03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та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72</w:t>
      </w:r>
      <w:r w:rsidR="004C03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(97,3</w:t>
      </w:r>
      <w:r w:rsidRPr="00BA2F2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%)</w:t>
      </w:r>
      <w:r w:rsidR="004C03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824E56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пацієнтів </w:t>
      </w:r>
      <w:r w:rsidR="004C03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відповідно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, </w:t>
      </w:r>
      <w:r w:rsidR="004C03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І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ФА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eastAsia="ru-RU"/>
        </w:rPr>
        <w:t>IgG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506BFB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з </w:t>
      </w:r>
      <w:r w:rsidR="00036F8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високими ти</w:t>
      </w:r>
      <w:r w:rsidR="004C03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трами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4C03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виявлене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у 78 (89,7</w:t>
      </w:r>
      <w:r w:rsidRPr="00BA2F2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%) </w:t>
      </w:r>
      <w:r w:rsidR="004C03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та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у 65</w:t>
      </w:r>
      <w:r w:rsidR="004C03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(87,8</w:t>
      </w:r>
      <w:r w:rsidRPr="00BA2F2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%) </w:t>
      </w:r>
      <w:r w:rsidR="00824E56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пацієнтів </w:t>
      </w:r>
      <w:r w:rsidR="004C03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відповідно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, </w:t>
      </w:r>
      <w:r w:rsidR="004C03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та ПЛР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2B361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виявила</w:t>
      </w:r>
      <w:r w:rsidR="004C03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збудник</w:t>
      </w:r>
      <w:r w:rsidR="00506BFB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ів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у 81 (93,1</w:t>
      </w:r>
      <w:r w:rsidRPr="00BA2F2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%) </w:t>
      </w:r>
      <w:r w:rsidR="004C03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та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у 69 (93,2</w:t>
      </w:r>
      <w:r w:rsidRPr="00BA2F2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%) </w:t>
      </w:r>
      <w:r w:rsidR="00824E56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пацієнтів </w:t>
      </w:r>
      <w:r w:rsidR="004C039C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відповідно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  <w:r w:rsidR="00506BFB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F7655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Латентну </w:t>
      </w:r>
      <w:proofErr w:type="spellStart"/>
      <w:r w:rsidR="001C57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герпес</w:t>
      </w:r>
      <w:r w:rsidR="00F7655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вірусну</w:t>
      </w:r>
      <w:proofErr w:type="spellEnd"/>
      <w:r w:rsidR="00F7655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інфекцію діагностували</w:t>
      </w:r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F7655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за допомогою </w:t>
      </w:r>
      <w:proofErr w:type="spellStart"/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імуноферментн</w:t>
      </w:r>
      <w:r w:rsidR="00F7655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ого</w:t>
      </w:r>
      <w:proofErr w:type="spellEnd"/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аналіз</w:t>
      </w:r>
      <w:r w:rsidR="00F7655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у</w:t>
      </w:r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специфічних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0D7C2E" w:rsidRPr="00BA2F2F">
        <w:rPr>
          <w:rFonts w:ascii="Times New Roman" w:hAnsi="Times New Roman" w:cs="Times New Roman"/>
          <w:sz w:val="20"/>
          <w:szCs w:val="20"/>
          <w:lang w:eastAsia="ru-RU"/>
        </w:rPr>
        <w:t>IgG</w:t>
      </w:r>
      <w:proofErr w:type="spellEnd"/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, а вразі клінічного загострення і </w:t>
      </w:r>
      <w:proofErr w:type="spellStart"/>
      <w:r w:rsidR="000D7C2E" w:rsidRPr="00BA2F2F">
        <w:rPr>
          <w:rFonts w:ascii="Times New Roman" w:hAnsi="Times New Roman" w:cs="Times New Roman"/>
          <w:sz w:val="20"/>
          <w:szCs w:val="20"/>
          <w:lang w:eastAsia="ru-RU"/>
        </w:rPr>
        <w:t>Ig</w:t>
      </w:r>
      <w:proofErr w:type="spellEnd"/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М. </w:t>
      </w:r>
      <w:r w:rsidR="00F76555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У</w:t>
      </w:r>
      <w:r w:rsidR="00DE74D7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123 (77,2 %) </w:t>
      </w:r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хворих ді</w:t>
      </w:r>
      <w:r w:rsidR="0099536F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агност</w:t>
      </w:r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овано</w:t>
      </w:r>
      <w:r w:rsidR="00DE74D7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герпесвірусну</w:t>
      </w:r>
      <w:proofErr w:type="spellEnd"/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інфекцію</w:t>
      </w:r>
      <w:r w:rsidR="00DE74D7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: </w:t>
      </w:r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вірус простого </w:t>
      </w:r>
      <w:proofErr w:type="spellStart"/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герпесу</w:t>
      </w:r>
      <w:proofErr w:type="spellEnd"/>
      <w:r w:rsidR="00DE74D7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1 </w:t>
      </w:r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та 2 типу</w:t>
      </w:r>
      <w:r w:rsidR="00DE74D7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– у 118 (95,9 %)</w:t>
      </w:r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пацієнтів, </w:t>
      </w:r>
      <w:proofErr w:type="spellStart"/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цитомегалові</w:t>
      </w:r>
      <w:r w:rsidR="00DE74D7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рус</w:t>
      </w:r>
      <w:proofErr w:type="spellEnd"/>
      <w:r w:rsidR="00DE74D7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– у 19 (15,45 %)</w:t>
      </w:r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і ві</w:t>
      </w:r>
      <w:r w:rsidR="00DE74D7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рус </w:t>
      </w:r>
      <w:proofErr w:type="spellStart"/>
      <w:r w:rsidR="000D7C2E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Епштейна-Бара</w:t>
      </w:r>
      <w:proofErr w:type="spellEnd"/>
      <w:r w:rsidR="00DE74D7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– у 8 (6,5 %) </w:t>
      </w:r>
      <w:r w:rsidR="002B361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пацієнтів</w:t>
      </w:r>
      <w:r w:rsidR="00DE74D7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D45E49" w:rsidRPr="00BA2F2F" w:rsidRDefault="00D45E49" w:rsidP="00315E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За допомогою уретроскопічного та ультразвукового дослідження діагностовано хронічний простатит у 52 (51,5 %), уретрит у 41 (40,6 %) та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каверніт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у 24 (23,8 %),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орхоепідідіміт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у 19 (18,8 %) </w:t>
      </w:r>
      <w:r w:rsidR="00BA51F6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хворих чоловіків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. Безплідний </w:t>
      </w:r>
      <w:r w:rsidR="00BA51F6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шлюб протягом 2-3 років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реєстрували у 61 (60,4 %) </w:t>
      </w:r>
      <w:r w:rsidR="00BA51F6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пацієнта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. Обстеження жінок з використанням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кольпоскопічного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та ультразвукового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lastRenderedPageBreak/>
        <w:t xml:space="preserve">методів дослідження виявило поєднання </w:t>
      </w:r>
      <w:proofErr w:type="spellStart"/>
      <w:r w:rsidR="00AD3BBF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кольпіту</w:t>
      </w:r>
      <w:proofErr w:type="spellEnd"/>
      <w:r w:rsidR="00AD3BBF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та </w:t>
      </w:r>
      <w:proofErr w:type="spellStart"/>
      <w:r w:rsidR="00AD3BBF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ендоцервіциту</w:t>
      </w:r>
      <w:proofErr w:type="spellEnd"/>
      <w:r w:rsidR="00AD3BBF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з уретритом у 18 (30 %)</w:t>
      </w:r>
      <w:r w:rsidR="00CC2B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,</w:t>
      </w:r>
      <w:r w:rsidR="00AD3BBF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з </w:t>
      </w:r>
      <w:proofErr w:type="spellStart"/>
      <w:r w:rsidR="00AD3BBF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сальпінгофоритом</w:t>
      </w:r>
      <w:proofErr w:type="spellEnd"/>
      <w:r w:rsidR="00AD3BBF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у 16 (26,7 %)</w:t>
      </w:r>
      <w:r w:rsidR="00CC2B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, з</w:t>
      </w:r>
      <w:r w:rsidR="00AD3BBF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CC2B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CC2B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аднекситом</w:t>
      </w:r>
      <w:proofErr w:type="spellEnd"/>
      <w:r w:rsidR="00CC2B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у 15 (25,0 %) та з </w:t>
      </w:r>
      <w:proofErr w:type="spellStart"/>
      <w:r w:rsidR="00CC2B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ектопією</w:t>
      </w:r>
      <w:proofErr w:type="spellEnd"/>
      <w:r w:rsidR="00CC2B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шийки матки у 11 (18,3 %) </w:t>
      </w:r>
      <w:r w:rsidR="00AD3BBF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пацієнток, </w:t>
      </w:r>
      <w:r w:rsidR="00CC2B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поєднання </w:t>
      </w:r>
      <w:r w:rsidR="00AD3BBF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циститу та пієлонефриту у 17 (2</w:t>
      </w:r>
      <w:r w:rsidR="00CC2B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8,3 %). Безплідний шлюб протягом 2-3 років реєстрували у 18 (30,0 %) </w:t>
      </w:r>
      <w:r w:rsidR="006F7C02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жінок</w:t>
      </w:r>
      <w:r w:rsidR="00CC2B38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. </w:t>
      </w:r>
      <w:r w:rsidR="00AD3BBF"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713012" w:rsidRPr="00BA2F2F" w:rsidRDefault="00713012" w:rsidP="00315E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Сумарна оцінка ефективності лікування включала дані клініко-лабораторно</w:t>
      </w:r>
      <w:r w:rsidR="00273151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-інструментально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го контролю (через два і 9-10 тижнів після закінчення основного курсу лікування) та динаміку процесів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перикисного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окислення ліпідів і систем антиоксидантного захисту. При цьому динамі</w:t>
      </w:r>
      <w:r w:rsidR="00EF5F9F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ка основних клініко-лабораторно-інструментальних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показників кількісно оцінювалася в балах:</w:t>
      </w:r>
    </w:p>
    <w:p w:rsidR="00713012" w:rsidRPr="00BA2F2F" w:rsidRDefault="00713012" w:rsidP="00315E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-</w:t>
      </w:r>
      <w:r w:rsidR="00315E56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2 бали — незадовільний  результат, без ефекту або з покращенням не більш ніж 30 % основних показників;</w:t>
      </w:r>
    </w:p>
    <w:p w:rsidR="00713012" w:rsidRPr="00BA2F2F" w:rsidRDefault="00713012" w:rsidP="00315E5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-</w:t>
      </w:r>
      <w:r w:rsidR="00315E56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3 бали — задовільний результат з нестійким покращенням основних показників на 50 %;</w:t>
      </w:r>
    </w:p>
    <w:p w:rsidR="00713012" w:rsidRPr="00BA2F2F" w:rsidRDefault="00713012" w:rsidP="00315E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- 4 бали — добрий результат, покращення на 70–80 % основних клініко-лабораторних показників зі стійким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протирецидивним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ефектом;</w:t>
      </w:r>
    </w:p>
    <w:p w:rsidR="00713012" w:rsidRPr="00BA2F2F" w:rsidRDefault="00713012" w:rsidP="00315E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>-</w:t>
      </w:r>
      <w:r w:rsidR="00315E56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5 балів — досягнута повна елімінація збудника інфекції в усіх сечостатевих органах зі стійкою ремісією та повною нормалізацією всіх основних </w:t>
      </w:r>
      <w:r w:rsidR="00F366B9" w:rsidRPr="00BA2F2F">
        <w:rPr>
          <w:rFonts w:ascii="Times New Roman" w:hAnsi="Times New Roman" w:cs="Times New Roman"/>
          <w:sz w:val="20"/>
          <w:szCs w:val="20"/>
          <w:lang w:val="uk-UA" w:eastAsia="ru-RU"/>
        </w:rPr>
        <w:t>клініко-лабораторних показників (табл.2).</w:t>
      </w:r>
    </w:p>
    <w:p w:rsidR="00D2054B" w:rsidRPr="00BA2F2F" w:rsidRDefault="00D2054B" w:rsidP="00BA2F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Таблиця 2 </w:t>
      </w:r>
    </w:p>
    <w:p w:rsidR="00E021B1" w:rsidRPr="00E021B1" w:rsidRDefault="00D2054B" w:rsidP="00BA2F2F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E021B1">
        <w:rPr>
          <w:rFonts w:ascii="Arial" w:hAnsi="Arial" w:cs="Arial"/>
          <w:b/>
          <w:sz w:val="16"/>
          <w:szCs w:val="20"/>
          <w:lang w:val="uk-UA"/>
        </w:rPr>
        <w:t xml:space="preserve">Ефективність комбінованого лікування хворих на </w:t>
      </w:r>
      <w:proofErr w:type="spellStart"/>
      <w:r w:rsidRPr="00E021B1">
        <w:rPr>
          <w:rFonts w:ascii="Arial" w:hAnsi="Arial" w:cs="Arial"/>
          <w:b/>
          <w:sz w:val="16"/>
          <w:szCs w:val="20"/>
          <w:lang w:val="uk-UA"/>
        </w:rPr>
        <w:t>урогенітальну</w:t>
      </w:r>
      <w:proofErr w:type="spellEnd"/>
      <w:r w:rsidRPr="00E021B1">
        <w:rPr>
          <w:rFonts w:ascii="Arial" w:hAnsi="Arial" w:cs="Arial"/>
          <w:b/>
          <w:sz w:val="16"/>
          <w:szCs w:val="20"/>
          <w:lang w:val="uk-UA"/>
        </w:rPr>
        <w:t xml:space="preserve"> мікст-інфекцію </w:t>
      </w:r>
      <w:r w:rsidR="00EF5F9F" w:rsidRPr="00E021B1">
        <w:rPr>
          <w:rFonts w:ascii="Arial" w:hAnsi="Arial" w:cs="Arial"/>
          <w:b/>
          <w:sz w:val="16"/>
          <w:szCs w:val="20"/>
          <w:lang w:val="uk-UA"/>
        </w:rPr>
        <w:t>за клініко-лабораторно-інструментальними показниками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418"/>
        <w:gridCol w:w="1417"/>
      </w:tblGrid>
      <w:tr w:rsidR="00E021B1" w:rsidRPr="00E021B1" w:rsidTr="00E021B1">
        <w:trPr>
          <w:trHeight w:val="373"/>
        </w:trPr>
        <w:tc>
          <w:tcPr>
            <w:tcW w:w="2093" w:type="dxa"/>
            <w:vMerge w:val="restart"/>
            <w:shd w:val="clear" w:color="auto" w:fill="auto"/>
          </w:tcPr>
          <w:p w:rsidR="00D2054B" w:rsidRPr="00E021B1" w:rsidRDefault="00D2054B" w:rsidP="00BA2F2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Вид мікст-асоціації та кількість хворих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D2054B" w:rsidRPr="00E021B1" w:rsidRDefault="00D2054B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Середня кількість балів у групах з проведеним лікуванням </w:t>
            </w:r>
          </w:p>
        </w:tc>
      </w:tr>
      <w:tr w:rsidR="00E021B1" w:rsidRPr="00E021B1" w:rsidTr="00E021B1">
        <w:trPr>
          <w:trHeight w:val="507"/>
        </w:trPr>
        <w:tc>
          <w:tcPr>
            <w:tcW w:w="2093" w:type="dxa"/>
            <w:vMerge/>
            <w:shd w:val="clear" w:color="auto" w:fill="auto"/>
            <w:vAlign w:val="center"/>
          </w:tcPr>
          <w:p w:rsidR="00D2054B" w:rsidRPr="00E021B1" w:rsidRDefault="00D2054B" w:rsidP="00BA2F2F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2054B" w:rsidRPr="00E021B1" w:rsidRDefault="00A510DF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з</w:t>
            </w:r>
            <w:r w:rsidR="00D2054B"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а клінічним протоколом (n=23)</w:t>
            </w:r>
          </w:p>
        </w:tc>
        <w:tc>
          <w:tcPr>
            <w:tcW w:w="1418" w:type="dxa"/>
            <w:shd w:val="clear" w:color="auto" w:fill="auto"/>
          </w:tcPr>
          <w:p w:rsidR="00D2054B" w:rsidRPr="00E021B1" w:rsidRDefault="00A510DF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комплексом з</w:t>
            </w:r>
            <w:r w:rsidR="00D2054B"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 ППТ </w:t>
            </w:r>
          </w:p>
          <w:p w:rsidR="00D2054B" w:rsidRPr="00E021B1" w:rsidRDefault="00D2054B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(n=53)</w:t>
            </w:r>
          </w:p>
        </w:tc>
        <w:tc>
          <w:tcPr>
            <w:tcW w:w="1417" w:type="dxa"/>
            <w:shd w:val="clear" w:color="auto" w:fill="auto"/>
          </w:tcPr>
          <w:p w:rsidR="00D2054B" w:rsidRPr="00E021B1" w:rsidRDefault="00A510DF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комплексом</w:t>
            </w:r>
            <w:r w:rsidR="00D2054B"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 з ППТ </w:t>
            </w: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та ОТ </w:t>
            </w:r>
            <w:r w:rsidR="00D2054B"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(n=85)</w:t>
            </w:r>
          </w:p>
        </w:tc>
      </w:tr>
      <w:tr w:rsidR="00E021B1" w:rsidRPr="00E021B1" w:rsidTr="00E021B1">
        <w:trPr>
          <w:trHeight w:val="417"/>
        </w:trPr>
        <w:tc>
          <w:tcPr>
            <w:tcW w:w="2093" w:type="dxa"/>
            <w:shd w:val="clear" w:color="auto" w:fill="auto"/>
          </w:tcPr>
          <w:p w:rsidR="00D2054B" w:rsidRPr="00E021B1" w:rsidRDefault="00D2054B" w:rsidP="00BA2F2F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proofErr w:type="spellStart"/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Трихомонади</w:t>
            </w:r>
            <w:proofErr w:type="spellEnd"/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, </w:t>
            </w:r>
            <w:proofErr w:type="spellStart"/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хламідії</w:t>
            </w:r>
            <w:proofErr w:type="spellEnd"/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, </w:t>
            </w:r>
            <w:proofErr w:type="spellStart"/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уреаплазми</w:t>
            </w:r>
            <w:proofErr w:type="spellEnd"/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, віруси n=74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54B" w:rsidRPr="00E021B1" w:rsidRDefault="00D2054B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54B" w:rsidRPr="00E021B1" w:rsidRDefault="00D2054B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3,6</w:t>
            </w:r>
            <w:r w:rsidR="00E45562"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54B" w:rsidRPr="00E021B1" w:rsidRDefault="00D2054B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4,7</w:t>
            </w:r>
            <w:r w:rsidR="00E45562"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**</w:t>
            </w:r>
          </w:p>
        </w:tc>
      </w:tr>
      <w:tr w:rsidR="00E021B1" w:rsidRPr="00E021B1" w:rsidTr="00E021B1">
        <w:tc>
          <w:tcPr>
            <w:tcW w:w="2093" w:type="dxa"/>
            <w:shd w:val="clear" w:color="auto" w:fill="auto"/>
          </w:tcPr>
          <w:p w:rsidR="00D2054B" w:rsidRPr="00E021B1" w:rsidRDefault="00D2054B" w:rsidP="00BA2F2F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proofErr w:type="spellStart"/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Хламідії</w:t>
            </w:r>
            <w:proofErr w:type="spellEnd"/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, мікоплазми, </w:t>
            </w:r>
            <w:r w:rsidR="000E00F0"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в</w:t>
            </w: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іруси n=41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54B" w:rsidRPr="00E021B1" w:rsidRDefault="00D2054B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54B" w:rsidRPr="00E021B1" w:rsidRDefault="00D2054B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4,2</w:t>
            </w:r>
            <w:r w:rsidR="00E45562"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54B" w:rsidRPr="00E021B1" w:rsidRDefault="00D2054B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4,9</w:t>
            </w:r>
            <w:r w:rsidR="00E45562"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*</w:t>
            </w:r>
          </w:p>
        </w:tc>
      </w:tr>
      <w:tr w:rsidR="00E021B1" w:rsidRPr="00E021B1" w:rsidTr="00E021B1">
        <w:tc>
          <w:tcPr>
            <w:tcW w:w="2093" w:type="dxa"/>
            <w:shd w:val="clear" w:color="auto" w:fill="auto"/>
          </w:tcPr>
          <w:p w:rsidR="00D2054B" w:rsidRPr="00E021B1" w:rsidRDefault="00D2054B" w:rsidP="00BA2F2F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 xml:space="preserve">Мікоплазми, віруси, </w:t>
            </w:r>
            <w:proofErr w:type="spellStart"/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трихомонади</w:t>
            </w:r>
            <w:proofErr w:type="spellEnd"/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, n=46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54B" w:rsidRPr="00E021B1" w:rsidRDefault="00D2054B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54B" w:rsidRPr="00E021B1" w:rsidRDefault="00D2054B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3,8</w:t>
            </w:r>
            <w:r w:rsidR="00E45562"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54B" w:rsidRPr="00E021B1" w:rsidRDefault="00D2054B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4,8</w:t>
            </w:r>
            <w:r w:rsidR="00E45562"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*</w:t>
            </w:r>
          </w:p>
        </w:tc>
      </w:tr>
      <w:tr w:rsidR="00E021B1" w:rsidRPr="00E021B1" w:rsidTr="00E021B1">
        <w:trPr>
          <w:trHeight w:val="319"/>
        </w:trPr>
        <w:tc>
          <w:tcPr>
            <w:tcW w:w="2093" w:type="dxa"/>
            <w:shd w:val="clear" w:color="auto" w:fill="auto"/>
          </w:tcPr>
          <w:p w:rsidR="00D2054B" w:rsidRPr="00E021B1" w:rsidRDefault="00D2054B" w:rsidP="00BA2F2F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Сумарна ефективність лікування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54B" w:rsidRPr="00E021B1" w:rsidRDefault="00D2054B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54B" w:rsidRPr="00E021B1" w:rsidRDefault="00D2054B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3,87</w:t>
            </w:r>
            <w:r w:rsidR="00E45562"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54B" w:rsidRPr="00E021B1" w:rsidRDefault="00D2054B" w:rsidP="00BA2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uk-UA" w:eastAsia="ru-RU"/>
              </w:rPr>
            </w:pPr>
            <w:r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4,8</w:t>
            </w:r>
            <w:r w:rsidR="00E45562" w:rsidRPr="00E021B1">
              <w:rPr>
                <w:rFonts w:ascii="Arial" w:hAnsi="Arial" w:cs="Arial"/>
                <w:sz w:val="16"/>
                <w:szCs w:val="20"/>
                <w:lang w:val="uk-UA" w:eastAsia="ru-RU"/>
              </w:rPr>
              <w:t>*</w:t>
            </w:r>
          </w:p>
        </w:tc>
      </w:tr>
    </w:tbl>
    <w:p w:rsidR="00E45562" w:rsidRPr="00E021B1" w:rsidRDefault="00E45562" w:rsidP="00BA2F2F">
      <w:pPr>
        <w:spacing w:after="0" w:line="240" w:lineRule="auto"/>
        <w:jc w:val="both"/>
        <w:rPr>
          <w:rFonts w:ascii="Arial" w:hAnsi="Arial" w:cs="Arial"/>
          <w:sz w:val="16"/>
          <w:szCs w:val="20"/>
          <w:lang w:val="uk-UA"/>
        </w:rPr>
      </w:pPr>
      <w:r w:rsidRPr="00E021B1">
        <w:rPr>
          <w:rFonts w:ascii="Arial" w:hAnsi="Arial" w:cs="Arial"/>
          <w:sz w:val="16"/>
          <w:szCs w:val="20"/>
          <w:lang w:val="uk-UA"/>
        </w:rPr>
        <w:t>Примітка:  * - р˂0,05, ** - р˂0,01</w:t>
      </w:r>
    </w:p>
    <w:p w:rsidR="00E021B1" w:rsidRPr="00BA2F2F" w:rsidRDefault="00E021B1" w:rsidP="00BA2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15FC3" w:rsidRPr="00BA2F2F" w:rsidRDefault="00C669D4" w:rsidP="00E02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За результатами порівняльного моніторингу клініко-лабораторно-інструментальних показників виявлено, що найнижч</w:t>
      </w:r>
      <w:r w:rsidR="00631FF9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у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ефективність </w:t>
      </w:r>
      <w:r w:rsidR="00631FF9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демонструвала група хворих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що отримала лікування за клінічними протоколами. У другій групі, що отримала посилену </w:t>
      </w:r>
      <w:proofErr w:type="spellStart"/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протипротозойну</w:t>
      </w:r>
      <w:proofErr w:type="spellEnd"/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терапію та імунотерапію, спостерігали достовірно кращу позитивну динаміку. Пацієнти III групи, які отримали курси системної та місцевої </w:t>
      </w:r>
      <w:proofErr w:type="spellStart"/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lastRenderedPageBreak/>
        <w:t>озонотерапії</w:t>
      </w:r>
      <w:proofErr w:type="spellEnd"/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</w:t>
      </w:r>
      <w:r w:rsidR="00631FF9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про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демонстрували найкращий терапевтичний ефект з повною елімінацію </w:t>
      </w:r>
      <w:r w:rsidR="00E021B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патогенних </w:t>
      </w:r>
      <w:r w:rsidR="00E021B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збудників </w:t>
      </w:r>
      <w:r w:rsidR="00E021B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із </w:t>
      </w:r>
      <w:proofErr w:type="spellStart"/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урогенітального</w:t>
      </w:r>
      <w:proofErr w:type="spellEnd"/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тракту </w:t>
      </w:r>
      <w:r w:rsidR="00E021B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у</w:t>
      </w:r>
      <w:r w:rsidR="00E021B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96 % хворих чоловіків  та 95 % хворих жінок. </w:t>
      </w:r>
    </w:p>
    <w:p w:rsidR="0091710D" w:rsidRPr="00BA2F2F" w:rsidRDefault="00C669D4" w:rsidP="00BA2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Результати</w:t>
      </w:r>
      <w:r w:rsidR="0091710D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вивчення показників</w:t>
      </w:r>
      <w:r w:rsidR="0053102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1710D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антиоксидантного захисту </w:t>
      </w:r>
      <w:r w:rsidR="006E0A80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у групах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хворих </w:t>
      </w:r>
      <w:r w:rsidR="00ED4EB0" w:rsidRPr="00BA2F2F">
        <w:rPr>
          <w:rFonts w:ascii="Times New Roman" w:hAnsi="Times New Roman" w:cs="Times New Roman"/>
          <w:sz w:val="20"/>
          <w:szCs w:val="20"/>
          <w:lang w:val="uk-UA"/>
        </w:rPr>
        <w:t>за</w:t>
      </w:r>
      <w:r w:rsidR="006E0A80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лежно від виду проведеної терапії </w:t>
      </w:r>
      <w:r w:rsidR="0091710D" w:rsidRPr="00BA2F2F">
        <w:rPr>
          <w:rFonts w:ascii="Times New Roman" w:hAnsi="Times New Roman" w:cs="Times New Roman"/>
          <w:sz w:val="20"/>
          <w:szCs w:val="20"/>
          <w:lang w:val="uk-UA"/>
        </w:rPr>
        <w:t>наведені у таблиці 3.</w:t>
      </w:r>
    </w:p>
    <w:p w:rsidR="006E0A80" w:rsidRPr="00BA2F2F" w:rsidRDefault="006E0A80" w:rsidP="00BA2F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Таблиця 3</w:t>
      </w:r>
    </w:p>
    <w:p w:rsidR="006E0A80" w:rsidRPr="00E021B1" w:rsidRDefault="006E0A80" w:rsidP="00E021B1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  <w:lang w:val="uk-UA"/>
        </w:rPr>
      </w:pPr>
      <w:r w:rsidRPr="00E021B1">
        <w:rPr>
          <w:rFonts w:ascii="Arial" w:hAnsi="Arial" w:cs="Arial"/>
          <w:b/>
          <w:sz w:val="16"/>
          <w:szCs w:val="20"/>
          <w:lang w:val="uk-UA"/>
        </w:rPr>
        <w:t>Динаміка вмісту ліпідів, продуктів ПОЛ і</w:t>
      </w:r>
      <w:r w:rsidR="006D493B" w:rsidRPr="00E021B1">
        <w:rPr>
          <w:rFonts w:ascii="Arial" w:hAnsi="Arial" w:cs="Arial"/>
          <w:b/>
          <w:sz w:val="16"/>
          <w:szCs w:val="20"/>
          <w:lang w:val="uk-UA"/>
        </w:rPr>
        <w:t xml:space="preserve"> ЗАОА</w:t>
      </w:r>
      <w:r w:rsidR="00ED4EB0" w:rsidRPr="00E021B1">
        <w:rPr>
          <w:rFonts w:ascii="Arial" w:hAnsi="Arial" w:cs="Arial"/>
          <w:b/>
          <w:sz w:val="16"/>
          <w:szCs w:val="20"/>
          <w:lang w:val="uk-UA"/>
        </w:rPr>
        <w:t xml:space="preserve"> в плазмі крові хворих на </w:t>
      </w:r>
      <w:proofErr w:type="spellStart"/>
      <w:r w:rsidR="00ED4EB0" w:rsidRPr="00E021B1">
        <w:rPr>
          <w:rFonts w:ascii="Arial" w:hAnsi="Arial" w:cs="Arial"/>
          <w:b/>
          <w:sz w:val="16"/>
          <w:szCs w:val="20"/>
          <w:lang w:val="uk-UA"/>
        </w:rPr>
        <w:t>уроге</w:t>
      </w:r>
      <w:r w:rsidR="00D057E5" w:rsidRPr="00E021B1">
        <w:rPr>
          <w:rFonts w:ascii="Arial" w:hAnsi="Arial" w:cs="Arial"/>
          <w:b/>
          <w:sz w:val="16"/>
          <w:szCs w:val="20"/>
          <w:lang w:val="uk-UA"/>
        </w:rPr>
        <w:t>нітальну</w:t>
      </w:r>
      <w:proofErr w:type="spellEnd"/>
      <w:r w:rsidR="00D057E5" w:rsidRPr="00E021B1">
        <w:rPr>
          <w:rFonts w:ascii="Arial" w:hAnsi="Arial" w:cs="Arial"/>
          <w:b/>
          <w:sz w:val="16"/>
          <w:szCs w:val="20"/>
          <w:lang w:val="uk-UA"/>
        </w:rPr>
        <w:t xml:space="preserve"> мікст-інфекцію (</w:t>
      </w:r>
      <w:proofErr w:type="spellStart"/>
      <w:r w:rsidR="00D057E5" w:rsidRPr="00E021B1">
        <w:rPr>
          <w:rFonts w:ascii="Arial" w:hAnsi="Arial" w:cs="Arial"/>
          <w:b/>
          <w:sz w:val="16"/>
          <w:szCs w:val="20"/>
          <w:lang w:val="uk-UA"/>
        </w:rPr>
        <w:t>трихомо</w:t>
      </w:r>
      <w:r w:rsidR="00ED4EB0" w:rsidRPr="00E021B1">
        <w:rPr>
          <w:rFonts w:ascii="Arial" w:hAnsi="Arial" w:cs="Arial"/>
          <w:b/>
          <w:sz w:val="16"/>
          <w:szCs w:val="20"/>
          <w:lang w:val="uk-UA"/>
        </w:rPr>
        <w:t>ноз</w:t>
      </w:r>
      <w:proofErr w:type="spellEnd"/>
      <w:r w:rsidR="00ED4EB0" w:rsidRPr="00E021B1">
        <w:rPr>
          <w:rFonts w:ascii="Arial" w:hAnsi="Arial" w:cs="Arial"/>
          <w:b/>
          <w:sz w:val="16"/>
          <w:szCs w:val="20"/>
          <w:lang w:val="uk-UA"/>
        </w:rPr>
        <w:t xml:space="preserve">, </w:t>
      </w:r>
      <w:proofErr w:type="spellStart"/>
      <w:r w:rsidR="00ED4EB0" w:rsidRPr="00E021B1">
        <w:rPr>
          <w:rFonts w:ascii="Arial" w:hAnsi="Arial" w:cs="Arial"/>
          <w:b/>
          <w:sz w:val="16"/>
          <w:szCs w:val="20"/>
          <w:lang w:val="uk-UA"/>
        </w:rPr>
        <w:t>хламідіоз</w:t>
      </w:r>
      <w:proofErr w:type="spellEnd"/>
      <w:r w:rsidR="00ED4EB0" w:rsidRPr="00E021B1">
        <w:rPr>
          <w:rFonts w:ascii="Arial" w:hAnsi="Arial" w:cs="Arial"/>
          <w:b/>
          <w:sz w:val="16"/>
          <w:szCs w:val="20"/>
          <w:lang w:val="uk-UA"/>
        </w:rPr>
        <w:t xml:space="preserve">, </w:t>
      </w:r>
      <w:proofErr w:type="spellStart"/>
      <w:r w:rsidR="00ED4EB0" w:rsidRPr="00E021B1">
        <w:rPr>
          <w:rFonts w:ascii="Arial" w:hAnsi="Arial" w:cs="Arial"/>
          <w:b/>
          <w:sz w:val="16"/>
          <w:szCs w:val="20"/>
          <w:lang w:val="uk-UA"/>
        </w:rPr>
        <w:t>мікоплазмоз</w:t>
      </w:r>
      <w:proofErr w:type="spellEnd"/>
      <w:r w:rsidR="00ED4EB0" w:rsidRPr="00E021B1">
        <w:rPr>
          <w:rFonts w:ascii="Arial" w:hAnsi="Arial" w:cs="Arial"/>
          <w:b/>
          <w:sz w:val="16"/>
          <w:szCs w:val="20"/>
          <w:lang w:val="uk-UA"/>
        </w:rPr>
        <w:t xml:space="preserve">, </w:t>
      </w:r>
      <w:proofErr w:type="spellStart"/>
      <w:r w:rsidR="00ED4EB0" w:rsidRPr="00E021B1">
        <w:rPr>
          <w:rFonts w:ascii="Arial" w:hAnsi="Arial" w:cs="Arial"/>
          <w:b/>
          <w:sz w:val="16"/>
          <w:szCs w:val="20"/>
          <w:lang w:val="uk-UA"/>
        </w:rPr>
        <w:t>герпес</w:t>
      </w:r>
      <w:proofErr w:type="spellEnd"/>
      <w:r w:rsidR="00ED4EB0" w:rsidRPr="00E021B1">
        <w:rPr>
          <w:rFonts w:ascii="Arial" w:hAnsi="Arial" w:cs="Arial"/>
          <w:b/>
          <w:sz w:val="16"/>
          <w:szCs w:val="20"/>
          <w:lang w:val="uk-UA"/>
        </w:rPr>
        <w:t>) при різних видах терапії</w:t>
      </w:r>
    </w:p>
    <w:tbl>
      <w:tblPr>
        <w:tblStyle w:val="a8"/>
        <w:tblW w:w="6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1029"/>
        <w:gridCol w:w="992"/>
        <w:gridCol w:w="1098"/>
        <w:gridCol w:w="992"/>
        <w:gridCol w:w="1134"/>
      </w:tblGrid>
      <w:tr w:rsidR="008F1EDC" w:rsidRPr="00EF3F05" w:rsidTr="00C450D0">
        <w:tc>
          <w:tcPr>
            <w:tcW w:w="1384" w:type="dxa"/>
            <w:vMerge w:val="restart"/>
          </w:tcPr>
          <w:p w:rsidR="009D1209" w:rsidRPr="00EF3F05" w:rsidRDefault="00FC21BD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 xml:space="preserve">Основні </w:t>
            </w:r>
            <w:r w:rsidR="00A510DF" w:rsidRPr="00EF3F05">
              <w:rPr>
                <w:rFonts w:ascii="Arial" w:hAnsi="Arial" w:cs="Arial"/>
                <w:sz w:val="16"/>
                <w:szCs w:val="16"/>
                <w:lang w:val="uk-UA"/>
              </w:rPr>
              <w:t>п</w:t>
            </w:r>
            <w:r w:rsidR="009D1209" w:rsidRPr="00EF3F05">
              <w:rPr>
                <w:rFonts w:ascii="Arial" w:hAnsi="Arial" w:cs="Arial"/>
                <w:sz w:val="16"/>
                <w:szCs w:val="16"/>
                <w:lang w:val="uk-UA"/>
              </w:rPr>
              <w:t xml:space="preserve">оказники активності ПОЛ та ЗАОА </w:t>
            </w:r>
          </w:p>
        </w:tc>
        <w:tc>
          <w:tcPr>
            <w:tcW w:w="5245" w:type="dxa"/>
            <w:gridSpan w:val="5"/>
          </w:tcPr>
          <w:p w:rsidR="009D1209" w:rsidRPr="00EF3F05" w:rsidRDefault="009D1209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Середні значення основних показників активності</w:t>
            </w:r>
            <w:r w:rsidRPr="00EF3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ПОЛ та ЗАОА (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M±m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</w:tr>
      <w:tr w:rsidR="008F1EDC" w:rsidRPr="00EF3F05" w:rsidTr="00C450D0">
        <w:tc>
          <w:tcPr>
            <w:tcW w:w="1384" w:type="dxa"/>
            <w:vMerge/>
          </w:tcPr>
          <w:p w:rsidR="009D1209" w:rsidRPr="00EF3F05" w:rsidRDefault="009D1209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9" w:type="dxa"/>
          </w:tcPr>
          <w:p w:rsidR="00E640ED" w:rsidRPr="00EF3F05" w:rsidRDefault="009D1209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Норма</w:t>
            </w:r>
          </w:p>
          <w:p w:rsidR="009D1209" w:rsidRPr="00EF3F05" w:rsidRDefault="009D1209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(гр. контроля) n=25</w:t>
            </w:r>
          </w:p>
        </w:tc>
        <w:tc>
          <w:tcPr>
            <w:tcW w:w="992" w:type="dxa"/>
          </w:tcPr>
          <w:p w:rsidR="009D1209" w:rsidRPr="00EF3F05" w:rsidRDefault="009D1209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Д</w:t>
            </w:r>
            <w:r w:rsidRPr="00EF3F05">
              <w:rPr>
                <w:rFonts w:ascii="Arial" w:hAnsi="Arial" w:cs="Arial"/>
                <w:sz w:val="16"/>
                <w:szCs w:val="16"/>
              </w:rPr>
              <w:t xml:space="preserve">о 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лікування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 xml:space="preserve"> n=99</w:t>
            </w:r>
          </w:p>
        </w:tc>
        <w:tc>
          <w:tcPr>
            <w:tcW w:w="1098" w:type="dxa"/>
          </w:tcPr>
          <w:p w:rsidR="009D1209" w:rsidRPr="00EF3F05" w:rsidRDefault="009D1209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Після лікування за клінічними протоколами</w:t>
            </w:r>
          </w:p>
          <w:p w:rsidR="00A510DF" w:rsidRPr="00EF3F05" w:rsidRDefault="00A510DF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(I група), n=23</w:t>
            </w:r>
          </w:p>
        </w:tc>
        <w:tc>
          <w:tcPr>
            <w:tcW w:w="992" w:type="dxa"/>
          </w:tcPr>
          <w:p w:rsidR="009D1209" w:rsidRPr="00EF3F05" w:rsidRDefault="00A510DF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 xml:space="preserve">Після комплексного лікування з </w:t>
            </w:r>
            <w:r w:rsidR="00E640ED" w:rsidRPr="00EF3F05">
              <w:rPr>
                <w:rFonts w:ascii="Arial" w:hAnsi="Arial" w:cs="Arial"/>
                <w:sz w:val="16"/>
                <w:szCs w:val="16"/>
                <w:lang w:val="uk-UA"/>
              </w:rPr>
              <w:t xml:space="preserve">ППТ 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(II група), n=</w:t>
            </w:r>
            <w:r w:rsidR="00AE103B" w:rsidRPr="00EF3F05">
              <w:rPr>
                <w:rFonts w:ascii="Arial" w:hAnsi="Arial" w:cs="Arial"/>
                <w:sz w:val="16"/>
                <w:szCs w:val="16"/>
                <w:lang w:val="uk-UA"/>
              </w:rPr>
              <w:t>42</w:t>
            </w:r>
          </w:p>
        </w:tc>
        <w:tc>
          <w:tcPr>
            <w:tcW w:w="1134" w:type="dxa"/>
          </w:tcPr>
          <w:p w:rsidR="00E640ED" w:rsidRPr="00EF3F05" w:rsidRDefault="00A510DF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Після комплексного лікування з ППТ та ОТ</w:t>
            </w:r>
          </w:p>
          <w:p w:rsidR="009D1209" w:rsidRPr="00EF3F05" w:rsidRDefault="00E640ED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(III група), n=</w:t>
            </w:r>
            <w:r w:rsidR="00AE103B" w:rsidRPr="00EF3F05">
              <w:rPr>
                <w:rFonts w:ascii="Arial" w:hAnsi="Arial" w:cs="Arial"/>
                <w:sz w:val="16"/>
                <w:szCs w:val="16"/>
                <w:lang w:val="uk-UA"/>
              </w:rPr>
              <w:t>76</w:t>
            </w:r>
          </w:p>
        </w:tc>
      </w:tr>
      <w:tr w:rsidR="008F1EDC" w:rsidRPr="00EF3F05" w:rsidTr="00C450D0">
        <w:tc>
          <w:tcPr>
            <w:tcW w:w="1384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Загальні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лі</w:t>
            </w:r>
            <w:proofErr w:type="gramStart"/>
            <w:r w:rsidRPr="00EF3F05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EF3F05">
              <w:rPr>
                <w:rFonts w:ascii="Arial" w:hAnsi="Arial" w:cs="Arial"/>
                <w:sz w:val="16"/>
                <w:szCs w:val="16"/>
              </w:rPr>
              <w:t>іди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>, мг/мл</w:t>
            </w:r>
          </w:p>
        </w:tc>
        <w:tc>
          <w:tcPr>
            <w:tcW w:w="1029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2,96±0,02</w:t>
            </w:r>
          </w:p>
        </w:tc>
        <w:tc>
          <w:tcPr>
            <w:tcW w:w="992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2,38±0,07*</w:t>
            </w:r>
          </w:p>
        </w:tc>
        <w:tc>
          <w:tcPr>
            <w:tcW w:w="1098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2,35±0,07*</w:t>
            </w:r>
          </w:p>
        </w:tc>
        <w:tc>
          <w:tcPr>
            <w:tcW w:w="992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2,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49</w:t>
            </w:r>
            <w:r w:rsidRPr="00EF3F05">
              <w:rPr>
                <w:rFonts w:ascii="Arial" w:hAnsi="Arial" w:cs="Arial"/>
                <w:sz w:val="16"/>
                <w:szCs w:val="16"/>
              </w:rPr>
              <w:t>±0,0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6</w:t>
            </w:r>
            <w:r w:rsidRPr="00EF3F0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2,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8</w:t>
            </w:r>
            <w:r w:rsidRPr="00EF3F05">
              <w:rPr>
                <w:rFonts w:ascii="Arial" w:hAnsi="Arial" w:cs="Arial"/>
                <w:sz w:val="16"/>
                <w:szCs w:val="16"/>
              </w:rPr>
              <w:t>2±0,05</w:t>
            </w:r>
            <w:r w:rsidR="00FA0427" w:rsidRPr="00EF3F05">
              <w:rPr>
                <w:rFonts w:ascii="Arial" w:hAnsi="Arial" w:cs="Arial"/>
                <w:sz w:val="16"/>
                <w:szCs w:val="16"/>
              </w:rPr>
              <w:t xml:space="preserve"> * **</w:t>
            </w:r>
          </w:p>
        </w:tc>
      </w:tr>
      <w:tr w:rsidR="008F1EDC" w:rsidRPr="00EF3F05" w:rsidTr="00C450D0">
        <w:tc>
          <w:tcPr>
            <w:tcW w:w="1384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Загальні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фосфолі</w:t>
            </w:r>
            <w:proofErr w:type="gramStart"/>
            <w:r w:rsidRPr="00EF3F05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EF3F05">
              <w:rPr>
                <w:rFonts w:ascii="Arial" w:hAnsi="Arial" w:cs="Arial"/>
                <w:sz w:val="16"/>
                <w:szCs w:val="16"/>
              </w:rPr>
              <w:t>іди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мкмоль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>/мл</w:t>
            </w:r>
          </w:p>
        </w:tc>
        <w:tc>
          <w:tcPr>
            <w:tcW w:w="1029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1,32±0,05</w:t>
            </w:r>
          </w:p>
        </w:tc>
        <w:tc>
          <w:tcPr>
            <w:tcW w:w="992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1,12±0,03*</w:t>
            </w:r>
          </w:p>
        </w:tc>
        <w:tc>
          <w:tcPr>
            <w:tcW w:w="1098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1,09±0,02*</w:t>
            </w:r>
          </w:p>
        </w:tc>
        <w:tc>
          <w:tcPr>
            <w:tcW w:w="992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1,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18</w:t>
            </w:r>
            <w:r w:rsidR="0042688A" w:rsidRPr="00EF3F05">
              <w:rPr>
                <w:rFonts w:ascii="Arial" w:hAnsi="Arial" w:cs="Arial"/>
                <w:sz w:val="16"/>
                <w:szCs w:val="16"/>
              </w:rPr>
              <w:t>±0,03</w:t>
            </w:r>
            <w:r w:rsidRPr="00EF3F0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1,21±0,032*</w:t>
            </w:r>
          </w:p>
        </w:tc>
      </w:tr>
      <w:tr w:rsidR="008F1EDC" w:rsidRPr="00EF3F05" w:rsidTr="00C450D0">
        <w:tc>
          <w:tcPr>
            <w:tcW w:w="1384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Дієнові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конʼюгати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нмоль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>/мл</w:t>
            </w:r>
          </w:p>
        </w:tc>
        <w:tc>
          <w:tcPr>
            <w:tcW w:w="1029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123,5</w:t>
            </w:r>
            <w:r w:rsidR="00217E3F" w:rsidRPr="00EF3F05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  <w:r w:rsidRPr="00EF3F05">
              <w:rPr>
                <w:rFonts w:ascii="Arial" w:hAnsi="Arial" w:cs="Arial"/>
                <w:sz w:val="16"/>
                <w:szCs w:val="16"/>
              </w:rPr>
              <w:t>±3,67</w:t>
            </w:r>
          </w:p>
        </w:tc>
        <w:tc>
          <w:tcPr>
            <w:tcW w:w="992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159,62±9,87*</w:t>
            </w:r>
          </w:p>
        </w:tc>
        <w:tc>
          <w:tcPr>
            <w:tcW w:w="1098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151,23±4,13*</w:t>
            </w:r>
          </w:p>
        </w:tc>
        <w:tc>
          <w:tcPr>
            <w:tcW w:w="992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</w:t>
            </w:r>
            <w:r w:rsidR="00217E3F" w:rsidRPr="00EF3F05">
              <w:rPr>
                <w:rFonts w:ascii="Arial" w:hAnsi="Arial" w:cs="Arial"/>
                <w:sz w:val="16"/>
                <w:szCs w:val="16"/>
                <w:lang w:val="uk-UA"/>
              </w:rPr>
              <w:t>48</w:t>
            </w:r>
            <w:r w:rsidR="00217E3F" w:rsidRPr="00EF3F05">
              <w:rPr>
                <w:rFonts w:ascii="Arial" w:hAnsi="Arial" w:cs="Arial"/>
                <w:sz w:val="16"/>
                <w:szCs w:val="16"/>
              </w:rPr>
              <w:t>,</w:t>
            </w:r>
            <w:r w:rsidR="00217E3F" w:rsidRPr="00EF3F05">
              <w:rPr>
                <w:rFonts w:ascii="Arial" w:hAnsi="Arial" w:cs="Arial"/>
                <w:sz w:val="16"/>
                <w:szCs w:val="16"/>
                <w:lang w:val="uk-UA"/>
              </w:rPr>
              <w:t>77</w:t>
            </w:r>
            <w:r w:rsidR="00217E3F" w:rsidRPr="00EF3F05">
              <w:rPr>
                <w:rFonts w:ascii="Arial" w:hAnsi="Arial" w:cs="Arial"/>
                <w:sz w:val="16"/>
                <w:szCs w:val="16"/>
              </w:rPr>
              <w:t>±</w:t>
            </w:r>
            <w:r w:rsidR="00217E3F" w:rsidRPr="00EF3F05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  <w:r w:rsidR="00217E3F" w:rsidRPr="00EF3F05">
              <w:rPr>
                <w:rFonts w:ascii="Arial" w:hAnsi="Arial" w:cs="Arial"/>
                <w:sz w:val="16"/>
                <w:szCs w:val="16"/>
              </w:rPr>
              <w:t>,</w:t>
            </w:r>
            <w:r w:rsidR="00217E3F" w:rsidRPr="00EF3F05">
              <w:rPr>
                <w:rFonts w:ascii="Arial" w:hAnsi="Arial" w:cs="Arial"/>
                <w:sz w:val="16"/>
                <w:szCs w:val="16"/>
                <w:lang w:val="uk-UA"/>
              </w:rPr>
              <w:t>87</w:t>
            </w:r>
            <w:r w:rsidR="00217E3F" w:rsidRPr="00EF3F0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E2CB0" w:rsidRPr="00EF3F05" w:rsidRDefault="00217E3F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126,3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  <w:r w:rsidRPr="00EF3F05">
              <w:rPr>
                <w:rFonts w:ascii="Arial" w:hAnsi="Arial" w:cs="Arial"/>
                <w:sz w:val="16"/>
                <w:szCs w:val="16"/>
              </w:rPr>
              <w:t>±5,8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  <w:r w:rsidR="001E2CB0" w:rsidRPr="00EF3F05"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8F1EDC" w:rsidRPr="00EF3F05" w:rsidTr="00C450D0">
        <w:tc>
          <w:tcPr>
            <w:tcW w:w="1384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Малоновий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діальдегід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нмоль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>/мл</w:t>
            </w:r>
          </w:p>
        </w:tc>
        <w:tc>
          <w:tcPr>
            <w:tcW w:w="1029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20,6±1,76</w:t>
            </w:r>
          </w:p>
        </w:tc>
        <w:tc>
          <w:tcPr>
            <w:tcW w:w="992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12,23±0,84*</w:t>
            </w:r>
          </w:p>
        </w:tc>
        <w:tc>
          <w:tcPr>
            <w:tcW w:w="1098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13,8±0,48*</w:t>
            </w:r>
          </w:p>
        </w:tc>
        <w:tc>
          <w:tcPr>
            <w:tcW w:w="992" w:type="dxa"/>
          </w:tcPr>
          <w:p w:rsidR="001E2CB0" w:rsidRPr="00EF3F05" w:rsidRDefault="00217E3F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  <w:r w:rsidRPr="00EF3F05">
              <w:rPr>
                <w:rFonts w:ascii="Arial" w:hAnsi="Arial" w:cs="Arial"/>
                <w:sz w:val="16"/>
                <w:szCs w:val="16"/>
              </w:rPr>
              <w:t>,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  <w:r w:rsidRPr="00EF3F05">
              <w:rPr>
                <w:rFonts w:ascii="Arial" w:hAnsi="Arial" w:cs="Arial"/>
                <w:sz w:val="16"/>
                <w:szCs w:val="16"/>
              </w:rPr>
              <w:t>±1,0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  <w:r w:rsidRPr="00EF3F0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16,2±1,07**</w:t>
            </w:r>
          </w:p>
        </w:tc>
      </w:tr>
      <w:tr w:rsidR="008F1EDC" w:rsidRPr="00EF3F05" w:rsidTr="00C450D0">
        <w:tc>
          <w:tcPr>
            <w:tcW w:w="1384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Шифові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>, ум</w:t>
            </w:r>
            <w:proofErr w:type="gramStart"/>
            <w:r w:rsidRPr="00EF3F05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F3F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F3F05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EF3F05">
              <w:rPr>
                <w:rFonts w:ascii="Arial" w:hAnsi="Arial" w:cs="Arial"/>
                <w:sz w:val="16"/>
                <w:szCs w:val="16"/>
              </w:rPr>
              <w:t>диниці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флуор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есценції</w:t>
            </w:r>
            <w:proofErr w:type="spellEnd"/>
          </w:p>
        </w:tc>
        <w:tc>
          <w:tcPr>
            <w:tcW w:w="1029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36,25±2,14</w:t>
            </w:r>
          </w:p>
        </w:tc>
        <w:tc>
          <w:tcPr>
            <w:tcW w:w="992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58,86±2,23*</w:t>
            </w:r>
          </w:p>
        </w:tc>
        <w:tc>
          <w:tcPr>
            <w:tcW w:w="1098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43,08±1,76**</w:t>
            </w:r>
          </w:p>
        </w:tc>
        <w:tc>
          <w:tcPr>
            <w:tcW w:w="992" w:type="dxa"/>
          </w:tcPr>
          <w:p w:rsidR="001E2CB0" w:rsidRPr="00EF3F05" w:rsidRDefault="001E3ECF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41</w:t>
            </w:r>
            <w:r w:rsidRPr="00EF3F05">
              <w:rPr>
                <w:rFonts w:ascii="Arial" w:hAnsi="Arial" w:cs="Arial"/>
                <w:sz w:val="16"/>
                <w:szCs w:val="16"/>
              </w:rPr>
              <w:t>,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64</w:t>
            </w:r>
            <w:r w:rsidRPr="00EF3F05">
              <w:rPr>
                <w:rFonts w:ascii="Arial" w:hAnsi="Arial" w:cs="Arial"/>
                <w:sz w:val="16"/>
                <w:szCs w:val="16"/>
              </w:rPr>
              <w:t>±1,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39</w:t>
            </w:r>
            <w:r w:rsidR="004917DA" w:rsidRPr="00EF3F05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34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38,2±1,17**</w:t>
            </w:r>
          </w:p>
        </w:tc>
      </w:tr>
      <w:tr w:rsidR="008F1EDC" w:rsidRPr="00EF3F05" w:rsidTr="00C450D0">
        <w:tc>
          <w:tcPr>
            <w:tcW w:w="1384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Індекс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шифоутворення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(</w:t>
            </w:r>
            <w:r w:rsidRPr="00EF3F05">
              <w:rPr>
                <w:rFonts w:ascii="Arial" w:hAnsi="Arial" w:cs="Arial"/>
                <w:sz w:val="16"/>
                <w:szCs w:val="16"/>
              </w:rPr>
              <w:t>Ш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О</w:t>
            </w:r>
            <w:r w:rsidRPr="00EF3F05">
              <w:rPr>
                <w:rFonts w:ascii="Arial" w:hAnsi="Arial" w:cs="Arial"/>
                <w:sz w:val="16"/>
                <w:szCs w:val="16"/>
              </w:rPr>
              <w:t>/МДА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  <w:tc>
          <w:tcPr>
            <w:tcW w:w="1029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92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  <w:tc>
          <w:tcPr>
            <w:tcW w:w="1098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  <w:tc>
          <w:tcPr>
            <w:tcW w:w="992" w:type="dxa"/>
          </w:tcPr>
          <w:p w:rsidR="001E2CB0" w:rsidRPr="00EF3F05" w:rsidRDefault="001E3ECF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2,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72</w:t>
            </w:r>
          </w:p>
        </w:tc>
        <w:tc>
          <w:tcPr>
            <w:tcW w:w="1134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</w:tr>
      <w:tr w:rsidR="008F1EDC" w:rsidRPr="00EF3F05" w:rsidTr="00C450D0">
        <w:tc>
          <w:tcPr>
            <w:tcW w:w="1384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Інтенсивність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r w:rsidRPr="00EF3F05">
              <w:rPr>
                <w:rFonts w:ascii="Arial" w:hAnsi="Arial" w:cs="Arial"/>
                <w:sz w:val="16"/>
                <w:szCs w:val="16"/>
              </w:rPr>
              <w:t xml:space="preserve">РО 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індуков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аного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 xml:space="preserve"> Fe</w:t>
            </w:r>
            <w:r w:rsidRPr="00EF3F05">
              <w:rPr>
                <w:rFonts w:ascii="Arial" w:hAnsi="Arial" w:cs="Arial"/>
                <w:sz w:val="16"/>
                <w:szCs w:val="16"/>
                <w:vertAlign w:val="superscript"/>
              </w:rPr>
              <w:t>2+</w:t>
            </w:r>
            <w:r w:rsidRPr="00EF3F0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імп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>/360с/мл)</w:t>
            </w:r>
          </w:p>
        </w:tc>
        <w:tc>
          <w:tcPr>
            <w:tcW w:w="1029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87,9±7,6</w:t>
            </w:r>
          </w:p>
        </w:tc>
        <w:tc>
          <w:tcPr>
            <w:tcW w:w="992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134,2±6,8*</w:t>
            </w:r>
          </w:p>
        </w:tc>
        <w:tc>
          <w:tcPr>
            <w:tcW w:w="1098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127,3±5,8*</w:t>
            </w:r>
          </w:p>
        </w:tc>
        <w:tc>
          <w:tcPr>
            <w:tcW w:w="992" w:type="dxa"/>
          </w:tcPr>
          <w:p w:rsidR="001E2CB0" w:rsidRPr="00EF3F05" w:rsidRDefault="001E3ECF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100</w:t>
            </w:r>
            <w:r w:rsidRPr="00EF3F05">
              <w:rPr>
                <w:rFonts w:ascii="Arial" w:hAnsi="Arial" w:cs="Arial"/>
                <w:sz w:val="16"/>
                <w:szCs w:val="16"/>
              </w:rPr>
              <w:t>,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  <w:r w:rsidRPr="00EF3F05">
              <w:rPr>
                <w:rFonts w:ascii="Arial" w:hAnsi="Arial" w:cs="Arial"/>
                <w:sz w:val="16"/>
                <w:szCs w:val="16"/>
              </w:rPr>
              <w:t>±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6</w:t>
            </w:r>
            <w:r w:rsidRPr="00EF3F05">
              <w:rPr>
                <w:rFonts w:ascii="Arial" w:hAnsi="Arial" w:cs="Arial"/>
                <w:sz w:val="16"/>
                <w:szCs w:val="16"/>
              </w:rPr>
              <w:t>,2*</w:t>
            </w:r>
          </w:p>
        </w:tc>
        <w:tc>
          <w:tcPr>
            <w:tcW w:w="1134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81,5±7,2**</w:t>
            </w:r>
          </w:p>
        </w:tc>
      </w:tr>
      <w:tr w:rsidR="008F1EDC" w:rsidRPr="00EF3F05" w:rsidTr="00C450D0">
        <w:tc>
          <w:tcPr>
            <w:tcW w:w="1384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Інтенсивність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r w:rsidRPr="00EF3F05">
              <w:rPr>
                <w:rFonts w:ascii="Arial" w:hAnsi="Arial" w:cs="Arial"/>
                <w:sz w:val="16"/>
                <w:szCs w:val="16"/>
              </w:rPr>
              <w:t xml:space="preserve">РО БВХ 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індуцир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>. H2O2 (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імп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</w:rPr>
              <w:t>/360с/мл)</w:t>
            </w:r>
          </w:p>
        </w:tc>
        <w:tc>
          <w:tcPr>
            <w:tcW w:w="1029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1097±75</w:t>
            </w:r>
          </w:p>
        </w:tc>
        <w:tc>
          <w:tcPr>
            <w:tcW w:w="992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1428±89*</w:t>
            </w:r>
          </w:p>
        </w:tc>
        <w:tc>
          <w:tcPr>
            <w:tcW w:w="1098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1219±97</w:t>
            </w:r>
            <w:r w:rsidR="00FA0427" w:rsidRPr="00EF3F0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1E2CB0" w:rsidRPr="00EF3F05" w:rsidRDefault="001E3ECF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  <w:r w:rsidR="001E2CB0" w:rsidRPr="00EF3F05">
              <w:rPr>
                <w:rFonts w:ascii="Arial" w:hAnsi="Arial" w:cs="Arial"/>
                <w:sz w:val="16"/>
                <w:szCs w:val="16"/>
              </w:rPr>
              <w:t>0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,5</w:t>
            </w:r>
            <w:r w:rsidR="001E2CB0" w:rsidRPr="00EF3F05">
              <w:rPr>
                <w:rFonts w:ascii="Arial" w:hAnsi="Arial" w:cs="Arial"/>
                <w:sz w:val="16"/>
                <w:szCs w:val="16"/>
              </w:rPr>
              <w:t>±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78</w:t>
            </w:r>
            <w:r w:rsidRPr="00EF3F0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1004±83**</w:t>
            </w:r>
          </w:p>
        </w:tc>
      </w:tr>
      <w:tr w:rsidR="008F1EDC" w:rsidRPr="00EF3F05" w:rsidTr="00C450D0">
        <w:tc>
          <w:tcPr>
            <w:tcW w:w="1384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Резервні можливості</w:t>
            </w:r>
            <w:r w:rsidRPr="00EF3F05">
              <w:rPr>
                <w:rFonts w:ascii="Arial" w:hAnsi="Arial" w:cs="Arial"/>
                <w:sz w:val="16"/>
                <w:szCs w:val="16"/>
              </w:rPr>
              <w:t xml:space="preserve"> ОАОА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,</w:t>
            </w:r>
            <w:r w:rsidRPr="00EF3F05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Pr="00EF3F05">
              <w:rPr>
                <w:rFonts w:ascii="Arial" w:hAnsi="Arial" w:cs="Arial"/>
                <w:sz w:val="16"/>
                <w:szCs w:val="16"/>
                <w:vertAlign w:val="subscript"/>
              </w:rPr>
              <w:t>CL</w:t>
            </w:r>
            <w:r w:rsidRPr="00EF3F05">
              <w:rPr>
                <w:rFonts w:ascii="Arial" w:hAnsi="Arial" w:cs="Arial"/>
                <w:sz w:val="16"/>
                <w:szCs w:val="16"/>
              </w:rPr>
              <w:t xml:space="preserve"> × 10</w:t>
            </w:r>
            <w:r w:rsidRPr="00EF3F05">
              <w:rPr>
                <w:rFonts w:ascii="Arial" w:hAnsi="Arial" w:cs="Arial"/>
                <w:sz w:val="16"/>
                <w:szCs w:val="16"/>
                <w:vertAlign w:val="superscript"/>
              </w:rPr>
              <w:t>–5</w:t>
            </w:r>
            <w:r w:rsidRPr="00EF3F05">
              <w:rPr>
                <w:rFonts w:ascii="Arial" w:hAnsi="Arial" w:cs="Arial"/>
                <w:sz w:val="16"/>
                <w:szCs w:val="16"/>
              </w:rPr>
              <w:t>, с</w:t>
            </w:r>
            <w:r w:rsidRPr="00EF3F05">
              <w:rPr>
                <w:rFonts w:ascii="Arial" w:hAnsi="Arial" w:cs="Arial"/>
                <w:sz w:val="16"/>
                <w:szCs w:val="16"/>
                <w:vertAlign w:val="superscript"/>
              </w:rPr>
              <w:t>–1</w:t>
            </w:r>
            <w:r w:rsidRPr="00EF3F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3F05">
              <w:rPr>
                <w:rFonts w:ascii="Arial" w:hAnsi="Arial" w:cs="Arial"/>
                <w:sz w:val="16"/>
                <w:szCs w:val="16"/>
              </w:rPr>
              <w:t>мкл</w:t>
            </w:r>
            <w:proofErr w:type="spellEnd"/>
            <w:r w:rsidRPr="00EF3F05">
              <w:rPr>
                <w:rFonts w:ascii="Arial" w:hAnsi="Arial" w:cs="Arial"/>
                <w:sz w:val="16"/>
                <w:szCs w:val="16"/>
                <w:vertAlign w:val="superscript"/>
              </w:rPr>
              <w:t>–1</w:t>
            </w:r>
          </w:p>
        </w:tc>
        <w:tc>
          <w:tcPr>
            <w:tcW w:w="1029" w:type="dxa"/>
          </w:tcPr>
          <w:p w:rsidR="001E2CB0" w:rsidRPr="00EF3F05" w:rsidRDefault="001E2CB0" w:rsidP="00BA2F2F">
            <w:pPr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6,06±0,34</w:t>
            </w:r>
          </w:p>
        </w:tc>
        <w:tc>
          <w:tcPr>
            <w:tcW w:w="992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2,8±0,18*</w:t>
            </w:r>
          </w:p>
        </w:tc>
        <w:tc>
          <w:tcPr>
            <w:tcW w:w="1098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4,11±0,43* **</w:t>
            </w:r>
          </w:p>
        </w:tc>
        <w:tc>
          <w:tcPr>
            <w:tcW w:w="992" w:type="dxa"/>
          </w:tcPr>
          <w:p w:rsidR="001E2CB0" w:rsidRPr="00EF3F05" w:rsidRDefault="001E3ECF" w:rsidP="00BA2F2F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  <w:r w:rsidRPr="00EF3F05">
              <w:rPr>
                <w:rFonts w:ascii="Arial" w:hAnsi="Arial" w:cs="Arial"/>
                <w:sz w:val="16"/>
                <w:szCs w:val="16"/>
              </w:rPr>
              <w:t>,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65</w:t>
            </w:r>
            <w:r w:rsidRPr="00EF3F05">
              <w:rPr>
                <w:rFonts w:ascii="Arial" w:hAnsi="Arial" w:cs="Arial"/>
                <w:sz w:val="16"/>
                <w:szCs w:val="16"/>
              </w:rPr>
              <w:t>±0,</w:t>
            </w:r>
            <w:r w:rsidRPr="00EF3F05">
              <w:rPr>
                <w:rFonts w:ascii="Arial" w:hAnsi="Arial" w:cs="Arial"/>
                <w:sz w:val="16"/>
                <w:szCs w:val="16"/>
                <w:lang w:val="uk-UA"/>
              </w:rPr>
              <w:t>54</w:t>
            </w:r>
            <w:r w:rsidRPr="00EF3F0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E2CB0" w:rsidRPr="00EF3F05" w:rsidRDefault="001E2CB0" w:rsidP="00BA2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F05">
              <w:rPr>
                <w:rFonts w:ascii="Arial" w:hAnsi="Arial" w:cs="Arial"/>
                <w:sz w:val="16"/>
                <w:szCs w:val="16"/>
              </w:rPr>
              <w:t>7,04±0,31**</w:t>
            </w:r>
          </w:p>
        </w:tc>
      </w:tr>
    </w:tbl>
    <w:p w:rsidR="007218D3" w:rsidRPr="008F1EDC" w:rsidRDefault="007218D3" w:rsidP="008F1EDC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20"/>
          <w:lang w:val="uk-UA"/>
        </w:rPr>
      </w:pPr>
      <w:r w:rsidRPr="008F1EDC">
        <w:rPr>
          <w:rFonts w:ascii="Arial" w:hAnsi="Arial" w:cs="Arial"/>
          <w:sz w:val="16"/>
          <w:szCs w:val="20"/>
          <w:lang w:val="uk-UA"/>
        </w:rPr>
        <w:t>Примітка: * — достовірність різниці від норми (p&lt;0,05), **— достовірність різниці від показників до лікування (p&lt;0,05)</w:t>
      </w:r>
    </w:p>
    <w:p w:rsidR="00BC6223" w:rsidRPr="00BA2F2F" w:rsidRDefault="00BC6223" w:rsidP="00BA2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917DA" w:rsidRPr="00BA2F2F" w:rsidRDefault="004917DA" w:rsidP="00C45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У хворих на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урогенітальну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мікст-інфекцію (</w:t>
      </w:r>
      <w:proofErr w:type="spellStart"/>
      <w:r w:rsidR="006A45CE" w:rsidRPr="00BA2F2F">
        <w:rPr>
          <w:rFonts w:ascii="Times New Roman" w:hAnsi="Times New Roman" w:cs="Times New Roman"/>
          <w:sz w:val="20"/>
          <w:szCs w:val="20"/>
          <w:lang w:val="uk-UA"/>
        </w:rPr>
        <w:t>трихомо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ноз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хламідіоз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мікоплазмоз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герпес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) виявлено глибокі порушення окислювально-відновного гомеостазу з інтенсифікацією процесів ПОЛ</w:t>
      </w:r>
      <w:r w:rsidR="00887BE4" w:rsidRPr="00BA2F2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зниженням </w:t>
      </w:r>
      <w:r w:rsidR="00045FF9" w:rsidRPr="00BA2F2F">
        <w:rPr>
          <w:rFonts w:ascii="Times New Roman" w:hAnsi="Times New Roman" w:cs="Times New Roman"/>
          <w:sz w:val="20"/>
          <w:szCs w:val="20"/>
          <w:lang w:val="uk-UA"/>
        </w:rPr>
        <w:t>ЗАОА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6A45CE" w:rsidRPr="00BA2F2F">
        <w:rPr>
          <w:rFonts w:ascii="Times New Roman" w:hAnsi="Times New Roman" w:cs="Times New Roman"/>
          <w:sz w:val="20"/>
          <w:szCs w:val="20"/>
          <w:lang w:val="uk-UA"/>
        </w:rPr>
        <w:t>його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резервних можливостей.</w:t>
      </w:r>
      <w:r w:rsidR="00045FF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Традиційна терапія більшою мірою покращувала резервні можливості ЗАОА плазми крові та демонструвала помірну позитивну динаміку відносно інших процесів.</w:t>
      </w:r>
      <w:r w:rsidR="00940AF6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Показники ПОЛ залишалися суттєво гіршими за нормальні, що свідчило про </w:t>
      </w:r>
      <w:r w:rsidR="00C66891" w:rsidRPr="00BA2F2F">
        <w:rPr>
          <w:rFonts w:ascii="Times New Roman" w:hAnsi="Times New Roman" w:cs="Times New Roman"/>
          <w:sz w:val="20"/>
          <w:szCs w:val="20"/>
          <w:lang w:val="uk-UA"/>
        </w:rPr>
        <w:t>тривалість окислювального пошкодження клітинних мембран тканин організму</w:t>
      </w:r>
      <w:r w:rsidR="00EF429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навіть після проведення лікування</w:t>
      </w:r>
      <w:r w:rsidR="00C66891"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2907C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5A614E" w:rsidRPr="00BA2F2F" w:rsidRDefault="002907C4" w:rsidP="00C45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Після лікування з використанням методів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озонотерапії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практично всі показники ПОЛ та ЗАОА плазми крові достовірно покращилися у порівнянні з вихідними</w:t>
      </w:r>
      <w:r w:rsidR="00257580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даними і суттєво не відрізнялися від норми.</w:t>
      </w:r>
      <w:r w:rsidR="00EF429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Рівні загальних ліпідів та фосфоліпідів</w:t>
      </w:r>
      <w:r w:rsidR="00E73111" w:rsidRPr="00BA2F2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EF429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незважаючи на </w:t>
      </w:r>
      <w:r w:rsidR="00E73111" w:rsidRPr="00BA2F2F">
        <w:rPr>
          <w:rFonts w:ascii="Times New Roman" w:hAnsi="Times New Roman" w:cs="Times New Roman"/>
          <w:sz w:val="20"/>
          <w:szCs w:val="20"/>
          <w:lang w:val="uk-UA"/>
        </w:rPr>
        <w:t>суттєву позитивну динаміку</w:t>
      </w:r>
      <w:r w:rsidR="00CC5F67" w:rsidRPr="00BA2F2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E73111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залишалися нижчими за норму.</w:t>
      </w:r>
      <w:r w:rsidR="00602860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5E2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Таким чином, включення місцевої та загальної </w:t>
      </w:r>
      <w:proofErr w:type="spellStart"/>
      <w:r w:rsidR="00925E2F" w:rsidRPr="00BA2F2F">
        <w:rPr>
          <w:rFonts w:ascii="Times New Roman" w:hAnsi="Times New Roman" w:cs="Times New Roman"/>
          <w:sz w:val="20"/>
          <w:szCs w:val="20"/>
          <w:lang w:val="uk-UA"/>
        </w:rPr>
        <w:t>озонотерапії</w:t>
      </w:r>
      <w:proofErr w:type="spellEnd"/>
      <w:r w:rsidR="00925E2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у комплексне лікування </w:t>
      </w:r>
      <w:proofErr w:type="spellStart"/>
      <w:r w:rsidR="00925E2F"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урогенітальної</w:t>
      </w:r>
      <w:proofErr w:type="spellEnd"/>
      <w:r w:rsidR="00925E2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мікст інфекції (</w:t>
      </w:r>
      <w:proofErr w:type="spellStart"/>
      <w:r w:rsidR="00925E2F" w:rsidRPr="00BA2F2F">
        <w:rPr>
          <w:rFonts w:ascii="Times New Roman" w:hAnsi="Times New Roman" w:cs="Times New Roman"/>
          <w:sz w:val="20"/>
          <w:szCs w:val="20"/>
          <w:lang w:val="uk-UA"/>
        </w:rPr>
        <w:t>трихомоноз</w:t>
      </w:r>
      <w:proofErr w:type="spellEnd"/>
      <w:r w:rsidR="00925E2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925E2F" w:rsidRPr="00BA2F2F">
        <w:rPr>
          <w:rFonts w:ascii="Times New Roman" w:hAnsi="Times New Roman" w:cs="Times New Roman"/>
          <w:sz w:val="20"/>
          <w:szCs w:val="20"/>
          <w:lang w:val="uk-UA"/>
        </w:rPr>
        <w:t>хламідіоз</w:t>
      </w:r>
      <w:proofErr w:type="spellEnd"/>
      <w:r w:rsidR="00925E2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925E2F" w:rsidRPr="00BA2F2F">
        <w:rPr>
          <w:rFonts w:ascii="Times New Roman" w:hAnsi="Times New Roman" w:cs="Times New Roman"/>
          <w:sz w:val="20"/>
          <w:szCs w:val="20"/>
          <w:lang w:val="uk-UA"/>
        </w:rPr>
        <w:t>мікоплазмоз</w:t>
      </w:r>
      <w:proofErr w:type="spellEnd"/>
      <w:r w:rsidR="00925E2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925E2F" w:rsidRPr="00BA2F2F">
        <w:rPr>
          <w:rFonts w:ascii="Times New Roman" w:hAnsi="Times New Roman" w:cs="Times New Roman"/>
          <w:sz w:val="20"/>
          <w:szCs w:val="20"/>
          <w:lang w:val="uk-UA"/>
        </w:rPr>
        <w:t>герпес</w:t>
      </w:r>
      <w:proofErr w:type="spellEnd"/>
      <w:r w:rsidR="00925E2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) дозволяє досягти </w:t>
      </w:r>
      <w:proofErr w:type="spellStart"/>
      <w:r w:rsidR="00925E2F" w:rsidRPr="00BA2F2F">
        <w:rPr>
          <w:rFonts w:ascii="Times New Roman" w:hAnsi="Times New Roman" w:cs="Times New Roman"/>
          <w:sz w:val="20"/>
          <w:szCs w:val="20"/>
          <w:lang w:val="uk-UA"/>
        </w:rPr>
        <w:t>купірування</w:t>
      </w:r>
      <w:proofErr w:type="spellEnd"/>
      <w:r w:rsidR="00925E2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процесів вільно-радикального окислення, зняти інтоксикацію та відновити фізико-хімічні властивості клітинних мембран. </w:t>
      </w:r>
    </w:p>
    <w:p w:rsidR="00D84D29" w:rsidRPr="00BA2F2F" w:rsidRDefault="00D84D29" w:rsidP="00BA2F2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0E36A4" w:rsidRPr="00C450D0" w:rsidRDefault="00036A6A" w:rsidP="00BA2F2F">
      <w:pPr>
        <w:spacing w:after="0" w:line="240" w:lineRule="auto"/>
        <w:ind w:firstLine="851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C450D0">
        <w:rPr>
          <w:rFonts w:ascii="Arial" w:hAnsi="Arial" w:cs="Arial"/>
          <w:b/>
          <w:sz w:val="20"/>
          <w:szCs w:val="20"/>
          <w:lang w:val="uk-UA"/>
        </w:rPr>
        <w:lastRenderedPageBreak/>
        <w:t>ВИСНОВ</w:t>
      </w:r>
      <w:r w:rsidR="00D84D29" w:rsidRPr="00C450D0">
        <w:rPr>
          <w:rFonts w:ascii="Arial" w:hAnsi="Arial" w:cs="Arial"/>
          <w:b/>
          <w:sz w:val="20"/>
          <w:szCs w:val="20"/>
          <w:lang w:val="uk-UA"/>
        </w:rPr>
        <w:t>КИ</w:t>
      </w:r>
    </w:p>
    <w:p w:rsidR="00136816" w:rsidRPr="00BA2F2F" w:rsidRDefault="00136816" w:rsidP="00BA2F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84E95" w:rsidRPr="00BA2F2F" w:rsidRDefault="00084E95" w:rsidP="00C450D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1.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ab/>
        <w:t xml:space="preserve">На основі вивчення особливостей клінічного перебігу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урогенітальних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мікст-інфекцій (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трихомоноз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хламідіоз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мікоплазмоз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герпесвіруси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), обґрунтовано та розроблено лікування, </w:t>
      </w:r>
      <w:r w:rsidR="00D84D29" w:rsidRPr="00BA2F2F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вкл</w:t>
      </w:r>
      <w:r w:rsidR="00012678" w:rsidRPr="00BA2F2F">
        <w:rPr>
          <w:rFonts w:ascii="Times New Roman" w:hAnsi="Times New Roman" w:cs="Times New Roman"/>
          <w:sz w:val="20"/>
          <w:szCs w:val="20"/>
          <w:lang w:val="uk-UA"/>
        </w:rPr>
        <w:t>ючає фармакологічні (підсилювачі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протипротозойної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терапії,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антибіотикотерапія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імунотерапія) та нефармакологічні (системна та місцева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озонотерапія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) засоби. </w:t>
      </w:r>
    </w:p>
    <w:p w:rsidR="00084E95" w:rsidRPr="00BA2F2F" w:rsidRDefault="00D84D29" w:rsidP="00C450D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ab/>
        <w:t xml:space="preserve">За результатами порівняльного моніторингу клініко-лабораторно-інструментальних показників виявлено, що найкращий терапевтичний ефект (4,8 бали за шкалою оцінки ефективності лікування) з повною елімінацією патогенних збудників у 96 % чоловіків та у 95 % жінок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мали</w:t>
      </w:r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хворі на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урогенітальну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мікст-інфекцію (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трихомоноз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хламідіоз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мікоплазмоз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герпесвіруси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), які отрим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ув</w:t>
      </w:r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али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комплексне</w:t>
      </w:r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лікування</w:t>
      </w:r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з використан</w:t>
      </w:r>
      <w:r w:rsidR="00243D4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ням фармакологічних </w:t>
      </w:r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та нефармакологічних  засобів, в той час як найнижчу ефективність (2,8 бали) виявила група, що отримала лікування за клінічними протоколами. </w:t>
      </w:r>
    </w:p>
    <w:p w:rsidR="00D41393" w:rsidRPr="00BA2F2F" w:rsidRDefault="00D84D29" w:rsidP="00C450D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ab/>
        <w:t xml:space="preserve">У хворих на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урогенітальну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мікст-інфекцію (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трихомоноз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хламідіоз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мікоплазмоз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герпесвіруси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) виявлено глибокі порушення окислювально-відновного гомеостазу з інтенсифікацією процесів ПОЛ, зниженням ЗАОА та його резервних можливостей, що підтверджується підвищенням рівнів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дієнових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конʼюгатів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(159,6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нмоль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/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шифових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основ (58,9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у.о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.) та індексу ШО/МДА (4,81) при зниженні рівня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малонового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діальдегіду (12,2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нмоль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/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824AEA" w:rsidRPr="00BA2F2F" w:rsidRDefault="00D41393" w:rsidP="00C45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>4.</w:t>
      </w:r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450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Застосування </w:t>
      </w:r>
      <w:r w:rsidR="00D84D29" w:rsidRPr="00BA2F2F">
        <w:rPr>
          <w:rFonts w:ascii="Times New Roman" w:hAnsi="Times New Roman" w:cs="Times New Roman"/>
          <w:sz w:val="20"/>
          <w:szCs w:val="20"/>
          <w:lang w:val="uk-UA"/>
        </w:rPr>
        <w:t>запропоновано</w:t>
      </w:r>
      <w:r w:rsidR="006C6714" w:rsidRPr="00BA2F2F">
        <w:rPr>
          <w:rFonts w:ascii="Times New Roman" w:hAnsi="Times New Roman" w:cs="Times New Roman"/>
          <w:sz w:val="20"/>
          <w:szCs w:val="20"/>
          <w:lang w:val="uk-UA"/>
        </w:rPr>
        <w:t>го</w:t>
      </w:r>
      <w:r w:rsidR="00D84D29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C6714" w:rsidRPr="00BA2F2F">
        <w:rPr>
          <w:rFonts w:ascii="Times New Roman" w:hAnsi="Times New Roman" w:cs="Times New Roman"/>
          <w:sz w:val="20"/>
          <w:szCs w:val="20"/>
          <w:lang w:val="uk-UA"/>
        </w:rPr>
        <w:t>комплексного</w:t>
      </w:r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C6714" w:rsidRPr="00BA2F2F">
        <w:rPr>
          <w:rFonts w:ascii="Times New Roman" w:hAnsi="Times New Roman" w:cs="Times New Roman"/>
          <w:sz w:val="20"/>
          <w:szCs w:val="20"/>
          <w:lang w:val="uk-UA"/>
        </w:rPr>
        <w:t>лікування</w:t>
      </w:r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з використан</w:t>
      </w:r>
      <w:r w:rsidR="00243D4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ням фармакологічних </w:t>
      </w:r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та нефармакологічн</w:t>
      </w:r>
      <w:r w:rsidR="00C505AD" w:rsidRPr="00BA2F2F">
        <w:rPr>
          <w:rFonts w:ascii="Times New Roman" w:hAnsi="Times New Roman" w:cs="Times New Roman"/>
          <w:sz w:val="20"/>
          <w:szCs w:val="20"/>
          <w:lang w:val="uk-UA"/>
        </w:rPr>
        <w:t>их</w:t>
      </w:r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засобів, дозволяє досягти нормалізації показників ПОЛ та ЗАОА (вміст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дієнових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конʼюгатів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- 126,3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нмоль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/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шифових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основ - 38,2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у.о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., індексу ШО/МДА - 2,5,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малонового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діальдегіду -16,2 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нмоль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/</w:t>
      </w:r>
      <w:proofErr w:type="spellStart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="00084E9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).</w:t>
      </w:r>
    </w:p>
    <w:p w:rsidR="000C10A9" w:rsidRPr="00C450D0" w:rsidRDefault="00036A6A" w:rsidP="00BA2F2F">
      <w:pPr>
        <w:spacing w:after="0" w:line="240" w:lineRule="auto"/>
        <w:ind w:firstLine="851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br w:type="page"/>
      </w:r>
      <w:r w:rsidR="008B142A" w:rsidRPr="00C450D0">
        <w:rPr>
          <w:rFonts w:ascii="Arial" w:hAnsi="Arial" w:cs="Arial"/>
          <w:b/>
          <w:sz w:val="20"/>
          <w:szCs w:val="20"/>
          <w:lang w:val="uk-UA"/>
        </w:rPr>
        <w:lastRenderedPageBreak/>
        <w:t>ПЕРЕЛІК РЕКОМЕНДОВАНОЇ ЛІТЕРАТУРИ</w:t>
      </w:r>
    </w:p>
    <w:p w:rsidR="00B761DA" w:rsidRPr="00BA2F2F" w:rsidRDefault="00B761DA" w:rsidP="00BA2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E2C72" w:rsidRPr="00BA2F2F" w:rsidRDefault="009E2C72" w:rsidP="00BA2F2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Пат. </w:t>
      </w:r>
      <w:r w:rsidR="008C0514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№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80882</w:t>
      </w:r>
      <w:r w:rsidR="008C0514" w:rsidRPr="00BA2F2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en-US"/>
        </w:rPr>
        <w:t>UA</w:t>
      </w:r>
      <w:r w:rsidR="008C0514" w:rsidRPr="00BA2F2F">
        <w:rPr>
          <w:rFonts w:ascii="Times New Roman" w:hAnsi="Times New Roman" w:cs="Times New Roman"/>
          <w:sz w:val="20"/>
          <w:szCs w:val="20"/>
          <w:lang w:val="uk-UA"/>
        </w:rPr>
        <w:t>, МПК A61K 31/00 A61K 47/00./Харківський національний медичний університет</w:t>
      </w:r>
      <w:r w:rsidR="00D361D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D361DB" w:rsidRPr="00BA2F2F">
        <w:rPr>
          <w:rFonts w:ascii="Times New Roman" w:hAnsi="Times New Roman" w:cs="Times New Roman"/>
          <w:sz w:val="20"/>
          <w:szCs w:val="20"/>
          <w:lang w:val="uk-UA"/>
        </w:rPr>
        <w:t>А.М. Бі</w:t>
      </w:r>
      <w:proofErr w:type="spellEnd"/>
      <w:r w:rsidR="00D361DB" w:rsidRPr="00BA2F2F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97332B" w:rsidRPr="00BA2F2F">
        <w:rPr>
          <w:rFonts w:ascii="Times New Roman" w:hAnsi="Times New Roman" w:cs="Times New Roman"/>
          <w:sz w:val="20"/>
          <w:szCs w:val="20"/>
          <w:lang w:val="uk-UA"/>
        </w:rPr>
        <w:t>овол, Ю.І. Козін, І.Е. Лук’янов.</w:t>
      </w:r>
      <w:r w:rsidR="00A84333" w:rsidRPr="00BA2F2F">
        <w:rPr>
          <w:rFonts w:ascii="Times New Roman" w:hAnsi="Times New Roman" w:cs="Times New Roman"/>
          <w:sz w:val="20"/>
          <w:szCs w:val="20"/>
          <w:lang w:val="uk-UA"/>
        </w:rPr>
        <w:t>—</w:t>
      </w:r>
      <w:r w:rsidR="0097332B" w:rsidRPr="00BA2F2F">
        <w:rPr>
          <w:rFonts w:ascii="Times New Roman" w:hAnsi="Times New Roman" w:cs="Times New Roman"/>
          <w:sz w:val="20"/>
          <w:szCs w:val="20"/>
          <w:lang w:val="uk-UA"/>
        </w:rPr>
        <w:t>З. №</w:t>
      </w:r>
      <w:r w:rsidR="00CF6B96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7332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u 2013 00156; </w:t>
      </w:r>
      <w:proofErr w:type="spellStart"/>
      <w:r w:rsidR="0097332B" w:rsidRPr="00BA2F2F">
        <w:rPr>
          <w:rFonts w:ascii="Times New Roman" w:hAnsi="Times New Roman" w:cs="Times New Roman"/>
          <w:sz w:val="20"/>
          <w:szCs w:val="20"/>
          <w:lang w:val="uk-UA"/>
        </w:rPr>
        <w:t>Заявл</w:t>
      </w:r>
      <w:proofErr w:type="spellEnd"/>
      <w:r w:rsidR="0097332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 03.01.2013; </w:t>
      </w:r>
      <w:proofErr w:type="spellStart"/>
      <w:r w:rsidR="0097332B" w:rsidRPr="00BA2F2F">
        <w:rPr>
          <w:rFonts w:ascii="Times New Roman" w:hAnsi="Times New Roman" w:cs="Times New Roman"/>
          <w:sz w:val="20"/>
          <w:szCs w:val="20"/>
          <w:lang w:val="uk-UA"/>
        </w:rPr>
        <w:t>Опубл</w:t>
      </w:r>
      <w:proofErr w:type="spellEnd"/>
      <w:r w:rsidR="0097332B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 10.06.2013.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Спосіб лікування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урогенітального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трихомоніазу</w:t>
      </w:r>
      <w:proofErr w:type="spellEnd"/>
      <w:r w:rsidR="00CF6B96"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E2C72" w:rsidRPr="00BA2F2F" w:rsidRDefault="009E2C72" w:rsidP="00BA2F2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Пат. </w:t>
      </w:r>
      <w:r w:rsidR="00CF6B96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№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75397</w:t>
      </w:r>
      <w:r w:rsidR="00CF6B96" w:rsidRPr="00BA2F2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</w:rPr>
        <w:t>UA</w:t>
      </w:r>
      <w:r w:rsidR="00CF6B96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МПК A61P 33/02, A61P 13/00, A61K 31/00./Харківський національний медичний університет. </w:t>
      </w:r>
      <w:proofErr w:type="spellStart"/>
      <w:r w:rsidR="00CF6B96" w:rsidRPr="00BA2F2F">
        <w:rPr>
          <w:rFonts w:ascii="Times New Roman" w:hAnsi="Times New Roman" w:cs="Times New Roman"/>
          <w:sz w:val="20"/>
          <w:szCs w:val="20"/>
          <w:lang w:val="uk-UA"/>
        </w:rPr>
        <w:t>А.М. Бі</w:t>
      </w:r>
      <w:proofErr w:type="spellEnd"/>
      <w:r w:rsidR="00CF6B96" w:rsidRPr="00BA2F2F">
        <w:rPr>
          <w:rFonts w:ascii="Times New Roman" w:hAnsi="Times New Roman" w:cs="Times New Roman"/>
          <w:sz w:val="20"/>
          <w:szCs w:val="20"/>
          <w:lang w:val="uk-UA"/>
        </w:rPr>
        <w:t>ловол, І.Е. Лук’янов.</w:t>
      </w:r>
      <w:r w:rsidR="00A84333" w:rsidRPr="00BA2F2F">
        <w:rPr>
          <w:rFonts w:ascii="Times New Roman" w:hAnsi="Times New Roman" w:cs="Times New Roman"/>
          <w:sz w:val="20"/>
          <w:szCs w:val="20"/>
          <w:lang w:val="uk-UA"/>
        </w:rPr>
        <w:t>—</w:t>
      </w:r>
      <w:r w:rsidR="00CF6B96" w:rsidRPr="00BA2F2F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E37E7F"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F6B96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№ u 2012 07095;</w:t>
      </w:r>
      <w:r w:rsidR="00817338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17338" w:rsidRPr="00BA2F2F">
        <w:rPr>
          <w:rFonts w:ascii="Times New Roman" w:hAnsi="Times New Roman" w:cs="Times New Roman"/>
          <w:sz w:val="20"/>
          <w:szCs w:val="20"/>
          <w:lang w:val="uk-UA"/>
        </w:rPr>
        <w:t>Заявл</w:t>
      </w:r>
      <w:proofErr w:type="spellEnd"/>
      <w:r w:rsidR="00817338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 12.06.2012; </w:t>
      </w:r>
      <w:proofErr w:type="spellStart"/>
      <w:r w:rsidR="00817338" w:rsidRPr="00BA2F2F">
        <w:rPr>
          <w:rFonts w:ascii="Times New Roman" w:hAnsi="Times New Roman" w:cs="Times New Roman"/>
          <w:sz w:val="20"/>
          <w:szCs w:val="20"/>
          <w:lang w:val="uk-UA"/>
        </w:rPr>
        <w:t>Опубл</w:t>
      </w:r>
      <w:proofErr w:type="spellEnd"/>
      <w:r w:rsidR="00817338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. 26.11.2012. Спосіб лікування хворих на </w:t>
      </w:r>
      <w:proofErr w:type="spellStart"/>
      <w:r w:rsidR="00817338"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урогенітальний</w:t>
      </w:r>
      <w:proofErr w:type="spellEnd"/>
      <w:r w:rsidR="00817338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17338" w:rsidRPr="00BA2F2F">
        <w:rPr>
          <w:rFonts w:ascii="Times New Roman" w:hAnsi="Times New Roman" w:cs="Times New Roman"/>
          <w:sz w:val="20"/>
          <w:szCs w:val="20"/>
          <w:lang w:val="uk-UA"/>
        </w:rPr>
        <w:t>трихомоніаз</w:t>
      </w:r>
      <w:proofErr w:type="spellEnd"/>
      <w:r w:rsidR="00A84333"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17338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CF6B96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E5035" w:rsidRPr="00BA2F2F" w:rsidRDefault="007E5035" w:rsidP="00BA2F2F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Козин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Ю.И.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Комбинированная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озонотерапия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усилители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715E3" w:rsidRPr="00BA2F2F">
        <w:rPr>
          <w:rFonts w:ascii="Times New Roman" w:hAnsi="Times New Roman" w:cs="Times New Roman"/>
          <w:sz w:val="20"/>
          <w:szCs w:val="20"/>
          <w:lang w:val="uk-UA"/>
        </w:rPr>
        <w:t>противно-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протозойной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терапии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комплексном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лечении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бактериально-протозойно-вирусной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инфекции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мочеполовых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органов</w:t>
      </w:r>
      <w:proofErr w:type="spellEnd"/>
      <w:r w:rsidR="00A8433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/ Ю.И. </w:t>
      </w:r>
      <w:proofErr w:type="spellStart"/>
      <w:r w:rsidR="00A84333" w:rsidRPr="00BA2F2F">
        <w:rPr>
          <w:rFonts w:ascii="Times New Roman" w:hAnsi="Times New Roman" w:cs="Times New Roman"/>
          <w:sz w:val="20"/>
          <w:szCs w:val="20"/>
          <w:lang w:val="uk-UA"/>
        </w:rPr>
        <w:t>Козин</w:t>
      </w:r>
      <w:proofErr w:type="spellEnd"/>
      <w:r w:rsidR="00A8433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А.Н. </w:t>
      </w:r>
      <w:proofErr w:type="spellStart"/>
      <w:r w:rsidR="00A84333" w:rsidRPr="00BA2F2F">
        <w:rPr>
          <w:rFonts w:ascii="Times New Roman" w:hAnsi="Times New Roman" w:cs="Times New Roman"/>
          <w:sz w:val="20"/>
          <w:szCs w:val="20"/>
          <w:lang w:val="uk-UA"/>
        </w:rPr>
        <w:t>Беловол</w:t>
      </w:r>
      <w:proofErr w:type="spellEnd"/>
      <w:r w:rsidR="00A84333" w:rsidRPr="00BA2F2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A84333" w:rsidRPr="00BA2F2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A8433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И.Э. </w:t>
      </w:r>
      <w:proofErr w:type="spellStart"/>
      <w:r w:rsidR="00A84333" w:rsidRPr="00BA2F2F">
        <w:rPr>
          <w:rFonts w:ascii="Times New Roman" w:hAnsi="Times New Roman" w:cs="Times New Roman"/>
          <w:sz w:val="20"/>
          <w:szCs w:val="20"/>
          <w:lang w:val="uk-UA"/>
        </w:rPr>
        <w:t>Лукьянов</w:t>
      </w:r>
      <w:proofErr w:type="spellEnd"/>
      <w:r w:rsidR="00A8433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// Харківська хірургічна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школа.—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2014.</w:t>
      </w:r>
      <w:r w:rsidR="00A84333" w:rsidRPr="00BA2F2F">
        <w:rPr>
          <w:rFonts w:ascii="Times New Roman" w:hAnsi="Times New Roman" w:cs="Times New Roman"/>
          <w:sz w:val="20"/>
          <w:szCs w:val="20"/>
          <w:lang w:val="uk-UA"/>
        </w:rPr>
        <w:t>— №</w:t>
      </w:r>
      <w:r w:rsidR="00A84333" w:rsidRPr="00BA2F2F">
        <w:rPr>
          <w:rFonts w:ascii="Times New Roman" w:hAnsi="Times New Roman" w:cs="Times New Roman"/>
          <w:sz w:val="20"/>
          <w:szCs w:val="20"/>
        </w:rPr>
        <w:t> </w:t>
      </w:r>
      <w:r w:rsidR="00A8433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6 (69).—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С.</w:t>
      </w:r>
      <w:r w:rsidRPr="00BA2F2F">
        <w:rPr>
          <w:rFonts w:ascii="Times New Roman" w:hAnsi="Times New Roman" w:cs="Times New Roman"/>
          <w:sz w:val="20"/>
          <w:szCs w:val="20"/>
        </w:rPr>
        <w:t> 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108–118.</w:t>
      </w:r>
    </w:p>
    <w:p w:rsidR="007E5035" w:rsidRPr="00BA2F2F" w:rsidRDefault="007E5035" w:rsidP="00BA2F2F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</w:rPr>
        <w:t xml:space="preserve">Лукьянов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И.</w:t>
      </w:r>
      <w:r w:rsidR="00966D05" w:rsidRPr="00BA2F2F">
        <w:rPr>
          <w:rFonts w:ascii="Times New Roman" w:hAnsi="Times New Roman" w:cs="Times New Roman"/>
          <w:sz w:val="20"/>
          <w:szCs w:val="20"/>
        </w:rPr>
        <w:t>Э.</w:t>
      </w:r>
      <w:r w:rsidRPr="00BA2F2F">
        <w:rPr>
          <w:rFonts w:ascii="Times New Roman" w:hAnsi="Times New Roman" w:cs="Times New Roman"/>
          <w:sz w:val="20"/>
          <w:szCs w:val="20"/>
        </w:rPr>
        <w:t xml:space="preserve"> Возможности коррекции репродуктивной дисфункции у больных с сочетанной урогенитально-протозойно-вирусной инфекцией методами </w:t>
      </w:r>
      <w:proofErr w:type="spellStart"/>
      <w:r w:rsidRPr="00BA2F2F">
        <w:rPr>
          <w:rFonts w:ascii="Times New Roman" w:hAnsi="Times New Roman" w:cs="Times New Roman"/>
          <w:sz w:val="20"/>
          <w:szCs w:val="20"/>
        </w:rPr>
        <w:t>магнито-квазилазерной</w:t>
      </w:r>
      <w:proofErr w:type="spellEnd"/>
      <w:r w:rsidRPr="00BA2F2F">
        <w:rPr>
          <w:rFonts w:ascii="Times New Roman" w:hAnsi="Times New Roman" w:cs="Times New Roman"/>
          <w:sz w:val="20"/>
          <w:szCs w:val="20"/>
        </w:rPr>
        <w:t xml:space="preserve"> фототерапии</w:t>
      </w:r>
      <w:r w:rsidR="00966D05" w:rsidRPr="00BA2F2F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966D05" w:rsidRPr="00BA2F2F">
        <w:rPr>
          <w:rFonts w:ascii="Times New Roman" w:hAnsi="Times New Roman" w:cs="Times New Roman"/>
          <w:sz w:val="20"/>
          <w:szCs w:val="20"/>
        </w:rPr>
        <w:t xml:space="preserve"> </w:t>
      </w:r>
      <w:r w:rsidR="00290682" w:rsidRPr="00BA2F2F">
        <w:rPr>
          <w:rFonts w:ascii="Times New Roman" w:hAnsi="Times New Roman" w:cs="Times New Roman"/>
          <w:sz w:val="20"/>
          <w:szCs w:val="20"/>
          <w:lang w:val="uk-UA"/>
        </w:rPr>
        <w:t>И.</w:t>
      </w:r>
      <w:r w:rsidR="00290682" w:rsidRPr="00BA2F2F">
        <w:rPr>
          <w:rFonts w:ascii="Times New Roman" w:hAnsi="Times New Roman" w:cs="Times New Roman"/>
          <w:sz w:val="20"/>
          <w:szCs w:val="20"/>
        </w:rPr>
        <w:t>Э</w:t>
      </w:r>
      <w:r w:rsidR="00290682"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290682" w:rsidRPr="00BA2F2F">
        <w:rPr>
          <w:rFonts w:ascii="Times New Roman" w:hAnsi="Times New Roman" w:cs="Times New Roman"/>
          <w:sz w:val="20"/>
          <w:szCs w:val="20"/>
        </w:rPr>
        <w:t xml:space="preserve"> </w:t>
      </w:r>
      <w:r w:rsidR="00966D05" w:rsidRPr="00BA2F2F">
        <w:rPr>
          <w:rFonts w:ascii="Times New Roman" w:hAnsi="Times New Roman" w:cs="Times New Roman"/>
          <w:sz w:val="20"/>
          <w:szCs w:val="20"/>
        </w:rPr>
        <w:t xml:space="preserve">Лукьянов, </w:t>
      </w:r>
      <w:r w:rsidR="00290682" w:rsidRPr="00BA2F2F">
        <w:rPr>
          <w:rFonts w:ascii="Times New Roman" w:hAnsi="Times New Roman" w:cs="Times New Roman"/>
          <w:sz w:val="20"/>
          <w:szCs w:val="20"/>
        </w:rPr>
        <w:t>Ю.И.</w:t>
      </w:r>
      <w:r w:rsidR="0029068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66D05" w:rsidRPr="00BA2F2F">
        <w:rPr>
          <w:rFonts w:ascii="Times New Roman" w:hAnsi="Times New Roman" w:cs="Times New Roman"/>
          <w:sz w:val="20"/>
          <w:szCs w:val="20"/>
        </w:rPr>
        <w:t>Козин,</w:t>
      </w:r>
      <w:r w:rsidR="00966D05" w:rsidRPr="00BA2F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0682" w:rsidRPr="00BA2F2F">
        <w:rPr>
          <w:rFonts w:ascii="Times New Roman" w:hAnsi="Times New Roman" w:cs="Times New Roman"/>
          <w:sz w:val="20"/>
          <w:szCs w:val="20"/>
        </w:rPr>
        <w:t>А.Н.</w:t>
      </w:r>
      <w:r w:rsidR="00290682" w:rsidRPr="00BA2F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068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66D05" w:rsidRPr="00BA2F2F">
        <w:rPr>
          <w:rFonts w:ascii="Times New Roman" w:hAnsi="Times New Roman" w:cs="Times New Roman"/>
          <w:sz w:val="20"/>
          <w:szCs w:val="20"/>
          <w:lang w:val="uk-UA"/>
        </w:rPr>
        <w:t>Беловол</w:t>
      </w:r>
      <w:proofErr w:type="spellEnd"/>
      <w:r w:rsidR="00966D0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//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Медицинская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психология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29068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— 2013.— Т. 8,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№</w:t>
      </w:r>
      <w:r w:rsidRPr="00BA2F2F">
        <w:rPr>
          <w:rFonts w:ascii="Times New Roman" w:hAnsi="Times New Roman" w:cs="Times New Roman"/>
          <w:sz w:val="20"/>
          <w:szCs w:val="20"/>
        </w:rPr>
        <w:t> 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290682"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068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—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С.</w:t>
      </w:r>
      <w:r w:rsidRPr="00BA2F2F">
        <w:rPr>
          <w:rFonts w:ascii="Times New Roman" w:hAnsi="Times New Roman" w:cs="Times New Roman"/>
          <w:sz w:val="20"/>
          <w:szCs w:val="20"/>
        </w:rPr>
        <w:t> 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79–88.</w:t>
      </w:r>
    </w:p>
    <w:p w:rsidR="007E5035" w:rsidRPr="00BA2F2F" w:rsidRDefault="007E5035" w:rsidP="00BA2F2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Мікробіологічний моніторинг інфекцій </w:t>
      </w:r>
      <w:proofErr w:type="spellStart"/>
      <w:r w:rsidRPr="00BA2F2F">
        <w:rPr>
          <w:rFonts w:ascii="Times New Roman" w:hAnsi="Times New Roman" w:cs="Times New Roman"/>
          <w:sz w:val="20"/>
          <w:szCs w:val="20"/>
          <w:lang w:val="uk-UA"/>
        </w:rPr>
        <w:t>урогенітального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тракту в умовах венерологічної клініки</w:t>
      </w:r>
      <w:r w:rsidR="0029068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/ В.В. </w:t>
      </w:r>
      <w:proofErr w:type="spellStart"/>
      <w:r w:rsidR="00290682" w:rsidRPr="00BA2F2F">
        <w:rPr>
          <w:rFonts w:ascii="Times New Roman" w:hAnsi="Times New Roman" w:cs="Times New Roman"/>
          <w:sz w:val="20"/>
          <w:szCs w:val="20"/>
          <w:lang w:val="uk-UA"/>
        </w:rPr>
        <w:t>Гончаренко</w:t>
      </w:r>
      <w:proofErr w:type="spellEnd"/>
      <w:r w:rsidR="00290682" w:rsidRPr="00BA2F2F">
        <w:rPr>
          <w:rFonts w:ascii="Times New Roman" w:hAnsi="Times New Roman" w:cs="Times New Roman"/>
          <w:sz w:val="20"/>
          <w:szCs w:val="20"/>
          <w:lang w:val="uk-UA"/>
        </w:rPr>
        <w:t>, С.К.</w:t>
      </w:r>
      <w:proofErr w:type="spellStart"/>
      <w:r w:rsidR="00290682" w:rsidRPr="00BA2F2F">
        <w:rPr>
          <w:rFonts w:ascii="Times New Roman" w:hAnsi="Times New Roman" w:cs="Times New Roman"/>
          <w:sz w:val="20"/>
          <w:szCs w:val="20"/>
          <w:lang w:val="uk-UA"/>
        </w:rPr>
        <w:t>Джораєва</w:t>
      </w:r>
      <w:proofErr w:type="spellEnd"/>
      <w:r w:rsidR="0029068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, О.В. </w:t>
      </w:r>
      <w:proofErr w:type="spellStart"/>
      <w:r w:rsidR="00290682" w:rsidRPr="00BA2F2F">
        <w:rPr>
          <w:rFonts w:ascii="Times New Roman" w:hAnsi="Times New Roman" w:cs="Times New Roman"/>
          <w:sz w:val="20"/>
          <w:szCs w:val="20"/>
          <w:lang w:val="uk-UA"/>
        </w:rPr>
        <w:t>Щоголева</w:t>
      </w:r>
      <w:proofErr w:type="spellEnd"/>
      <w:r w:rsidR="0029068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та ін..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//Дерматологія та венерологія.</w:t>
      </w:r>
      <w:r w:rsidR="008D743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—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2013.</w:t>
      </w:r>
      <w:r w:rsidR="008D743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—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№4(66).</w:t>
      </w:r>
      <w:r w:rsidR="008D743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—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С.44-54</w:t>
      </w:r>
      <w:r w:rsidR="008D743F" w:rsidRPr="00BA2F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E5035" w:rsidRPr="00BA2F2F" w:rsidRDefault="007E5035" w:rsidP="00BA2F2F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F2F">
        <w:rPr>
          <w:rFonts w:ascii="Times New Roman" w:hAnsi="Times New Roman" w:cs="Times New Roman"/>
          <w:sz w:val="20"/>
          <w:szCs w:val="20"/>
        </w:rPr>
        <w:t xml:space="preserve">Лукьянов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И.</w:t>
      </w:r>
      <w:r w:rsidRPr="00BA2F2F">
        <w:rPr>
          <w:rFonts w:ascii="Times New Roman" w:hAnsi="Times New Roman" w:cs="Times New Roman"/>
          <w:sz w:val="20"/>
          <w:szCs w:val="20"/>
        </w:rPr>
        <w:t>Э.</w:t>
      </w:r>
      <w:r w:rsidRPr="00BA2F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</w:rPr>
        <w:t xml:space="preserve">Динамика иммунологических факторов приобретенного иммунитета у больных урогенитально-протозойно-вирусной </w:t>
      </w:r>
      <w:proofErr w:type="gramStart"/>
      <w:r w:rsidRPr="00BA2F2F">
        <w:rPr>
          <w:rFonts w:ascii="Times New Roman" w:hAnsi="Times New Roman" w:cs="Times New Roman"/>
          <w:sz w:val="20"/>
          <w:szCs w:val="20"/>
        </w:rPr>
        <w:t>микст-инфекцией</w:t>
      </w:r>
      <w:proofErr w:type="gramEnd"/>
      <w:r w:rsidRPr="00BA2F2F">
        <w:rPr>
          <w:rFonts w:ascii="Times New Roman" w:hAnsi="Times New Roman" w:cs="Times New Roman"/>
          <w:sz w:val="20"/>
          <w:szCs w:val="20"/>
        </w:rPr>
        <w:t xml:space="preserve"> и возможности ее коррекции</w:t>
      </w:r>
      <w:r w:rsidR="007F0993" w:rsidRPr="00BA2F2F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7F0993" w:rsidRPr="00BA2F2F">
        <w:rPr>
          <w:rFonts w:ascii="Times New Roman" w:hAnsi="Times New Roman" w:cs="Times New Roman"/>
          <w:sz w:val="20"/>
          <w:szCs w:val="20"/>
        </w:rPr>
        <w:t xml:space="preserve"> </w:t>
      </w:r>
      <w:r w:rsidR="007F0993" w:rsidRPr="00BA2F2F">
        <w:rPr>
          <w:rFonts w:ascii="Times New Roman" w:hAnsi="Times New Roman" w:cs="Times New Roman"/>
          <w:sz w:val="20"/>
          <w:szCs w:val="20"/>
          <w:lang w:val="uk-UA"/>
        </w:rPr>
        <w:t>И.</w:t>
      </w:r>
      <w:r w:rsidR="007F0993" w:rsidRPr="00BA2F2F">
        <w:rPr>
          <w:rFonts w:ascii="Times New Roman" w:hAnsi="Times New Roman" w:cs="Times New Roman"/>
          <w:sz w:val="20"/>
          <w:szCs w:val="20"/>
        </w:rPr>
        <w:t>Э.</w:t>
      </w:r>
      <w:r w:rsidR="007F099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F0993" w:rsidRPr="00BA2F2F">
        <w:rPr>
          <w:rFonts w:ascii="Times New Roman" w:hAnsi="Times New Roman" w:cs="Times New Roman"/>
          <w:sz w:val="20"/>
          <w:szCs w:val="20"/>
        </w:rPr>
        <w:t>Лукьянов, Ю.И.</w:t>
      </w:r>
      <w:r w:rsidR="007F0993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F0993" w:rsidRPr="00BA2F2F">
        <w:rPr>
          <w:rFonts w:ascii="Times New Roman" w:hAnsi="Times New Roman" w:cs="Times New Roman"/>
          <w:sz w:val="20"/>
          <w:szCs w:val="20"/>
        </w:rPr>
        <w:t>Козин, А.Н.</w:t>
      </w:r>
      <w:r w:rsidR="007F0993" w:rsidRPr="00BA2F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F0993" w:rsidRPr="00BA2F2F">
        <w:rPr>
          <w:rFonts w:ascii="Times New Roman" w:hAnsi="Times New Roman" w:cs="Times New Roman"/>
          <w:sz w:val="20"/>
          <w:szCs w:val="20"/>
        </w:rPr>
        <w:t>Беловол</w:t>
      </w:r>
      <w:proofErr w:type="spellEnd"/>
      <w:r w:rsidR="007F0993" w:rsidRPr="00BA2F2F">
        <w:rPr>
          <w:rFonts w:ascii="Times New Roman" w:hAnsi="Times New Roman" w:cs="Times New Roman"/>
          <w:sz w:val="20"/>
          <w:szCs w:val="20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</w:rPr>
        <w:t xml:space="preserve">// Харьковская хирургическая школа.— </w:t>
      </w:r>
      <w:r w:rsidR="00DF38CB" w:rsidRPr="00BA2F2F">
        <w:rPr>
          <w:rFonts w:ascii="Times New Roman" w:hAnsi="Times New Roman" w:cs="Times New Roman"/>
          <w:sz w:val="20"/>
          <w:szCs w:val="20"/>
        </w:rPr>
        <w:t>20</w:t>
      </w:r>
      <w:r w:rsidR="00DF38CB" w:rsidRPr="00BA2F2F">
        <w:rPr>
          <w:rFonts w:ascii="Times New Roman" w:hAnsi="Times New Roman" w:cs="Times New Roman"/>
          <w:sz w:val="20"/>
          <w:szCs w:val="20"/>
          <w:lang w:val="uk-UA"/>
        </w:rPr>
        <w:t>13</w:t>
      </w:r>
      <w:r w:rsidR="00DF38CB" w:rsidRPr="00BA2F2F">
        <w:rPr>
          <w:rFonts w:ascii="Times New Roman" w:hAnsi="Times New Roman" w:cs="Times New Roman"/>
          <w:sz w:val="20"/>
          <w:szCs w:val="20"/>
        </w:rPr>
        <w:t>. —</w:t>
      </w:r>
      <w:r w:rsidRPr="00BA2F2F">
        <w:rPr>
          <w:rFonts w:ascii="Times New Roman" w:hAnsi="Times New Roman" w:cs="Times New Roman"/>
          <w:sz w:val="20"/>
          <w:szCs w:val="20"/>
        </w:rPr>
        <w:t>№ 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BA2F2F">
        <w:rPr>
          <w:rFonts w:ascii="Times New Roman" w:hAnsi="Times New Roman" w:cs="Times New Roman"/>
          <w:sz w:val="20"/>
          <w:szCs w:val="20"/>
        </w:rPr>
        <w:t xml:space="preserve"> (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62</w:t>
      </w:r>
      <w:r w:rsidRPr="00BA2F2F">
        <w:rPr>
          <w:rFonts w:ascii="Times New Roman" w:hAnsi="Times New Roman" w:cs="Times New Roman"/>
          <w:sz w:val="20"/>
          <w:szCs w:val="20"/>
        </w:rPr>
        <w:t>).— С. 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66</w:t>
      </w:r>
      <w:r w:rsidRPr="00BA2F2F">
        <w:rPr>
          <w:rFonts w:ascii="Times New Roman" w:hAnsi="Times New Roman" w:cs="Times New Roman"/>
          <w:sz w:val="20"/>
          <w:szCs w:val="20"/>
        </w:rPr>
        <w:t>–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72</w:t>
      </w:r>
      <w:r w:rsidRPr="00BA2F2F">
        <w:rPr>
          <w:rFonts w:ascii="Times New Roman" w:hAnsi="Times New Roman" w:cs="Times New Roman"/>
          <w:sz w:val="20"/>
          <w:szCs w:val="20"/>
        </w:rPr>
        <w:t>.</w:t>
      </w:r>
    </w:p>
    <w:p w:rsidR="007E5035" w:rsidRPr="00BA2F2F" w:rsidRDefault="007E5035" w:rsidP="00BA2F2F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F2F">
        <w:rPr>
          <w:rFonts w:ascii="Times New Roman" w:hAnsi="Times New Roman" w:cs="Times New Roman"/>
          <w:sz w:val="20"/>
          <w:szCs w:val="20"/>
        </w:rPr>
        <w:t xml:space="preserve">Лукьянов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И.</w:t>
      </w:r>
      <w:r w:rsidRPr="00BA2F2F">
        <w:rPr>
          <w:rFonts w:ascii="Times New Roman" w:hAnsi="Times New Roman" w:cs="Times New Roman"/>
          <w:sz w:val="20"/>
          <w:szCs w:val="20"/>
        </w:rPr>
        <w:t>Э.</w:t>
      </w:r>
      <w:r w:rsidRPr="00BA2F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</w:rPr>
        <w:t xml:space="preserve">Динамика показателей врожденного иммунитета у больных протозойно-урогенитально-вирусной смешанной инфекцией при лечении методами </w:t>
      </w:r>
      <w:proofErr w:type="spellStart"/>
      <w:r w:rsidRPr="00BA2F2F">
        <w:rPr>
          <w:rFonts w:ascii="Times New Roman" w:hAnsi="Times New Roman" w:cs="Times New Roman"/>
          <w:sz w:val="20"/>
          <w:szCs w:val="20"/>
        </w:rPr>
        <w:t>озонотерапии</w:t>
      </w:r>
      <w:proofErr w:type="spellEnd"/>
      <w:r w:rsidR="00431AB2" w:rsidRPr="00BA2F2F">
        <w:rPr>
          <w:rFonts w:ascii="Times New Roman" w:hAnsi="Times New Roman" w:cs="Times New Roman"/>
          <w:sz w:val="20"/>
          <w:szCs w:val="20"/>
          <w:lang w:val="uk-UA"/>
        </w:rPr>
        <w:t>/ И.</w:t>
      </w:r>
      <w:r w:rsidR="00431AB2" w:rsidRPr="00BA2F2F">
        <w:rPr>
          <w:rFonts w:ascii="Times New Roman" w:hAnsi="Times New Roman" w:cs="Times New Roman"/>
          <w:sz w:val="20"/>
          <w:szCs w:val="20"/>
        </w:rPr>
        <w:t>Э.</w:t>
      </w:r>
      <w:r w:rsidR="00431AB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31AB2" w:rsidRPr="00BA2F2F">
        <w:rPr>
          <w:rFonts w:ascii="Times New Roman" w:hAnsi="Times New Roman" w:cs="Times New Roman"/>
          <w:sz w:val="20"/>
          <w:szCs w:val="20"/>
        </w:rPr>
        <w:t>Лукьянов, Ю.И.</w:t>
      </w:r>
      <w:r w:rsidR="00431AB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31AB2" w:rsidRPr="00BA2F2F">
        <w:rPr>
          <w:rFonts w:ascii="Times New Roman" w:hAnsi="Times New Roman" w:cs="Times New Roman"/>
          <w:sz w:val="20"/>
          <w:szCs w:val="20"/>
        </w:rPr>
        <w:t>Козин, А.Н.</w:t>
      </w:r>
      <w:r w:rsidR="00431AB2" w:rsidRPr="00BA2F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31AB2" w:rsidRPr="00BA2F2F">
        <w:rPr>
          <w:rFonts w:ascii="Times New Roman" w:hAnsi="Times New Roman" w:cs="Times New Roman"/>
          <w:sz w:val="20"/>
          <w:szCs w:val="20"/>
        </w:rPr>
        <w:t>Беловол</w:t>
      </w:r>
      <w:proofErr w:type="spellEnd"/>
      <w:r w:rsidRPr="00BA2F2F">
        <w:rPr>
          <w:rFonts w:ascii="Times New Roman" w:hAnsi="Times New Roman" w:cs="Times New Roman"/>
          <w:sz w:val="20"/>
          <w:szCs w:val="20"/>
        </w:rPr>
        <w:t xml:space="preserve"> //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Міжнародний медичний журнал</w:t>
      </w:r>
      <w:r w:rsidRPr="00BA2F2F">
        <w:rPr>
          <w:rFonts w:ascii="Times New Roman" w:hAnsi="Times New Roman" w:cs="Times New Roman"/>
          <w:sz w:val="20"/>
          <w:szCs w:val="20"/>
        </w:rPr>
        <w:t xml:space="preserve">.— </w:t>
      </w:r>
      <w:r w:rsidR="00431AB2" w:rsidRPr="00BA2F2F">
        <w:rPr>
          <w:rFonts w:ascii="Times New Roman" w:hAnsi="Times New Roman" w:cs="Times New Roman"/>
          <w:sz w:val="20"/>
          <w:szCs w:val="20"/>
        </w:rPr>
        <w:t>20</w:t>
      </w:r>
      <w:r w:rsidR="00431AB2" w:rsidRPr="00BA2F2F">
        <w:rPr>
          <w:rFonts w:ascii="Times New Roman" w:hAnsi="Times New Roman" w:cs="Times New Roman"/>
          <w:sz w:val="20"/>
          <w:szCs w:val="20"/>
          <w:lang w:val="uk-UA"/>
        </w:rPr>
        <w:t>13</w:t>
      </w:r>
      <w:r w:rsidR="00431AB2" w:rsidRPr="00BA2F2F">
        <w:rPr>
          <w:rFonts w:ascii="Times New Roman" w:hAnsi="Times New Roman" w:cs="Times New Roman"/>
          <w:sz w:val="20"/>
          <w:szCs w:val="20"/>
        </w:rPr>
        <w:t xml:space="preserve">.— </w:t>
      </w:r>
      <w:r w:rsidRPr="00BA2F2F">
        <w:rPr>
          <w:rFonts w:ascii="Times New Roman" w:hAnsi="Times New Roman" w:cs="Times New Roman"/>
          <w:sz w:val="20"/>
          <w:szCs w:val="20"/>
        </w:rPr>
        <w:t>№ 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BA2F2F">
        <w:rPr>
          <w:rFonts w:ascii="Times New Roman" w:hAnsi="Times New Roman" w:cs="Times New Roman"/>
          <w:sz w:val="20"/>
          <w:szCs w:val="20"/>
        </w:rPr>
        <w:t xml:space="preserve"> (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76</w:t>
      </w:r>
      <w:r w:rsidRPr="00BA2F2F">
        <w:rPr>
          <w:rFonts w:ascii="Times New Roman" w:hAnsi="Times New Roman" w:cs="Times New Roman"/>
          <w:sz w:val="20"/>
          <w:szCs w:val="20"/>
        </w:rPr>
        <w:t>).— С. 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22</w:t>
      </w:r>
      <w:r w:rsidRPr="00BA2F2F">
        <w:rPr>
          <w:rFonts w:ascii="Times New Roman" w:hAnsi="Times New Roman" w:cs="Times New Roman"/>
          <w:sz w:val="20"/>
          <w:szCs w:val="20"/>
        </w:rPr>
        <w:t>–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30</w:t>
      </w:r>
      <w:r w:rsidRPr="00BA2F2F">
        <w:rPr>
          <w:rFonts w:ascii="Times New Roman" w:hAnsi="Times New Roman" w:cs="Times New Roman"/>
          <w:sz w:val="20"/>
          <w:szCs w:val="20"/>
        </w:rPr>
        <w:t>.</w:t>
      </w:r>
    </w:p>
    <w:p w:rsidR="007E5035" w:rsidRPr="00BA2F2F" w:rsidRDefault="007E5035" w:rsidP="00BA2F2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F2F">
        <w:rPr>
          <w:rFonts w:ascii="Times New Roman" w:hAnsi="Times New Roman" w:cs="Times New Roman"/>
          <w:sz w:val="20"/>
          <w:szCs w:val="20"/>
        </w:rPr>
        <w:t xml:space="preserve">Дифференцированный подход к выбору тактики ведения пациентов с вирусно-бактериальными </w:t>
      </w:r>
      <w:proofErr w:type="gramStart"/>
      <w:r w:rsidRPr="00BA2F2F">
        <w:rPr>
          <w:rFonts w:ascii="Times New Roman" w:hAnsi="Times New Roman" w:cs="Times New Roman"/>
          <w:sz w:val="20"/>
          <w:szCs w:val="20"/>
        </w:rPr>
        <w:t>уретритами, ассоциированными с ВПЧ-инфекцией</w:t>
      </w:r>
      <w:r w:rsidR="00431AB2" w:rsidRPr="00BA2F2F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431AB2" w:rsidRPr="00BA2F2F">
        <w:rPr>
          <w:rFonts w:ascii="Times New Roman" w:hAnsi="Times New Roman" w:cs="Times New Roman"/>
          <w:sz w:val="20"/>
          <w:szCs w:val="20"/>
        </w:rPr>
        <w:t xml:space="preserve"> Н.И.</w:t>
      </w:r>
      <w:r w:rsidR="00431AB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31AB2" w:rsidRPr="00BA2F2F">
        <w:rPr>
          <w:rFonts w:ascii="Times New Roman" w:hAnsi="Times New Roman" w:cs="Times New Roman"/>
          <w:sz w:val="20"/>
          <w:szCs w:val="20"/>
        </w:rPr>
        <w:t>Скидан</w:t>
      </w:r>
      <w:proofErr w:type="gramEnd"/>
      <w:r w:rsidR="00431AB2" w:rsidRPr="00BA2F2F">
        <w:rPr>
          <w:rFonts w:ascii="Times New Roman" w:hAnsi="Times New Roman" w:cs="Times New Roman"/>
          <w:sz w:val="20"/>
          <w:szCs w:val="20"/>
        </w:rPr>
        <w:t>, Д.В.</w:t>
      </w:r>
      <w:r w:rsidR="00431AB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31AB2" w:rsidRPr="00BA2F2F">
        <w:rPr>
          <w:rFonts w:ascii="Times New Roman" w:hAnsi="Times New Roman" w:cs="Times New Roman"/>
          <w:sz w:val="20"/>
          <w:szCs w:val="20"/>
        </w:rPr>
        <w:t>Орехов</w:t>
      </w:r>
      <w:r w:rsidR="006300B9" w:rsidRPr="00BA2F2F">
        <w:rPr>
          <w:rFonts w:ascii="Times New Roman" w:hAnsi="Times New Roman" w:cs="Times New Roman"/>
          <w:sz w:val="20"/>
          <w:szCs w:val="20"/>
        </w:rPr>
        <w:t>,</w:t>
      </w:r>
      <w:r w:rsidR="00ED6A0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300B9" w:rsidRPr="00BA2F2F">
        <w:rPr>
          <w:rFonts w:ascii="Times New Roman" w:hAnsi="Times New Roman" w:cs="Times New Roman"/>
          <w:sz w:val="20"/>
          <w:szCs w:val="20"/>
          <w:lang w:val="uk-UA"/>
        </w:rPr>
        <w:t>Горбунов А.П.</w:t>
      </w:r>
      <w:r w:rsidR="00CF7F9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31AB2" w:rsidRPr="00BA2F2F">
        <w:rPr>
          <w:rFonts w:ascii="Times New Roman" w:hAnsi="Times New Roman" w:cs="Times New Roman"/>
          <w:sz w:val="20"/>
          <w:szCs w:val="20"/>
          <w:lang w:val="uk-UA"/>
        </w:rPr>
        <w:t>и др.</w:t>
      </w:r>
      <w:r w:rsidRPr="00BA2F2F">
        <w:rPr>
          <w:rFonts w:ascii="Times New Roman" w:hAnsi="Times New Roman" w:cs="Times New Roman"/>
          <w:sz w:val="20"/>
          <w:szCs w:val="20"/>
        </w:rPr>
        <w:t>//Лечащий врач.</w:t>
      </w:r>
      <w:r w:rsidR="00431AB2" w:rsidRPr="00BA2F2F">
        <w:rPr>
          <w:rFonts w:ascii="Times New Roman" w:hAnsi="Times New Roman" w:cs="Times New Roman"/>
          <w:sz w:val="20"/>
          <w:szCs w:val="20"/>
        </w:rPr>
        <w:t xml:space="preserve"> —</w:t>
      </w:r>
      <w:r w:rsidRPr="00BA2F2F">
        <w:rPr>
          <w:rFonts w:ascii="Times New Roman" w:hAnsi="Times New Roman" w:cs="Times New Roman"/>
          <w:sz w:val="20"/>
          <w:szCs w:val="20"/>
        </w:rPr>
        <w:t xml:space="preserve"> 2014.</w:t>
      </w:r>
      <w:r w:rsidR="00431AB2" w:rsidRPr="00BA2F2F">
        <w:rPr>
          <w:rFonts w:ascii="Times New Roman" w:hAnsi="Times New Roman" w:cs="Times New Roman"/>
          <w:sz w:val="20"/>
          <w:szCs w:val="20"/>
        </w:rPr>
        <w:t xml:space="preserve"> —</w:t>
      </w:r>
      <w:r w:rsidRPr="00BA2F2F">
        <w:rPr>
          <w:rFonts w:ascii="Times New Roman" w:hAnsi="Times New Roman" w:cs="Times New Roman"/>
          <w:sz w:val="20"/>
          <w:szCs w:val="20"/>
        </w:rPr>
        <w:t xml:space="preserve"> № 9.</w:t>
      </w:r>
      <w:r w:rsidR="00431AB2" w:rsidRPr="00BA2F2F">
        <w:rPr>
          <w:rFonts w:ascii="Times New Roman" w:hAnsi="Times New Roman" w:cs="Times New Roman"/>
          <w:sz w:val="20"/>
          <w:szCs w:val="20"/>
        </w:rPr>
        <w:t xml:space="preserve"> —</w:t>
      </w:r>
      <w:r w:rsidRPr="00BA2F2F">
        <w:rPr>
          <w:rFonts w:ascii="Times New Roman" w:hAnsi="Times New Roman" w:cs="Times New Roman"/>
          <w:sz w:val="20"/>
          <w:szCs w:val="20"/>
        </w:rPr>
        <w:t xml:space="preserve"> С. 18.</w:t>
      </w:r>
    </w:p>
    <w:p w:rsidR="007E5035" w:rsidRPr="00BA2F2F" w:rsidRDefault="007E5035" w:rsidP="00BA2F2F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2F2F">
        <w:rPr>
          <w:rFonts w:ascii="Times New Roman" w:hAnsi="Times New Roman" w:cs="Times New Roman"/>
          <w:sz w:val="20"/>
          <w:szCs w:val="20"/>
        </w:rPr>
        <w:t xml:space="preserve">Лукьянов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И.</w:t>
      </w:r>
      <w:r w:rsidRPr="00BA2F2F">
        <w:rPr>
          <w:rFonts w:ascii="Times New Roman" w:hAnsi="Times New Roman" w:cs="Times New Roman"/>
          <w:sz w:val="20"/>
          <w:szCs w:val="20"/>
        </w:rPr>
        <w:t>Э.</w:t>
      </w:r>
      <w:r w:rsidRPr="00BA2F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</w:rPr>
        <w:t xml:space="preserve">Особенности процессов перекисного окисления липидов и антиоксидантной защиты у больных с сочетанной протозойно-урогенитальной микст-инфекцией при лечении их методами </w:t>
      </w:r>
      <w:proofErr w:type="spellStart"/>
      <w:r w:rsidRPr="00BA2F2F">
        <w:rPr>
          <w:rFonts w:ascii="Times New Roman" w:hAnsi="Times New Roman" w:cs="Times New Roman"/>
          <w:sz w:val="20"/>
          <w:szCs w:val="20"/>
        </w:rPr>
        <w:t>озонотерапии</w:t>
      </w:r>
      <w:proofErr w:type="spellEnd"/>
      <w:r w:rsidR="00431AB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31AB2" w:rsidRPr="00BA2F2F">
        <w:rPr>
          <w:rFonts w:ascii="Times New Roman" w:hAnsi="Times New Roman" w:cs="Times New Roman"/>
          <w:sz w:val="20"/>
          <w:szCs w:val="20"/>
          <w:lang w:val="uk-UA"/>
        </w:rPr>
        <w:lastRenderedPageBreak/>
        <w:t>/</w:t>
      </w:r>
      <w:r w:rsidR="00431AB2" w:rsidRPr="00BA2F2F">
        <w:rPr>
          <w:rFonts w:ascii="Times New Roman" w:hAnsi="Times New Roman" w:cs="Times New Roman"/>
          <w:sz w:val="20"/>
          <w:szCs w:val="20"/>
        </w:rPr>
        <w:t xml:space="preserve"> </w:t>
      </w:r>
      <w:r w:rsidR="00431AB2" w:rsidRPr="00BA2F2F">
        <w:rPr>
          <w:rFonts w:ascii="Times New Roman" w:hAnsi="Times New Roman" w:cs="Times New Roman"/>
          <w:sz w:val="20"/>
          <w:szCs w:val="20"/>
          <w:lang w:val="uk-UA"/>
        </w:rPr>
        <w:t>И.</w:t>
      </w:r>
      <w:r w:rsidR="00431AB2" w:rsidRPr="00BA2F2F">
        <w:rPr>
          <w:rFonts w:ascii="Times New Roman" w:hAnsi="Times New Roman" w:cs="Times New Roman"/>
          <w:sz w:val="20"/>
          <w:szCs w:val="20"/>
        </w:rPr>
        <w:t>Э.</w:t>
      </w:r>
      <w:r w:rsidR="00431AB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31AB2" w:rsidRPr="00BA2F2F">
        <w:rPr>
          <w:rFonts w:ascii="Times New Roman" w:hAnsi="Times New Roman" w:cs="Times New Roman"/>
          <w:sz w:val="20"/>
          <w:szCs w:val="20"/>
        </w:rPr>
        <w:t>Лукьянов, Ю.И.</w:t>
      </w:r>
      <w:r w:rsidR="00431AB2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31AB2" w:rsidRPr="00BA2F2F">
        <w:rPr>
          <w:rFonts w:ascii="Times New Roman" w:hAnsi="Times New Roman" w:cs="Times New Roman"/>
          <w:sz w:val="20"/>
          <w:szCs w:val="20"/>
        </w:rPr>
        <w:t>Козин, А.Н.</w:t>
      </w:r>
      <w:r w:rsidR="00431AB2" w:rsidRPr="00BA2F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1AB2" w:rsidRPr="00BA2F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1AB2" w:rsidRPr="00BA2F2F">
        <w:rPr>
          <w:rFonts w:ascii="Times New Roman" w:hAnsi="Times New Roman" w:cs="Times New Roman"/>
          <w:sz w:val="20"/>
          <w:szCs w:val="20"/>
        </w:rPr>
        <w:t>Беловол</w:t>
      </w:r>
      <w:proofErr w:type="spellEnd"/>
      <w:r w:rsidR="00431AB2" w:rsidRPr="00BA2F2F">
        <w:rPr>
          <w:rFonts w:ascii="Times New Roman" w:hAnsi="Times New Roman" w:cs="Times New Roman"/>
          <w:sz w:val="20"/>
          <w:szCs w:val="20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</w:rPr>
        <w:t xml:space="preserve">//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Міжнародний медичний журнал</w:t>
      </w:r>
      <w:r w:rsidRPr="00BA2F2F">
        <w:rPr>
          <w:rFonts w:ascii="Times New Roman" w:hAnsi="Times New Roman" w:cs="Times New Roman"/>
          <w:sz w:val="20"/>
          <w:szCs w:val="20"/>
        </w:rPr>
        <w:t xml:space="preserve">.— </w:t>
      </w:r>
      <w:r w:rsidR="00CD735F" w:rsidRPr="00BA2F2F">
        <w:rPr>
          <w:rFonts w:ascii="Times New Roman" w:hAnsi="Times New Roman" w:cs="Times New Roman"/>
          <w:sz w:val="20"/>
          <w:szCs w:val="20"/>
        </w:rPr>
        <w:t>20</w:t>
      </w:r>
      <w:r w:rsidR="00CD735F" w:rsidRPr="00BA2F2F">
        <w:rPr>
          <w:rFonts w:ascii="Times New Roman" w:hAnsi="Times New Roman" w:cs="Times New Roman"/>
          <w:sz w:val="20"/>
          <w:szCs w:val="20"/>
          <w:lang w:val="uk-UA"/>
        </w:rPr>
        <w:t>13</w:t>
      </w:r>
      <w:r w:rsidR="00CD735F" w:rsidRPr="00BA2F2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D735F" w:rsidRPr="00BA2F2F">
        <w:rPr>
          <w:rFonts w:ascii="Times New Roman" w:hAnsi="Times New Roman" w:cs="Times New Roman"/>
          <w:sz w:val="20"/>
          <w:szCs w:val="20"/>
        </w:rPr>
        <w:t xml:space="preserve">— </w:t>
      </w:r>
      <w:r w:rsidR="00CD735F" w:rsidRPr="00BA2F2F">
        <w:rPr>
          <w:rFonts w:ascii="Times New Roman" w:hAnsi="Times New Roman" w:cs="Times New Roman"/>
          <w:sz w:val="20"/>
          <w:szCs w:val="20"/>
          <w:lang w:val="uk-UA"/>
        </w:rPr>
        <w:t>Т. 19,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</w:rPr>
        <w:t>№ 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BA2F2F">
        <w:rPr>
          <w:rFonts w:ascii="Times New Roman" w:hAnsi="Times New Roman" w:cs="Times New Roman"/>
          <w:sz w:val="20"/>
          <w:szCs w:val="20"/>
        </w:rPr>
        <w:t xml:space="preserve"> (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BA2F2F">
        <w:rPr>
          <w:rFonts w:ascii="Times New Roman" w:hAnsi="Times New Roman" w:cs="Times New Roman"/>
          <w:sz w:val="20"/>
          <w:szCs w:val="20"/>
        </w:rPr>
        <w:t>5).— С. 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56</w:t>
      </w:r>
      <w:r w:rsidRPr="00BA2F2F">
        <w:rPr>
          <w:rFonts w:ascii="Times New Roman" w:hAnsi="Times New Roman" w:cs="Times New Roman"/>
          <w:sz w:val="20"/>
          <w:szCs w:val="20"/>
        </w:rPr>
        <w:t>–6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BA2F2F">
        <w:rPr>
          <w:rFonts w:ascii="Times New Roman" w:hAnsi="Times New Roman" w:cs="Times New Roman"/>
          <w:sz w:val="20"/>
          <w:szCs w:val="20"/>
        </w:rPr>
        <w:t>.</w:t>
      </w:r>
    </w:p>
    <w:p w:rsidR="007E5035" w:rsidRPr="00BA2F2F" w:rsidRDefault="00CD735F" w:rsidP="00BA2F2F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F2F">
        <w:rPr>
          <w:rFonts w:ascii="Times New Roman" w:hAnsi="Times New Roman" w:cs="Times New Roman"/>
          <w:sz w:val="20"/>
          <w:szCs w:val="20"/>
        </w:rPr>
        <w:t>Козин Ю.И.</w:t>
      </w:r>
      <w:r w:rsidR="007E5035" w:rsidRPr="00BA2F2F">
        <w:rPr>
          <w:rFonts w:ascii="Times New Roman" w:hAnsi="Times New Roman" w:cs="Times New Roman"/>
          <w:sz w:val="20"/>
          <w:szCs w:val="20"/>
        </w:rPr>
        <w:t xml:space="preserve"> Возможности </w:t>
      </w:r>
      <w:proofErr w:type="spellStart"/>
      <w:r w:rsidR="007E5035" w:rsidRPr="00BA2F2F">
        <w:rPr>
          <w:rFonts w:ascii="Times New Roman" w:hAnsi="Times New Roman" w:cs="Times New Roman"/>
          <w:sz w:val="20"/>
          <w:szCs w:val="20"/>
        </w:rPr>
        <w:t>озонотерапии</w:t>
      </w:r>
      <w:proofErr w:type="spellEnd"/>
      <w:r w:rsidR="007E5035" w:rsidRPr="00BA2F2F">
        <w:rPr>
          <w:rFonts w:ascii="Times New Roman" w:hAnsi="Times New Roman" w:cs="Times New Roman"/>
          <w:sz w:val="20"/>
          <w:szCs w:val="20"/>
        </w:rPr>
        <w:t xml:space="preserve"> в лечении хронической протозойно-урогенитальной инфекции и ее </w:t>
      </w:r>
      <w:proofErr w:type="spellStart"/>
      <w:r w:rsidR="007E5035" w:rsidRPr="00BA2F2F">
        <w:rPr>
          <w:rFonts w:ascii="Times New Roman" w:hAnsi="Times New Roman" w:cs="Times New Roman"/>
          <w:sz w:val="20"/>
          <w:szCs w:val="20"/>
        </w:rPr>
        <w:t>ослож</w:t>
      </w:r>
      <w:proofErr w:type="spellEnd"/>
      <w:r w:rsidR="005D1D2E" w:rsidRPr="00BA2F2F">
        <w:rPr>
          <w:rFonts w:ascii="Times New Roman" w:hAnsi="Times New Roman" w:cs="Times New Roman"/>
          <w:sz w:val="20"/>
          <w:szCs w:val="20"/>
          <w:lang w:val="uk-UA"/>
        </w:rPr>
        <w:t>н</w:t>
      </w:r>
      <w:proofErr w:type="spellStart"/>
      <w:r w:rsidR="007E5035" w:rsidRPr="00BA2F2F">
        <w:rPr>
          <w:rFonts w:ascii="Times New Roman" w:hAnsi="Times New Roman" w:cs="Times New Roman"/>
          <w:sz w:val="20"/>
          <w:szCs w:val="20"/>
        </w:rPr>
        <w:t>ений</w:t>
      </w:r>
      <w:proofErr w:type="spellEnd"/>
      <w:r w:rsidRPr="00BA2F2F"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BA2F2F">
        <w:rPr>
          <w:rFonts w:ascii="Times New Roman" w:hAnsi="Times New Roman" w:cs="Times New Roman"/>
          <w:sz w:val="20"/>
          <w:szCs w:val="20"/>
        </w:rPr>
        <w:t xml:space="preserve"> Ю.И.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450D0">
        <w:rPr>
          <w:rFonts w:ascii="Times New Roman" w:hAnsi="Times New Roman" w:cs="Times New Roman"/>
          <w:sz w:val="20"/>
          <w:szCs w:val="20"/>
        </w:rPr>
        <w:t>Козин, И.Э.</w:t>
      </w:r>
      <w:r w:rsidR="00C450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</w:rPr>
        <w:t xml:space="preserve">Лукьянов </w:t>
      </w:r>
      <w:r w:rsidR="007E5035" w:rsidRPr="00BA2F2F">
        <w:rPr>
          <w:rFonts w:ascii="Times New Roman" w:hAnsi="Times New Roman" w:cs="Times New Roman"/>
          <w:sz w:val="20"/>
          <w:szCs w:val="20"/>
        </w:rPr>
        <w:t>//</w:t>
      </w:r>
      <w:r w:rsidR="00C450D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E5035" w:rsidRPr="00BA2F2F">
        <w:rPr>
          <w:rFonts w:ascii="Times New Roman" w:hAnsi="Times New Roman" w:cs="Times New Roman"/>
          <w:sz w:val="20"/>
          <w:szCs w:val="20"/>
        </w:rPr>
        <w:t>Рецензируемый мед</w:t>
      </w:r>
      <w:proofErr w:type="gramStart"/>
      <w:r w:rsidR="007E5035" w:rsidRPr="00BA2F2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E5035" w:rsidRPr="00BA2F2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E5035" w:rsidRPr="00BA2F2F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7E5035" w:rsidRPr="00BA2F2F">
        <w:rPr>
          <w:rFonts w:ascii="Times New Roman" w:hAnsi="Times New Roman" w:cs="Times New Roman"/>
          <w:sz w:val="20"/>
          <w:szCs w:val="20"/>
        </w:rPr>
        <w:t>аучно-</w:t>
      </w:r>
      <w:proofErr w:type="spellStart"/>
      <w:r w:rsidR="007E5035" w:rsidRPr="00BA2F2F">
        <w:rPr>
          <w:rFonts w:ascii="Times New Roman" w:hAnsi="Times New Roman" w:cs="Times New Roman"/>
          <w:sz w:val="20"/>
          <w:szCs w:val="20"/>
        </w:rPr>
        <w:t>практич</w:t>
      </w:r>
      <w:proofErr w:type="spellEnd"/>
      <w:r w:rsidR="007E5035" w:rsidRPr="00BA2F2F">
        <w:rPr>
          <w:rFonts w:ascii="Times New Roman" w:hAnsi="Times New Roman" w:cs="Times New Roman"/>
          <w:sz w:val="20"/>
          <w:szCs w:val="20"/>
        </w:rPr>
        <w:t xml:space="preserve">. журнал «Медицинский альманах». — </w:t>
      </w:r>
      <w:r w:rsidRPr="00BA2F2F">
        <w:rPr>
          <w:rFonts w:ascii="Times New Roman" w:hAnsi="Times New Roman" w:cs="Times New Roman"/>
          <w:sz w:val="20"/>
          <w:szCs w:val="20"/>
        </w:rPr>
        <w:t xml:space="preserve">2013.— </w:t>
      </w:r>
      <w:r w:rsidR="007E5035" w:rsidRPr="00BA2F2F">
        <w:rPr>
          <w:rFonts w:ascii="Times New Roman" w:hAnsi="Times New Roman" w:cs="Times New Roman"/>
          <w:sz w:val="20"/>
          <w:szCs w:val="20"/>
        </w:rPr>
        <w:t>№ 3 (27).— С. 67–68.</w:t>
      </w:r>
    </w:p>
    <w:p w:rsidR="00EE3E17" w:rsidRPr="00BA2F2F" w:rsidRDefault="00221070" w:rsidP="00BA2F2F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i/>
          <w:color w:val="auto"/>
          <w:sz w:val="20"/>
          <w:szCs w:val="20"/>
          <w:u w:val="none"/>
          <w:lang w:val="uk-UA"/>
        </w:rPr>
      </w:pPr>
      <w:r w:rsidRPr="00BA2F2F">
        <w:rPr>
          <w:rFonts w:ascii="Times New Roman" w:hAnsi="Times New Roman" w:cs="Times New Roman"/>
          <w:sz w:val="20"/>
          <w:szCs w:val="20"/>
        </w:rPr>
        <w:t xml:space="preserve">Лукьянов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И.</w:t>
      </w:r>
      <w:r w:rsidRPr="00BA2F2F">
        <w:rPr>
          <w:rFonts w:ascii="Times New Roman" w:hAnsi="Times New Roman" w:cs="Times New Roman"/>
          <w:sz w:val="20"/>
          <w:szCs w:val="20"/>
        </w:rPr>
        <w:t>Э.</w:t>
      </w:r>
      <w:r w:rsidRPr="00BA2F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E5035" w:rsidRPr="00BA2F2F">
        <w:rPr>
          <w:rFonts w:ascii="Times New Roman" w:hAnsi="Times New Roman" w:cs="Times New Roman"/>
          <w:sz w:val="20"/>
          <w:szCs w:val="20"/>
        </w:rPr>
        <w:t xml:space="preserve">Современные подходы к лечению резистентной </w:t>
      </w:r>
      <w:proofErr w:type="spellStart"/>
      <w:r w:rsidR="007E5035" w:rsidRPr="00BA2F2F">
        <w:rPr>
          <w:rFonts w:ascii="Times New Roman" w:hAnsi="Times New Roman" w:cs="Times New Roman"/>
          <w:sz w:val="20"/>
          <w:szCs w:val="20"/>
        </w:rPr>
        <w:t>трихомонадной</w:t>
      </w:r>
      <w:proofErr w:type="spellEnd"/>
      <w:r w:rsidR="007E5035" w:rsidRPr="00BA2F2F">
        <w:rPr>
          <w:rFonts w:ascii="Times New Roman" w:hAnsi="Times New Roman" w:cs="Times New Roman"/>
          <w:sz w:val="20"/>
          <w:szCs w:val="20"/>
        </w:rPr>
        <w:t xml:space="preserve"> инвазии в сочетании с хламидиозом, микоплазмозом и генитальным герпесом</w:t>
      </w:r>
      <w:r w:rsidR="00CD735F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/</w:t>
      </w:r>
      <w:r w:rsidR="00CD735F" w:rsidRPr="00BA2F2F">
        <w:rPr>
          <w:rFonts w:ascii="Times New Roman" w:hAnsi="Times New Roman" w:cs="Times New Roman"/>
          <w:sz w:val="20"/>
          <w:szCs w:val="20"/>
        </w:rPr>
        <w:t xml:space="preserve"> </w:t>
      </w:r>
      <w:r w:rsidRPr="00BA2F2F">
        <w:rPr>
          <w:rFonts w:ascii="Times New Roman" w:hAnsi="Times New Roman" w:cs="Times New Roman"/>
          <w:sz w:val="20"/>
          <w:szCs w:val="20"/>
        </w:rPr>
        <w:t xml:space="preserve">Лукьянов </w:t>
      </w:r>
      <w:r w:rsidRPr="00BA2F2F">
        <w:rPr>
          <w:rFonts w:ascii="Times New Roman" w:hAnsi="Times New Roman" w:cs="Times New Roman"/>
          <w:sz w:val="20"/>
          <w:szCs w:val="20"/>
          <w:lang w:val="uk-UA"/>
        </w:rPr>
        <w:t>И.</w:t>
      </w:r>
      <w:r w:rsidRPr="00BA2F2F">
        <w:rPr>
          <w:rFonts w:ascii="Times New Roman" w:hAnsi="Times New Roman" w:cs="Times New Roman"/>
          <w:sz w:val="20"/>
          <w:szCs w:val="20"/>
        </w:rPr>
        <w:t>Э.</w:t>
      </w:r>
      <w:r w:rsidRPr="00BA2F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B330A" w:rsidRPr="00BA2F2F">
        <w:rPr>
          <w:rFonts w:ascii="Times New Roman" w:hAnsi="Times New Roman" w:cs="Times New Roman"/>
          <w:sz w:val="20"/>
          <w:szCs w:val="20"/>
          <w:lang w:val="uk-UA"/>
        </w:rPr>
        <w:t>//</w:t>
      </w:r>
      <w:r w:rsidR="007E5035" w:rsidRPr="00BA2F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10" w:history="1">
        <w:proofErr w:type="spellStart"/>
        <w:r w:rsidR="007E5035" w:rsidRPr="00BA2F2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Дерматологія</w:t>
        </w:r>
        <w:proofErr w:type="spellEnd"/>
        <w:r w:rsidR="007E5035" w:rsidRPr="00BA2F2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та </w:t>
        </w:r>
        <w:proofErr w:type="spellStart"/>
        <w:r w:rsidR="007E5035" w:rsidRPr="00BA2F2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венерологія</w:t>
        </w:r>
        <w:proofErr w:type="spellEnd"/>
        <w:r w:rsidR="007E5035" w:rsidRPr="00BA2F2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681F50" w:rsidRPr="00BA2F2F">
          <w:rPr>
            <w:rFonts w:ascii="Times New Roman" w:hAnsi="Times New Roman" w:cs="Times New Roman"/>
            <w:sz w:val="20"/>
            <w:szCs w:val="20"/>
          </w:rPr>
          <w:t xml:space="preserve"> —</w:t>
        </w:r>
        <w:r w:rsidR="007E5035" w:rsidRPr="00BA2F2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2015.</w:t>
        </w:r>
        <w:r w:rsidR="00681F50" w:rsidRPr="00BA2F2F">
          <w:rPr>
            <w:rFonts w:ascii="Times New Roman" w:hAnsi="Times New Roman" w:cs="Times New Roman"/>
            <w:sz w:val="20"/>
            <w:szCs w:val="20"/>
          </w:rPr>
          <w:t xml:space="preserve"> —</w:t>
        </w:r>
        <w:r w:rsidR="007E5035" w:rsidRPr="00BA2F2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№ 3 (69).</w:t>
        </w:r>
        <w:r w:rsidR="00681F50" w:rsidRPr="00BA2F2F">
          <w:rPr>
            <w:rFonts w:ascii="Times New Roman" w:hAnsi="Times New Roman" w:cs="Times New Roman"/>
            <w:sz w:val="20"/>
            <w:szCs w:val="20"/>
          </w:rPr>
          <w:t xml:space="preserve"> —</w:t>
        </w:r>
        <w:r w:rsidR="007E5035" w:rsidRPr="00BA2F2F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С.5-15</w:t>
        </w:r>
      </w:hyperlink>
      <w:r w:rsidR="00681F50" w:rsidRPr="00BA2F2F">
        <w:rPr>
          <w:rStyle w:val="a9"/>
          <w:rFonts w:ascii="Times New Roman" w:hAnsi="Times New Roman" w:cs="Times New Roman"/>
          <w:color w:val="auto"/>
          <w:sz w:val="20"/>
          <w:szCs w:val="20"/>
          <w:u w:val="none"/>
          <w:lang w:val="uk-UA"/>
        </w:rPr>
        <w:t>.</w:t>
      </w:r>
    </w:p>
    <w:p w:rsidR="00792C73" w:rsidRPr="00BA2F2F" w:rsidRDefault="00792C73" w:rsidP="00BA2F2F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Наказ МОЗ України </w:t>
      </w:r>
      <w:r w:rsidRPr="00BA2F2F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uk-UA"/>
        </w:rPr>
        <w:t xml:space="preserve">Про удосконалення </w:t>
      </w:r>
      <w:proofErr w:type="spellStart"/>
      <w:r w:rsidRPr="00BA2F2F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uk-UA"/>
        </w:rPr>
        <w:t>дерматовенерологічної</w:t>
      </w:r>
      <w:proofErr w:type="spellEnd"/>
      <w:r w:rsidRPr="00BA2F2F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val="uk-UA"/>
        </w:rPr>
        <w:t xml:space="preserve"> допомоги населенню України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№ 286 від 07.06.2004 року</w:t>
      </w:r>
      <w:r w:rsidR="00B02676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.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</w:p>
    <w:p w:rsidR="00792C73" w:rsidRPr="00BA2F2F" w:rsidRDefault="00792C73" w:rsidP="00BA2F2F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i/>
          <w:color w:val="000000" w:themeColor="text1"/>
          <w:sz w:val="20"/>
          <w:szCs w:val="20"/>
          <w:u w:val="none"/>
          <w:lang w:val="uk-UA"/>
        </w:rPr>
      </w:pP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Наказ МОЗ України 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Про затвердження клінічних протоколів надання медичної допомоги хворим на </w:t>
      </w:r>
      <w:proofErr w:type="spellStart"/>
      <w:r w:rsidRPr="00BA2F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дерматовенерологічні</w:t>
      </w:r>
      <w:proofErr w:type="spellEnd"/>
      <w:r w:rsidRPr="00BA2F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захворювання  </w:t>
      </w:r>
      <w:r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№ 312 від 08.05.2009 року із змінами</w:t>
      </w:r>
      <w:r w:rsidR="00B02676" w:rsidRPr="00BA2F2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.</w:t>
      </w:r>
    </w:p>
    <w:sectPr w:rsidR="00792C73" w:rsidRPr="00BA2F2F" w:rsidSect="00B45F07">
      <w:type w:val="continuous"/>
      <w:pgSz w:w="8391" w:h="11907" w:code="11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47" w:rsidRDefault="007A3D47" w:rsidP="00B2539A">
      <w:pPr>
        <w:spacing w:after="0" w:line="240" w:lineRule="auto"/>
      </w:pPr>
      <w:r>
        <w:separator/>
      </w:r>
    </w:p>
  </w:endnote>
  <w:endnote w:type="continuationSeparator" w:id="0">
    <w:p w:rsidR="007A3D47" w:rsidRDefault="007A3D47" w:rsidP="00B2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911464"/>
      <w:docPartObj>
        <w:docPartGallery w:val="Page Numbers (Bottom of Page)"/>
        <w:docPartUnique/>
      </w:docPartObj>
    </w:sdtPr>
    <w:sdtEndPr/>
    <w:sdtContent>
      <w:p w:rsidR="005879CE" w:rsidRDefault="005879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D31">
          <w:rPr>
            <w:noProof/>
          </w:rPr>
          <w:t>19</w:t>
        </w:r>
        <w:r>
          <w:fldChar w:fldCharType="end"/>
        </w:r>
      </w:p>
    </w:sdtContent>
  </w:sdt>
  <w:p w:rsidR="005879CE" w:rsidRDefault="00587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47" w:rsidRDefault="007A3D47" w:rsidP="00B2539A">
      <w:pPr>
        <w:spacing w:after="0" w:line="240" w:lineRule="auto"/>
      </w:pPr>
      <w:r>
        <w:separator/>
      </w:r>
    </w:p>
  </w:footnote>
  <w:footnote w:type="continuationSeparator" w:id="0">
    <w:p w:rsidR="007A3D47" w:rsidRDefault="007A3D47" w:rsidP="00B2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D5B"/>
    <w:multiLevelType w:val="hybridMultilevel"/>
    <w:tmpl w:val="CAB2976E"/>
    <w:lvl w:ilvl="0" w:tplc="B8E4A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66B9"/>
    <w:multiLevelType w:val="hybridMultilevel"/>
    <w:tmpl w:val="0A2C81E2"/>
    <w:lvl w:ilvl="0" w:tplc="2EB075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45E765B"/>
    <w:multiLevelType w:val="hybridMultilevel"/>
    <w:tmpl w:val="9470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2319D"/>
    <w:multiLevelType w:val="hybridMultilevel"/>
    <w:tmpl w:val="3B6ACEBC"/>
    <w:lvl w:ilvl="0" w:tplc="2EB0754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7C82C6E"/>
    <w:multiLevelType w:val="hybridMultilevel"/>
    <w:tmpl w:val="3CEA5B3E"/>
    <w:lvl w:ilvl="0" w:tplc="2EB075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8634141"/>
    <w:multiLevelType w:val="hybridMultilevel"/>
    <w:tmpl w:val="83780BDA"/>
    <w:lvl w:ilvl="0" w:tplc="B8E4A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171F64"/>
    <w:multiLevelType w:val="hybridMultilevel"/>
    <w:tmpl w:val="01B0403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8F045F3"/>
    <w:multiLevelType w:val="hybridMultilevel"/>
    <w:tmpl w:val="0BF8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A2D71"/>
    <w:multiLevelType w:val="hybridMultilevel"/>
    <w:tmpl w:val="295C3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799"/>
    <w:multiLevelType w:val="hybridMultilevel"/>
    <w:tmpl w:val="5D88B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D4"/>
    <w:rsid w:val="00003098"/>
    <w:rsid w:val="000032E3"/>
    <w:rsid w:val="00003E52"/>
    <w:rsid w:val="00012678"/>
    <w:rsid w:val="000154C5"/>
    <w:rsid w:val="00017B92"/>
    <w:rsid w:val="00017DCF"/>
    <w:rsid w:val="000277BA"/>
    <w:rsid w:val="00036A6A"/>
    <w:rsid w:val="00036F82"/>
    <w:rsid w:val="00040D3F"/>
    <w:rsid w:val="00041A00"/>
    <w:rsid w:val="00045FF9"/>
    <w:rsid w:val="0005387C"/>
    <w:rsid w:val="00063E26"/>
    <w:rsid w:val="0006553B"/>
    <w:rsid w:val="00072575"/>
    <w:rsid w:val="000771BF"/>
    <w:rsid w:val="00080CAC"/>
    <w:rsid w:val="00082B19"/>
    <w:rsid w:val="00083B72"/>
    <w:rsid w:val="00084E95"/>
    <w:rsid w:val="00086487"/>
    <w:rsid w:val="00090233"/>
    <w:rsid w:val="00090615"/>
    <w:rsid w:val="000908FE"/>
    <w:rsid w:val="000A185C"/>
    <w:rsid w:val="000A3FE8"/>
    <w:rsid w:val="000A4873"/>
    <w:rsid w:val="000A4944"/>
    <w:rsid w:val="000B029A"/>
    <w:rsid w:val="000B59EB"/>
    <w:rsid w:val="000C10A9"/>
    <w:rsid w:val="000C5C56"/>
    <w:rsid w:val="000D016A"/>
    <w:rsid w:val="000D3B04"/>
    <w:rsid w:val="000D6782"/>
    <w:rsid w:val="000D73E1"/>
    <w:rsid w:val="000D7C2E"/>
    <w:rsid w:val="000E00F0"/>
    <w:rsid w:val="000E0821"/>
    <w:rsid w:val="000E0F31"/>
    <w:rsid w:val="000E36A4"/>
    <w:rsid w:val="000F2E54"/>
    <w:rsid w:val="000F6A05"/>
    <w:rsid w:val="000F7DD9"/>
    <w:rsid w:val="001035E0"/>
    <w:rsid w:val="00103798"/>
    <w:rsid w:val="00104094"/>
    <w:rsid w:val="00106B59"/>
    <w:rsid w:val="00114FDE"/>
    <w:rsid w:val="00121477"/>
    <w:rsid w:val="00121C67"/>
    <w:rsid w:val="00124936"/>
    <w:rsid w:val="00126650"/>
    <w:rsid w:val="0013038C"/>
    <w:rsid w:val="00130F69"/>
    <w:rsid w:val="00132039"/>
    <w:rsid w:val="00132DB9"/>
    <w:rsid w:val="00136816"/>
    <w:rsid w:val="00141826"/>
    <w:rsid w:val="00145AD2"/>
    <w:rsid w:val="0015101F"/>
    <w:rsid w:val="00155BDC"/>
    <w:rsid w:val="00160E9D"/>
    <w:rsid w:val="0016754D"/>
    <w:rsid w:val="0017658F"/>
    <w:rsid w:val="0018345B"/>
    <w:rsid w:val="00185BB6"/>
    <w:rsid w:val="001934B1"/>
    <w:rsid w:val="00194943"/>
    <w:rsid w:val="00194A4B"/>
    <w:rsid w:val="001A212A"/>
    <w:rsid w:val="001A4261"/>
    <w:rsid w:val="001A443A"/>
    <w:rsid w:val="001B79A1"/>
    <w:rsid w:val="001C30F2"/>
    <w:rsid w:val="001C5738"/>
    <w:rsid w:val="001C5C27"/>
    <w:rsid w:val="001C665B"/>
    <w:rsid w:val="001D2FB6"/>
    <w:rsid w:val="001D456D"/>
    <w:rsid w:val="001D7922"/>
    <w:rsid w:val="001E22C4"/>
    <w:rsid w:val="001E2CB0"/>
    <w:rsid w:val="001E31B7"/>
    <w:rsid w:val="001E3ECF"/>
    <w:rsid w:val="001E754D"/>
    <w:rsid w:val="001F1717"/>
    <w:rsid w:val="001F7851"/>
    <w:rsid w:val="00201CA3"/>
    <w:rsid w:val="00202DDF"/>
    <w:rsid w:val="00203FE7"/>
    <w:rsid w:val="00204734"/>
    <w:rsid w:val="002134AA"/>
    <w:rsid w:val="00213AB2"/>
    <w:rsid w:val="0021608A"/>
    <w:rsid w:val="00217E3F"/>
    <w:rsid w:val="00221070"/>
    <w:rsid w:val="00233AA3"/>
    <w:rsid w:val="00236C5B"/>
    <w:rsid w:val="00242978"/>
    <w:rsid w:val="00243D4B"/>
    <w:rsid w:val="00244FE4"/>
    <w:rsid w:val="00257580"/>
    <w:rsid w:val="002632E4"/>
    <w:rsid w:val="00263417"/>
    <w:rsid w:val="002634A8"/>
    <w:rsid w:val="00271F31"/>
    <w:rsid w:val="00273151"/>
    <w:rsid w:val="00273737"/>
    <w:rsid w:val="00281415"/>
    <w:rsid w:val="002858FA"/>
    <w:rsid w:val="00286DA4"/>
    <w:rsid w:val="00287690"/>
    <w:rsid w:val="00290682"/>
    <w:rsid w:val="002907C4"/>
    <w:rsid w:val="00290FCE"/>
    <w:rsid w:val="0029177A"/>
    <w:rsid w:val="00295202"/>
    <w:rsid w:val="0029523E"/>
    <w:rsid w:val="0029706C"/>
    <w:rsid w:val="00297BF0"/>
    <w:rsid w:val="002A3128"/>
    <w:rsid w:val="002B3618"/>
    <w:rsid w:val="002B6305"/>
    <w:rsid w:val="002B799F"/>
    <w:rsid w:val="002B7DA5"/>
    <w:rsid w:val="002C08D9"/>
    <w:rsid w:val="002C4FBB"/>
    <w:rsid w:val="002C57DB"/>
    <w:rsid w:val="002D3A57"/>
    <w:rsid w:val="002E41D1"/>
    <w:rsid w:val="002E556D"/>
    <w:rsid w:val="002F06FC"/>
    <w:rsid w:val="003122D0"/>
    <w:rsid w:val="0031425E"/>
    <w:rsid w:val="00315E56"/>
    <w:rsid w:val="00315FC3"/>
    <w:rsid w:val="00322538"/>
    <w:rsid w:val="003241E5"/>
    <w:rsid w:val="0032641C"/>
    <w:rsid w:val="003341AA"/>
    <w:rsid w:val="00335A90"/>
    <w:rsid w:val="0033693B"/>
    <w:rsid w:val="00342761"/>
    <w:rsid w:val="00347A1C"/>
    <w:rsid w:val="003541A5"/>
    <w:rsid w:val="00355586"/>
    <w:rsid w:val="00360227"/>
    <w:rsid w:val="00364729"/>
    <w:rsid w:val="003654C7"/>
    <w:rsid w:val="003715E3"/>
    <w:rsid w:val="00374179"/>
    <w:rsid w:val="0037442D"/>
    <w:rsid w:val="003758FC"/>
    <w:rsid w:val="003822D6"/>
    <w:rsid w:val="003867B2"/>
    <w:rsid w:val="00391734"/>
    <w:rsid w:val="00392CA3"/>
    <w:rsid w:val="003937F7"/>
    <w:rsid w:val="003A6CEE"/>
    <w:rsid w:val="003B1F44"/>
    <w:rsid w:val="003B5F43"/>
    <w:rsid w:val="003B7C97"/>
    <w:rsid w:val="003D33D2"/>
    <w:rsid w:val="003E3342"/>
    <w:rsid w:val="003E3A1F"/>
    <w:rsid w:val="003E3FBF"/>
    <w:rsid w:val="003E5B68"/>
    <w:rsid w:val="003F11C2"/>
    <w:rsid w:val="003F4059"/>
    <w:rsid w:val="003F405C"/>
    <w:rsid w:val="00400870"/>
    <w:rsid w:val="00404A9D"/>
    <w:rsid w:val="00404FCC"/>
    <w:rsid w:val="00405A42"/>
    <w:rsid w:val="0041155C"/>
    <w:rsid w:val="00417160"/>
    <w:rsid w:val="00424546"/>
    <w:rsid w:val="0042565B"/>
    <w:rsid w:val="0042688A"/>
    <w:rsid w:val="00431AB2"/>
    <w:rsid w:val="00433604"/>
    <w:rsid w:val="004427EF"/>
    <w:rsid w:val="00451609"/>
    <w:rsid w:val="0046100A"/>
    <w:rsid w:val="00462359"/>
    <w:rsid w:val="00472636"/>
    <w:rsid w:val="00476B7C"/>
    <w:rsid w:val="004863B6"/>
    <w:rsid w:val="00490876"/>
    <w:rsid w:val="004917DA"/>
    <w:rsid w:val="004B5607"/>
    <w:rsid w:val="004C039C"/>
    <w:rsid w:val="004C4B1C"/>
    <w:rsid w:val="004C5479"/>
    <w:rsid w:val="004C674F"/>
    <w:rsid w:val="004D1D25"/>
    <w:rsid w:val="004D3B95"/>
    <w:rsid w:val="004D6344"/>
    <w:rsid w:val="004F260D"/>
    <w:rsid w:val="004F4BE2"/>
    <w:rsid w:val="004F511E"/>
    <w:rsid w:val="004F5D63"/>
    <w:rsid w:val="0050243D"/>
    <w:rsid w:val="00504AED"/>
    <w:rsid w:val="00506BFB"/>
    <w:rsid w:val="0050731D"/>
    <w:rsid w:val="00510406"/>
    <w:rsid w:val="0051435C"/>
    <w:rsid w:val="005144D5"/>
    <w:rsid w:val="00531029"/>
    <w:rsid w:val="00541117"/>
    <w:rsid w:val="00543519"/>
    <w:rsid w:val="00544858"/>
    <w:rsid w:val="00545413"/>
    <w:rsid w:val="00555963"/>
    <w:rsid w:val="005566F2"/>
    <w:rsid w:val="0056188F"/>
    <w:rsid w:val="00562ED5"/>
    <w:rsid w:val="00563833"/>
    <w:rsid w:val="00571D30"/>
    <w:rsid w:val="00574180"/>
    <w:rsid w:val="0057425B"/>
    <w:rsid w:val="00574AC1"/>
    <w:rsid w:val="00582B25"/>
    <w:rsid w:val="00582E15"/>
    <w:rsid w:val="0058478D"/>
    <w:rsid w:val="005879CE"/>
    <w:rsid w:val="005A0987"/>
    <w:rsid w:val="005A2B10"/>
    <w:rsid w:val="005A614E"/>
    <w:rsid w:val="005B3087"/>
    <w:rsid w:val="005C6812"/>
    <w:rsid w:val="005D1700"/>
    <w:rsid w:val="005D1D2E"/>
    <w:rsid w:val="005D2C54"/>
    <w:rsid w:val="005D450B"/>
    <w:rsid w:val="005E39D9"/>
    <w:rsid w:val="005F4492"/>
    <w:rsid w:val="005F58DA"/>
    <w:rsid w:val="00602860"/>
    <w:rsid w:val="006122FC"/>
    <w:rsid w:val="00614D91"/>
    <w:rsid w:val="0061731C"/>
    <w:rsid w:val="00617C01"/>
    <w:rsid w:val="00621008"/>
    <w:rsid w:val="00622683"/>
    <w:rsid w:val="006300B9"/>
    <w:rsid w:val="00630132"/>
    <w:rsid w:val="00631FF9"/>
    <w:rsid w:val="00634DF3"/>
    <w:rsid w:val="00635F78"/>
    <w:rsid w:val="00636ADF"/>
    <w:rsid w:val="00637125"/>
    <w:rsid w:val="0065365F"/>
    <w:rsid w:val="0065408A"/>
    <w:rsid w:val="00672810"/>
    <w:rsid w:val="00675718"/>
    <w:rsid w:val="00675BEF"/>
    <w:rsid w:val="00676971"/>
    <w:rsid w:val="00681173"/>
    <w:rsid w:val="00681F50"/>
    <w:rsid w:val="00683FBD"/>
    <w:rsid w:val="00685354"/>
    <w:rsid w:val="006875B8"/>
    <w:rsid w:val="00692740"/>
    <w:rsid w:val="00696732"/>
    <w:rsid w:val="0069673A"/>
    <w:rsid w:val="006A45CE"/>
    <w:rsid w:val="006C6714"/>
    <w:rsid w:val="006D07FC"/>
    <w:rsid w:val="006D0EEE"/>
    <w:rsid w:val="006D493B"/>
    <w:rsid w:val="006D532D"/>
    <w:rsid w:val="006D7830"/>
    <w:rsid w:val="006E062D"/>
    <w:rsid w:val="006E0A80"/>
    <w:rsid w:val="006E0CAE"/>
    <w:rsid w:val="006F09E3"/>
    <w:rsid w:val="006F3054"/>
    <w:rsid w:val="006F7C02"/>
    <w:rsid w:val="00706841"/>
    <w:rsid w:val="007110D7"/>
    <w:rsid w:val="00713012"/>
    <w:rsid w:val="0072010E"/>
    <w:rsid w:val="007218D3"/>
    <w:rsid w:val="007226D6"/>
    <w:rsid w:val="00734C63"/>
    <w:rsid w:val="00742656"/>
    <w:rsid w:val="00762115"/>
    <w:rsid w:val="007647EB"/>
    <w:rsid w:val="0077215C"/>
    <w:rsid w:val="007876F5"/>
    <w:rsid w:val="007924BC"/>
    <w:rsid w:val="00792C73"/>
    <w:rsid w:val="00792C93"/>
    <w:rsid w:val="00794667"/>
    <w:rsid w:val="007956AF"/>
    <w:rsid w:val="00796790"/>
    <w:rsid w:val="007979B2"/>
    <w:rsid w:val="007A3D47"/>
    <w:rsid w:val="007B72CB"/>
    <w:rsid w:val="007C0ECC"/>
    <w:rsid w:val="007C40F2"/>
    <w:rsid w:val="007C7623"/>
    <w:rsid w:val="007D0B16"/>
    <w:rsid w:val="007D30D8"/>
    <w:rsid w:val="007D3F84"/>
    <w:rsid w:val="007D45FA"/>
    <w:rsid w:val="007D7F91"/>
    <w:rsid w:val="007E0ACF"/>
    <w:rsid w:val="007E1193"/>
    <w:rsid w:val="007E1CFC"/>
    <w:rsid w:val="007E26D6"/>
    <w:rsid w:val="007E4C30"/>
    <w:rsid w:val="007E5035"/>
    <w:rsid w:val="007F0993"/>
    <w:rsid w:val="007F2C60"/>
    <w:rsid w:val="007F3E44"/>
    <w:rsid w:val="007F7FDF"/>
    <w:rsid w:val="0080005D"/>
    <w:rsid w:val="00801FC1"/>
    <w:rsid w:val="00803A93"/>
    <w:rsid w:val="00817338"/>
    <w:rsid w:val="00817B3A"/>
    <w:rsid w:val="00824AEA"/>
    <w:rsid w:val="00824E56"/>
    <w:rsid w:val="008440F9"/>
    <w:rsid w:val="0084610E"/>
    <w:rsid w:val="0086505A"/>
    <w:rsid w:val="0086752D"/>
    <w:rsid w:val="00870E3B"/>
    <w:rsid w:val="008776BA"/>
    <w:rsid w:val="00877A13"/>
    <w:rsid w:val="008822F0"/>
    <w:rsid w:val="008831F6"/>
    <w:rsid w:val="00887BE4"/>
    <w:rsid w:val="008976E0"/>
    <w:rsid w:val="008A7DF0"/>
    <w:rsid w:val="008B0BE9"/>
    <w:rsid w:val="008B1213"/>
    <w:rsid w:val="008B142A"/>
    <w:rsid w:val="008B41F0"/>
    <w:rsid w:val="008B4C38"/>
    <w:rsid w:val="008B616A"/>
    <w:rsid w:val="008C037F"/>
    <w:rsid w:val="008C0514"/>
    <w:rsid w:val="008C6249"/>
    <w:rsid w:val="008D1B2A"/>
    <w:rsid w:val="008D38A5"/>
    <w:rsid w:val="008D4477"/>
    <w:rsid w:val="008D4C8A"/>
    <w:rsid w:val="008D743F"/>
    <w:rsid w:val="008D746B"/>
    <w:rsid w:val="008E5D26"/>
    <w:rsid w:val="008E5E5F"/>
    <w:rsid w:val="008E7BAD"/>
    <w:rsid w:val="008F0D01"/>
    <w:rsid w:val="008F1EDC"/>
    <w:rsid w:val="009038D4"/>
    <w:rsid w:val="00906EF1"/>
    <w:rsid w:val="00916725"/>
    <w:rsid w:val="0091710D"/>
    <w:rsid w:val="00923857"/>
    <w:rsid w:val="00923CF6"/>
    <w:rsid w:val="00925DF2"/>
    <w:rsid w:val="00925E2F"/>
    <w:rsid w:val="00926323"/>
    <w:rsid w:val="009316CF"/>
    <w:rsid w:val="00934B56"/>
    <w:rsid w:val="00936388"/>
    <w:rsid w:val="00936FDB"/>
    <w:rsid w:val="00937275"/>
    <w:rsid w:val="00940691"/>
    <w:rsid w:val="00940982"/>
    <w:rsid w:val="00940AF6"/>
    <w:rsid w:val="00940C73"/>
    <w:rsid w:val="0094607B"/>
    <w:rsid w:val="009525CF"/>
    <w:rsid w:val="009548D9"/>
    <w:rsid w:val="00957657"/>
    <w:rsid w:val="00957F4B"/>
    <w:rsid w:val="00966D05"/>
    <w:rsid w:val="009723CC"/>
    <w:rsid w:val="0097332B"/>
    <w:rsid w:val="009769B5"/>
    <w:rsid w:val="00984A64"/>
    <w:rsid w:val="00986EDF"/>
    <w:rsid w:val="0099536F"/>
    <w:rsid w:val="009A1C9C"/>
    <w:rsid w:val="009B087B"/>
    <w:rsid w:val="009B3C26"/>
    <w:rsid w:val="009C1D4D"/>
    <w:rsid w:val="009C223A"/>
    <w:rsid w:val="009D1209"/>
    <w:rsid w:val="009D37A0"/>
    <w:rsid w:val="009D4390"/>
    <w:rsid w:val="009D675E"/>
    <w:rsid w:val="009E2C72"/>
    <w:rsid w:val="009E4278"/>
    <w:rsid w:val="009E740F"/>
    <w:rsid w:val="009F331E"/>
    <w:rsid w:val="009F4461"/>
    <w:rsid w:val="00A01691"/>
    <w:rsid w:val="00A03A00"/>
    <w:rsid w:val="00A0451E"/>
    <w:rsid w:val="00A072A1"/>
    <w:rsid w:val="00A072E4"/>
    <w:rsid w:val="00A11051"/>
    <w:rsid w:val="00A1547B"/>
    <w:rsid w:val="00A157C9"/>
    <w:rsid w:val="00A168B7"/>
    <w:rsid w:val="00A16A30"/>
    <w:rsid w:val="00A22569"/>
    <w:rsid w:val="00A249E8"/>
    <w:rsid w:val="00A26418"/>
    <w:rsid w:val="00A315AA"/>
    <w:rsid w:val="00A343F5"/>
    <w:rsid w:val="00A3651F"/>
    <w:rsid w:val="00A45DAF"/>
    <w:rsid w:val="00A510DF"/>
    <w:rsid w:val="00A53F4D"/>
    <w:rsid w:val="00A547A2"/>
    <w:rsid w:val="00A569EC"/>
    <w:rsid w:val="00A63568"/>
    <w:rsid w:val="00A67D07"/>
    <w:rsid w:val="00A704DE"/>
    <w:rsid w:val="00A73373"/>
    <w:rsid w:val="00A8103A"/>
    <w:rsid w:val="00A84333"/>
    <w:rsid w:val="00A86CB2"/>
    <w:rsid w:val="00A92436"/>
    <w:rsid w:val="00A95F04"/>
    <w:rsid w:val="00AB4AF4"/>
    <w:rsid w:val="00AB52C8"/>
    <w:rsid w:val="00AC2755"/>
    <w:rsid w:val="00AC4477"/>
    <w:rsid w:val="00AC5701"/>
    <w:rsid w:val="00AD1F07"/>
    <w:rsid w:val="00AD3BBF"/>
    <w:rsid w:val="00AD793A"/>
    <w:rsid w:val="00AE103B"/>
    <w:rsid w:val="00AF1287"/>
    <w:rsid w:val="00AF45BB"/>
    <w:rsid w:val="00AF5963"/>
    <w:rsid w:val="00B02676"/>
    <w:rsid w:val="00B15840"/>
    <w:rsid w:val="00B1776F"/>
    <w:rsid w:val="00B2539A"/>
    <w:rsid w:val="00B44F14"/>
    <w:rsid w:val="00B45C86"/>
    <w:rsid w:val="00B45F07"/>
    <w:rsid w:val="00B50A5F"/>
    <w:rsid w:val="00B62792"/>
    <w:rsid w:val="00B63A81"/>
    <w:rsid w:val="00B67D2F"/>
    <w:rsid w:val="00B7212F"/>
    <w:rsid w:val="00B761DA"/>
    <w:rsid w:val="00B76FE4"/>
    <w:rsid w:val="00B8371C"/>
    <w:rsid w:val="00B85ECA"/>
    <w:rsid w:val="00B86125"/>
    <w:rsid w:val="00B930D4"/>
    <w:rsid w:val="00B94C64"/>
    <w:rsid w:val="00B97C8E"/>
    <w:rsid w:val="00BA2F2F"/>
    <w:rsid w:val="00BA51F6"/>
    <w:rsid w:val="00BB32FD"/>
    <w:rsid w:val="00BB4D31"/>
    <w:rsid w:val="00BB5057"/>
    <w:rsid w:val="00BB6D57"/>
    <w:rsid w:val="00BC1CE9"/>
    <w:rsid w:val="00BC6223"/>
    <w:rsid w:val="00BE1E7C"/>
    <w:rsid w:val="00BE4280"/>
    <w:rsid w:val="00BE5642"/>
    <w:rsid w:val="00BE762E"/>
    <w:rsid w:val="00BF419C"/>
    <w:rsid w:val="00BF503C"/>
    <w:rsid w:val="00BF7923"/>
    <w:rsid w:val="00C02F68"/>
    <w:rsid w:val="00C05C5E"/>
    <w:rsid w:val="00C131B7"/>
    <w:rsid w:val="00C17E0C"/>
    <w:rsid w:val="00C219D5"/>
    <w:rsid w:val="00C249AC"/>
    <w:rsid w:val="00C25680"/>
    <w:rsid w:val="00C32AC5"/>
    <w:rsid w:val="00C42BA0"/>
    <w:rsid w:val="00C43F67"/>
    <w:rsid w:val="00C4455E"/>
    <w:rsid w:val="00C450D0"/>
    <w:rsid w:val="00C505AD"/>
    <w:rsid w:val="00C51877"/>
    <w:rsid w:val="00C544CC"/>
    <w:rsid w:val="00C560AB"/>
    <w:rsid w:val="00C64520"/>
    <w:rsid w:val="00C655C1"/>
    <w:rsid w:val="00C66845"/>
    <w:rsid w:val="00C66891"/>
    <w:rsid w:val="00C669D4"/>
    <w:rsid w:val="00C81785"/>
    <w:rsid w:val="00C83593"/>
    <w:rsid w:val="00C86A52"/>
    <w:rsid w:val="00C91815"/>
    <w:rsid w:val="00C91961"/>
    <w:rsid w:val="00C97A84"/>
    <w:rsid w:val="00CA0400"/>
    <w:rsid w:val="00CA1F33"/>
    <w:rsid w:val="00CB0E57"/>
    <w:rsid w:val="00CB2561"/>
    <w:rsid w:val="00CC2B38"/>
    <w:rsid w:val="00CC4E4B"/>
    <w:rsid w:val="00CC5F67"/>
    <w:rsid w:val="00CC5FAA"/>
    <w:rsid w:val="00CD58D6"/>
    <w:rsid w:val="00CD735F"/>
    <w:rsid w:val="00CE3636"/>
    <w:rsid w:val="00CE50E1"/>
    <w:rsid w:val="00CF253E"/>
    <w:rsid w:val="00CF6B96"/>
    <w:rsid w:val="00CF7F92"/>
    <w:rsid w:val="00D032E7"/>
    <w:rsid w:val="00D039B0"/>
    <w:rsid w:val="00D03FB3"/>
    <w:rsid w:val="00D057E5"/>
    <w:rsid w:val="00D05E42"/>
    <w:rsid w:val="00D13F75"/>
    <w:rsid w:val="00D155D7"/>
    <w:rsid w:val="00D2054B"/>
    <w:rsid w:val="00D25632"/>
    <w:rsid w:val="00D325EB"/>
    <w:rsid w:val="00D361DB"/>
    <w:rsid w:val="00D362EF"/>
    <w:rsid w:val="00D41393"/>
    <w:rsid w:val="00D45E49"/>
    <w:rsid w:val="00D47BC1"/>
    <w:rsid w:val="00D5033C"/>
    <w:rsid w:val="00D507A7"/>
    <w:rsid w:val="00D511E9"/>
    <w:rsid w:val="00D60BF8"/>
    <w:rsid w:val="00D66593"/>
    <w:rsid w:val="00D66CEB"/>
    <w:rsid w:val="00D6708E"/>
    <w:rsid w:val="00D819BF"/>
    <w:rsid w:val="00D82BB4"/>
    <w:rsid w:val="00D84D29"/>
    <w:rsid w:val="00D86880"/>
    <w:rsid w:val="00D93A17"/>
    <w:rsid w:val="00D97E3E"/>
    <w:rsid w:val="00DA6EE1"/>
    <w:rsid w:val="00DB1457"/>
    <w:rsid w:val="00DB55A5"/>
    <w:rsid w:val="00DC6113"/>
    <w:rsid w:val="00DC75A6"/>
    <w:rsid w:val="00DD0035"/>
    <w:rsid w:val="00DD1B97"/>
    <w:rsid w:val="00DD6D23"/>
    <w:rsid w:val="00DE40B7"/>
    <w:rsid w:val="00DE56D2"/>
    <w:rsid w:val="00DE74D7"/>
    <w:rsid w:val="00DF0E0E"/>
    <w:rsid w:val="00DF38CB"/>
    <w:rsid w:val="00DF3D59"/>
    <w:rsid w:val="00DF5043"/>
    <w:rsid w:val="00E01D47"/>
    <w:rsid w:val="00E021B1"/>
    <w:rsid w:val="00E06A11"/>
    <w:rsid w:val="00E07BFE"/>
    <w:rsid w:val="00E156D0"/>
    <w:rsid w:val="00E162C9"/>
    <w:rsid w:val="00E2136C"/>
    <w:rsid w:val="00E21661"/>
    <w:rsid w:val="00E33821"/>
    <w:rsid w:val="00E33BE0"/>
    <w:rsid w:val="00E34DF3"/>
    <w:rsid w:val="00E37E7F"/>
    <w:rsid w:val="00E45562"/>
    <w:rsid w:val="00E53C70"/>
    <w:rsid w:val="00E55DBA"/>
    <w:rsid w:val="00E640ED"/>
    <w:rsid w:val="00E64260"/>
    <w:rsid w:val="00E65AD2"/>
    <w:rsid w:val="00E709AD"/>
    <w:rsid w:val="00E73111"/>
    <w:rsid w:val="00E85583"/>
    <w:rsid w:val="00E85BDB"/>
    <w:rsid w:val="00E8605C"/>
    <w:rsid w:val="00E86A6B"/>
    <w:rsid w:val="00E86DD9"/>
    <w:rsid w:val="00E877BB"/>
    <w:rsid w:val="00E9404D"/>
    <w:rsid w:val="00EA454B"/>
    <w:rsid w:val="00EB330A"/>
    <w:rsid w:val="00EC3F19"/>
    <w:rsid w:val="00ED05E1"/>
    <w:rsid w:val="00ED4CE1"/>
    <w:rsid w:val="00ED4EB0"/>
    <w:rsid w:val="00ED6A05"/>
    <w:rsid w:val="00ED6E3E"/>
    <w:rsid w:val="00ED7E5B"/>
    <w:rsid w:val="00EE3E17"/>
    <w:rsid w:val="00EE44AE"/>
    <w:rsid w:val="00EF3F05"/>
    <w:rsid w:val="00EF4293"/>
    <w:rsid w:val="00EF5F9F"/>
    <w:rsid w:val="00F15210"/>
    <w:rsid w:val="00F15A30"/>
    <w:rsid w:val="00F26117"/>
    <w:rsid w:val="00F30EFD"/>
    <w:rsid w:val="00F32B7E"/>
    <w:rsid w:val="00F355B9"/>
    <w:rsid w:val="00F366B9"/>
    <w:rsid w:val="00F37C08"/>
    <w:rsid w:val="00F45BCF"/>
    <w:rsid w:val="00F52A57"/>
    <w:rsid w:val="00F5349E"/>
    <w:rsid w:val="00F62451"/>
    <w:rsid w:val="00F6550F"/>
    <w:rsid w:val="00F72918"/>
    <w:rsid w:val="00F76555"/>
    <w:rsid w:val="00F80143"/>
    <w:rsid w:val="00F81012"/>
    <w:rsid w:val="00F9267A"/>
    <w:rsid w:val="00F97A6F"/>
    <w:rsid w:val="00FA0427"/>
    <w:rsid w:val="00FA2C1D"/>
    <w:rsid w:val="00FA653A"/>
    <w:rsid w:val="00FA7A6B"/>
    <w:rsid w:val="00FA7AEB"/>
    <w:rsid w:val="00FA7FD8"/>
    <w:rsid w:val="00FB03D0"/>
    <w:rsid w:val="00FB1003"/>
    <w:rsid w:val="00FB5886"/>
    <w:rsid w:val="00FC21BD"/>
    <w:rsid w:val="00FC28A6"/>
    <w:rsid w:val="00FC481D"/>
    <w:rsid w:val="00FC650D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39A"/>
  </w:style>
  <w:style w:type="paragraph" w:styleId="a5">
    <w:name w:val="footer"/>
    <w:basedOn w:val="a"/>
    <w:link w:val="a6"/>
    <w:uiPriority w:val="99"/>
    <w:unhideWhenUsed/>
    <w:rsid w:val="00B2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39A"/>
  </w:style>
  <w:style w:type="paragraph" w:styleId="a7">
    <w:name w:val="List Paragraph"/>
    <w:basedOn w:val="a"/>
    <w:uiPriority w:val="99"/>
    <w:qFormat/>
    <w:rsid w:val="00451609"/>
    <w:pPr>
      <w:ind w:left="720"/>
      <w:contextualSpacing/>
    </w:pPr>
  </w:style>
  <w:style w:type="table" w:styleId="a8">
    <w:name w:val="Table Grid"/>
    <w:basedOn w:val="a1"/>
    <w:rsid w:val="00DF5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7E5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39A"/>
  </w:style>
  <w:style w:type="paragraph" w:styleId="a5">
    <w:name w:val="footer"/>
    <w:basedOn w:val="a"/>
    <w:link w:val="a6"/>
    <w:uiPriority w:val="99"/>
    <w:unhideWhenUsed/>
    <w:rsid w:val="00B2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39A"/>
  </w:style>
  <w:style w:type="paragraph" w:styleId="a7">
    <w:name w:val="List Paragraph"/>
    <w:basedOn w:val="a"/>
    <w:uiPriority w:val="99"/>
    <w:qFormat/>
    <w:rsid w:val="00451609"/>
    <w:pPr>
      <w:ind w:left="720"/>
      <w:contextualSpacing/>
    </w:pPr>
  </w:style>
  <w:style w:type="table" w:styleId="a8">
    <w:name w:val="Table Grid"/>
    <w:basedOn w:val="a1"/>
    <w:rsid w:val="00DF5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7E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auka.knmu.edu.ua/sierep/main.php?action=razdel&amp;rname=11.&amp;eid=48&amp;subact=edit&amp;editv=8581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4F5D-6CEE-4DD8-A6D5-D345F363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19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</dc:creator>
  <cp:lastModifiedBy>Заяц</cp:lastModifiedBy>
  <cp:revision>40</cp:revision>
  <dcterms:created xsi:type="dcterms:W3CDTF">2016-12-19T07:17:00Z</dcterms:created>
  <dcterms:modified xsi:type="dcterms:W3CDTF">2017-01-30T11:18:00Z</dcterms:modified>
</cp:coreProperties>
</file>