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EC" w:rsidRDefault="005679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УДК 616.517:577.121.7</w:t>
      </w:r>
    </w:p>
    <w:p w:rsidR="0074086E" w:rsidRPr="00557C21" w:rsidRDefault="00740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Стан деяких показників енергетичного та іонного обміну у хворих на       </w:t>
      </w:r>
    </w:p>
    <w:p w:rsidR="0074086E" w:rsidRPr="00557C21" w:rsidRDefault="00740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розповсюджений псоріаз       </w:t>
      </w:r>
    </w:p>
    <w:p w:rsidR="00DD5629" w:rsidRPr="00DD5629" w:rsidRDefault="00DD39A6" w:rsidP="005255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Біловол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Галуз</w:t>
      </w:r>
      <w:r w:rsidR="00DD5629">
        <w:rPr>
          <w:rFonts w:ascii="Times New Roman" w:hAnsi="Times New Roman" w:cs="Times New Roman"/>
          <w:sz w:val="28"/>
          <w:szCs w:val="28"/>
          <w:lang w:val="uk-UA"/>
        </w:rPr>
        <w:t>інська</w:t>
      </w:r>
      <w:proofErr w:type="spellEnd"/>
      <w:r w:rsidR="00DD5629">
        <w:rPr>
          <w:rFonts w:ascii="Times New Roman" w:hAnsi="Times New Roman" w:cs="Times New Roman"/>
          <w:sz w:val="28"/>
          <w:szCs w:val="28"/>
          <w:lang w:val="uk-UA"/>
        </w:rPr>
        <w:t xml:space="preserve"> Л.В., Ніколаєва В.Б.</w:t>
      </w:r>
    </w:p>
    <w:p w:rsidR="00DC1968" w:rsidRDefault="00DC1968" w:rsidP="005255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 національний медичний університет,</w:t>
      </w:r>
      <w:r w:rsidR="007418F2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Харків, </w:t>
      </w:r>
      <w:r w:rsidR="000D0E2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0D0E27" w:rsidRDefault="000D0E27" w:rsidP="000D0E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E27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деяких показників іонного обміну і біоенергетичного гомеостазу у хворих</w:t>
      </w:r>
      <w:r w:rsidR="00CF722C">
        <w:rPr>
          <w:rFonts w:ascii="Times New Roman" w:hAnsi="Times New Roman" w:cs="Times New Roman"/>
          <w:sz w:val="28"/>
          <w:szCs w:val="28"/>
          <w:lang w:val="uk-UA"/>
        </w:rPr>
        <w:t xml:space="preserve"> з поширеним псоріазом.</w:t>
      </w:r>
    </w:p>
    <w:p w:rsidR="00CF722C" w:rsidRDefault="00CF722C" w:rsidP="000D0E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37 хворих з поширеним псоріазом за допомогою методу атомно-ад</w:t>
      </w:r>
      <w:r w:rsidR="00AB7D7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орбційної спектрофотометрії визначили рівні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B7D7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кроелементів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(іони натрію, калію, кальцію, магнію та ін.) ферментів (ЛДГ, МДГ, СДГ, Г-6-ФДГ, ІЗО-ЦДГ) у плазмі крові і сечі хворих.</w:t>
      </w:r>
    </w:p>
    <w:p w:rsidR="00CF722C" w:rsidRDefault="00CF722C" w:rsidP="000D0E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 обговорення</w:t>
      </w:r>
      <w:r w:rsidR="00AD4E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D4E42">
        <w:rPr>
          <w:rFonts w:ascii="Times New Roman" w:hAnsi="Times New Roman" w:cs="Times New Roman"/>
          <w:sz w:val="28"/>
          <w:szCs w:val="28"/>
          <w:lang w:val="uk-UA"/>
        </w:rPr>
        <w:t xml:space="preserve"> При дослідженні стану окисно-відновних процесів у хворих з поширеним псоріазом визначили підвищення активності каталази, </w:t>
      </w:r>
      <w:proofErr w:type="spellStart"/>
      <w:r w:rsidR="00AD4E42">
        <w:rPr>
          <w:rFonts w:ascii="Times New Roman" w:hAnsi="Times New Roman" w:cs="Times New Roman"/>
          <w:sz w:val="28"/>
          <w:szCs w:val="28"/>
          <w:lang w:val="uk-UA"/>
        </w:rPr>
        <w:t>глутатіонпероксидази</w:t>
      </w:r>
      <w:proofErr w:type="spellEnd"/>
      <w:r w:rsidR="00AD4E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D4E42">
        <w:rPr>
          <w:rFonts w:ascii="Times New Roman" w:hAnsi="Times New Roman" w:cs="Times New Roman"/>
          <w:sz w:val="28"/>
          <w:szCs w:val="28"/>
          <w:lang w:val="uk-UA"/>
        </w:rPr>
        <w:t>супероксиддисмутази</w:t>
      </w:r>
      <w:proofErr w:type="spellEnd"/>
      <w:r w:rsidR="00AD4E4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D4E42">
        <w:rPr>
          <w:rFonts w:ascii="Times New Roman" w:hAnsi="Times New Roman" w:cs="Times New Roman"/>
          <w:sz w:val="28"/>
          <w:szCs w:val="28"/>
          <w:lang w:val="uk-UA"/>
        </w:rPr>
        <w:t>церулоплазміну</w:t>
      </w:r>
      <w:proofErr w:type="spellEnd"/>
      <w:r w:rsidR="00AD4E42">
        <w:rPr>
          <w:rFonts w:ascii="Times New Roman" w:hAnsi="Times New Roman" w:cs="Times New Roman"/>
          <w:sz w:val="28"/>
          <w:szCs w:val="28"/>
          <w:lang w:val="uk-UA"/>
        </w:rPr>
        <w:t>. Аналіз активності ферментів енергетичного метаболізму виявив значне підвищення рівнів ЛДГ, МДГ, СДГ і ІЗО-ЦДГ. В еритроцитах у більшості випадків зміни мали протилежний зміст: вміст іонів К</w:t>
      </w:r>
      <w:r w:rsidR="00AD4E42" w:rsidRPr="00AD4E4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AD4E42">
        <w:rPr>
          <w:rFonts w:ascii="Times New Roman" w:hAnsi="Times New Roman" w:cs="Times New Roman"/>
          <w:sz w:val="28"/>
          <w:szCs w:val="28"/>
          <w:lang w:val="uk-UA"/>
        </w:rPr>
        <w:t>, Са</w:t>
      </w:r>
      <w:r w:rsidR="00AD4E4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AD4E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153B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25153B" w:rsidRP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25153B" w:rsidRPr="002515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153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5153B" w:rsidRP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5+</w:t>
      </w:r>
      <w:r w:rsidR="0025153B" w:rsidRPr="002515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153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25153B" w:rsidRP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25153B" w:rsidRPr="002515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153B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25153B" w:rsidRP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25153B" w:rsidRPr="002515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5153B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25153B" w:rsidRP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25153B" w:rsidRPr="002515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53B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25153B" w:rsidRP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25153B" w:rsidRPr="00251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53B">
        <w:rPr>
          <w:rFonts w:ascii="Times New Roman" w:hAnsi="Times New Roman" w:cs="Times New Roman"/>
          <w:sz w:val="28"/>
          <w:szCs w:val="28"/>
          <w:lang w:val="uk-UA"/>
        </w:rPr>
        <w:t xml:space="preserve">зменшувався, а </w:t>
      </w:r>
      <w:r w:rsidR="0025153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25153B">
        <w:rPr>
          <w:rFonts w:ascii="Times New Roman" w:hAnsi="Times New Roman" w:cs="Times New Roman"/>
          <w:sz w:val="28"/>
          <w:szCs w:val="28"/>
          <w:lang w:val="uk-UA"/>
        </w:rPr>
        <w:t xml:space="preserve"> підвищувався. Аналіз іонів металів у плазмі, еритроцитах, у сечі вказує на їх значне виведення з організму і затримки іонів</w:t>
      </w:r>
      <w:r w:rsidR="0025153B" w:rsidRPr="00251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53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515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25153B">
        <w:rPr>
          <w:rFonts w:ascii="Times New Roman" w:hAnsi="Times New Roman" w:cs="Times New Roman"/>
          <w:sz w:val="28"/>
          <w:szCs w:val="28"/>
          <w:lang w:val="uk-UA"/>
        </w:rPr>
        <w:t>, що може бути пов'язане з розвитком структурно-метаболічних порушень у різних органах і тканинах і накопиченням в організмі води.</w:t>
      </w:r>
    </w:p>
    <w:p w:rsidR="0025153B" w:rsidRPr="0025153B" w:rsidRDefault="0025153B" w:rsidP="000D0E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25153B">
        <w:rPr>
          <w:rFonts w:ascii="Times New Roman" w:hAnsi="Times New Roman" w:cs="Times New Roman"/>
          <w:sz w:val="28"/>
          <w:szCs w:val="28"/>
          <w:lang w:val="uk-UA"/>
        </w:rPr>
        <w:t>При поширеній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псоріатичній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значно активуються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оксидативні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4D6">
        <w:rPr>
          <w:rFonts w:ascii="Times New Roman" w:hAnsi="Times New Roman" w:cs="Times New Roman"/>
          <w:sz w:val="28"/>
          <w:szCs w:val="28"/>
          <w:lang w:val="uk-UA"/>
        </w:rPr>
        <w:t xml:space="preserve">процеси, які поєднуються з підвищенням рівнів вільних радикалів, перекисів і </w:t>
      </w:r>
      <w:proofErr w:type="spellStart"/>
      <w:r w:rsidR="000314D6">
        <w:rPr>
          <w:rFonts w:ascii="Times New Roman" w:hAnsi="Times New Roman" w:cs="Times New Roman"/>
          <w:sz w:val="28"/>
          <w:szCs w:val="28"/>
          <w:lang w:val="uk-UA"/>
        </w:rPr>
        <w:t>гідроперекисів</w:t>
      </w:r>
      <w:proofErr w:type="spellEnd"/>
      <w:r w:rsidR="000314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968" w:rsidRPr="00DC1968" w:rsidRDefault="00DC1968" w:rsidP="00DC1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0D0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псоріатична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патологія, іонний обмін, біоенергетичний гомеостаз.</w:t>
      </w:r>
    </w:p>
    <w:p w:rsidR="00882A1D" w:rsidRDefault="0074086E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Псоріаз є однією із актуальних проблем дерматології, що</w:t>
      </w:r>
      <w:r w:rsidR="00DD39A6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загальне </w:t>
      </w:r>
      <w:proofErr w:type="spellStart"/>
      <w:r w:rsidR="00DD39A6">
        <w:rPr>
          <w:rFonts w:ascii="Times New Roman" w:hAnsi="Times New Roman" w:cs="Times New Roman"/>
          <w:sz w:val="28"/>
          <w:szCs w:val="28"/>
          <w:lang w:val="uk-UA"/>
        </w:rPr>
        <w:t>полі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організму і характеризується розповсюдженим враженням шкіри, часто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рецидивуючим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перебігом і залученням</w:t>
      </w:r>
      <w:r w:rsidR="003F19F1">
        <w:rPr>
          <w:rFonts w:ascii="Times New Roman" w:hAnsi="Times New Roman" w:cs="Times New Roman"/>
          <w:sz w:val="28"/>
          <w:szCs w:val="28"/>
          <w:lang w:val="uk-UA"/>
        </w:rPr>
        <w:t xml:space="preserve"> до патологічного процесу опорно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-рухового апарату. Ускладнені прогресуючі </w:t>
      </w:r>
      <w:r w:rsidR="00FF7AD0">
        <w:rPr>
          <w:rFonts w:ascii="Times New Roman" w:hAnsi="Times New Roman" w:cs="Times New Roman"/>
          <w:sz w:val="28"/>
          <w:szCs w:val="28"/>
          <w:lang w:val="uk-UA"/>
        </w:rPr>
        <w:t>форми псоріазу</w:t>
      </w:r>
      <w:r w:rsidR="003F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A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7AD0">
        <w:rPr>
          <w:rFonts w:ascii="Times New Roman" w:hAnsi="Times New Roman" w:cs="Times New Roman"/>
          <w:sz w:val="28"/>
          <w:szCs w:val="28"/>
          <w:lang w:val="uk-UA"/>
        </w:rPr>
        <w:t>артропатична</w:t>
      </w:r>
      <w:proofErr w:type="spellEnd"/>
      <w:r w:rsidR="00FF7A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7AD0">
        <w:rPr>
          <w:rFonts w:ascii="Times New Roman" w:hAnsi="Times New Roman" w:cs="Times New Roman"/>
          <w:sz w:val="28"/>
          <w:szCs w:val="28"/>
          <w:lang w:val="uk-UA"/>
        </w:rPr>
        <w:t>еритродермічн</w:t>
      </w:r>
      <w:r w:rsidR="003F19F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F19F1">
        <w:rPr>
          <w:rFonts w:ascii="Times New Roman" w:hAnsi="Times New Roman" w:cs="Times New Roman"/>
          <w:sz w:val="28"/>
          <w:szCs w:val="28"/>
          <w:lang w:val="uk-UA"/>
        </w:rPr>
        <w:t xml:space="preserve"> форми, пустульозний псоріаз </w:t>
      </w:r>
      <w:r w:rsidR="00FF7AD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F19F1">
        <w:rPr>
          <w:rFonts w:ascii="Times New Roman" w:hAnsi="Times New Roman" w:cs="Times New Roman"/>
          <w:sz w:val="28"/>
          <w:szCs w:val="28"/>
          <w:lang w:val="uk-UA"/>
        </w:rPr>
        <w:t>лонь</w:t>
      </w:r>
      <w:r w:rsidR="00FF7AD0">
        <w:rPr>
          <w:rFonts w:ascii="Times New Roman" w:hAnsi="Times New Roman" w:cs="Times New Roman"/>
          <w:sz w:val="28"/>
          <w:szCs w:val="28"/>
          <w:lang w:val="uk-UA"/>
        </w:rPr>
        <w:t xml:space="preserve"> і підошви, нерідко являються </w:t>
      </w:r>
      <w:r w:rsidR="00FB6194">
        <w:rPr>
          <w:rFonts w:ascii="Times New Roman" w:hAnsi="Times New Roman" w:cs="Times New Roman"/>
          <w:sz w:val="28"/>
          <w:szCs w:val="28"/>
          <w:lang w:val="uk-UA"/>
        </w:rPr>
        <w:t xml:space="preserve">причиною </w:t>
      </w:r>
      <w:r w:rsidR="00882A1D">
        <w:rPr>
          <w:rFonts w:ascii="Times New Roman" w:hAnsi="Times New Roman" w:cs="Times New Roman"/>
          <w:sz w:val="28"/>
          <w:szCs w:val="28"/>
          <w:lang w:val="uk-UA"/>
        </w:rPr>
        <w:t xml:space="preserve">           1                     </w:t>
      </w:r>
    </w:p>
    <w:p w:rsidR="00FE28A5" w:rsidRDefault="00FB6194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інвалідизації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хворого у</w:t>
      </w:r>
      <w:r w:rsidR="00FF7AD0">
        <w:rPr>
          <w:rFonts w:ascii="Times New Roman" w:hAnsi="Times New Roman" w:cs="Times New Roman"/>
          <w:sz w:val="28"/>
          <w:szCs w:val="28"/>
          <w:lang w:val="uk-UA"/>
        </w:rPr>
        <w:t xml:space="preserve"> молодому, праце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здатному віці [1,</w:t>
      </w:r>
      <w:r w:rsidR="00882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882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3]</w:t>
      </w:r>
      <w:r w:rsidR="00FF7AD0">
        <w:rPr>
          <w:rFonts w:ascii="Times New Roman" w:hAnsi="Times New Roman" w:cs="Times New Roman"/>
          <w:sz w:val="28"/>
          <w:szCs w:val="28"/>
          <w:lang w:val="uk-UA"/>
        </w:rPr>
        <w:t>. Питома</w:t>
      </w:r>
      <w:r w:rsidR="008E1725">
        <w:rPr>
          <w:rFonts w:ascii="Times New Roman" w:hAnsi="Times New Roman" w:cs="Times New Roman"/>
          <w:sz w:val="28"/>
          <w:szCs w:val="28"/>
          <w:lang w:val="uk-UA"/>
        </w:rPr>
        <w:t xml:space="preserve"> вага хворих на дану патологію у</w:t>
      </w:r>
      <w:r w:rsidR="00FF7AD0"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структурі захворювання шкіряними хворобами по результатам літературних джерел складає 2-10%, а серед стаціонарних</w:t>
      </w:r>
      <w:r w:rsidR="00BA266F">
        <w:rPr>
          <w:rFonts w:ascii="Times New Roman" w:hAnsi="Times New Roman" w:cs="Times New Roman"/>
          <w:sz w:val="28"/>
          <w:szCs w:val="28"/>
          <w:lang w:val="uk-UA"/>
        </w:rPr>
        <w:t xml:space="preserve"> хворих в дерматологі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чних відділеннях від 8,5 до 22%[3]</w:t>
      </w:r>
      <w:r w:rsidR="00BA266F">
        <w:rPr>
          <w:rFonts w:ascii="Times New Roman" w:hAnsi="Times New Roman" w:cs="Times New Roman"/>
          <w:sz w:val="28"/>
          <w:szCs w:val="28"/>
          <w:lang w:val="uk-UA"/>
        </w:rPr>
        <w:t>. Захво</w:t>
      </w:r>
      <w:r>
        <w:rPr>
          <w:rFonts w:ascii="Times New Roman" w:hAnsi="Times New Roman" w:cs="Times New Roman"/>
          <w:sz w:val="28"/>
          <w:szCs w:val="28"/>
          <w:lang w:val="uk-UA"/>
        </w:rPr>
        <w:t>рювання часто виникає у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молодому</w:t>
      </w:r>
      <w:r w:rsidR="00BA266F">
        <w:rPr>
          <w:rFonts w:ascii="Times New Roman" w:hAnsi="Times New Roman" w:cs="Times New Roman"/>
          <w:sz w:val="28"/>
          <w:szCs w:val="28"/>
          <w:lang w:val="uk-UA"/>
        </w:rPr>
        <w:t xml:space="preserve"> і зрілому ріці.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за останнє десятиріччя відмічається зростання цього захворювання серед осіб від 18 до 40 років, а також у дітей та підлітків. Суттєво збільшилось також число хворих з резистентними формами до медикаментозної терапії. На думку багатьох дос</w:t>
      </w:r>
      <w:r w:rsidR="00DC7A31">
        <w:rPr>
          <w:rFonts w:ascii="Times New Roman" w:hAnsi="Times New Roman" w:cs="Times New Roman"/>
          <w:sz w:val="28"/>
          <w:szCs w:val="28"/>
          <w:lang w:val="uk-UA"/>
        </w:rPr>
        <w:t>лідників даної проблеми, це пов'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язано в значній мірі з антропогенним забрудненням навколишнього середовища, негативними виробничими і побутовими факторами, які формують розвиток в організмі х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 xml:space="preserve">ронічного </w:t>
      </w:r>
      <w:proofErr w:type="spellStart"/>
      <w:r w:rsidR="00525588">
        <w:rPr>
          <w:rFonts w:ascii="Times New Roman" w:hAnsi="Times New Roman" w:cs="Times New Roman"/>
          <w:sz w:val="28"/>
          <w:szCs w:val="28"/>
          <w:lang w:val="uk-UA"/>
        </w:rPr>
        <w:t>оксидативного</w:t>
      </w:r>
      <w:proofErr w:type="spellEnd"/>
      <w:r w:rsidR="00525588">
        <w:rPr>
          <w:rFonts w:ascii="Times New Roman" w:hAnsi="Times New Roman" w:cs="Times New Roman"/>
          <w:sz w:val="28"/>
          <w:szCs w:val="28"/>
          <w:lang w:val="uk-UA"/>
        </w:rPr>
        <w:t xml:space="preserve"> стресу [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56E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3]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. На великому фактичному матеріалі було переконливо доведено розвиток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вільнорадикальної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в умовах впливу на організм фізичних, хімічних і біологічних факторів, які лежать в основі формування хронічних запальних захворювань шлунково-кишкового тракт</w:t>
      </w:r>
      <w:r w:rsidR="00E856E3">
        <w:rPr>
          <w:rFonts w:ascii="Times New Roman" w:hAnsi="Times New Roman" w:cs="Times New Roman"/>
          <w:sz w:val="28"/>
          <w:szCs w:val="28"/>
          <w:lang w:val="uk-UA"/>
        </w:rPr>
        <w:t>у, органів дихальної і сечостатевої систем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, опорно-рухового ап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арату, шкіряних покривів і ін. [3]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. Аналіз значної частини наукової літератури свідчить, що в основі розвитку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псоріатичної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лежить </w:t>
      </w:r>
      <w:proofErr w:type="spellStart"/>
      <w:r w:rsidR="008E1725">
        <w:rPr>
          <w:rFonts w:ascii="Times New Roman" w:hAnsi="Times New Roman" w:cs="Times New Roman"/>
          <w:sz w:val="28"/>
          <w:szCs w:val="28"/>
          <w:lang w:val="uk-UA"/>
        </w:rPr>
        <w:t>вільно</w:t>
      </w:r>
      <w:bookmarkStart w:id="0" w:name="_GoBack"/>
      <w:bookmarkEnd w:id="0"/>
      <w:r w:rsidR="000545B9">
        <w:rPr>
          <w:rFonts w:ascii="Times New Roman" w:hAnsi="Times New Roman" w:cs="Times New Roman"/>
          <w:sz w:val="28"/>
          <w:szCs w:val="28"/>
          <w:lang w:val="uk-UA"/>
        </w:rPr>
        <w:t>радикальна</w:t>
      </w:r>
      <w:proofErr w:type="spellEnd"/>
      <w:r w:rsidR="000545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мембранна патологія, патогенетичними ланцюгами якої можуть бути генетична схильність, емоційний стрес, хронічні неспецифічні запальні хвороби внутрішніх органів і тканин, ім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унологічна недостатність і ін. [3]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7ABF" w:rsidRDefault="00E856E3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696F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значний спектр теорій розвитку патогенезу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псоріазу свідчить, про нерозв'яза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ність проблеми механізмів формування даної па</w:t>
      </w:r>
      <w:r w:rsidR="001F311A">
        <w:rPr>
          <w:rFonts w:ascii="Times New Roman" w:hAnsi="Times New Roman" w:cs="Times New Roman"/>
          <w:sz w:val="28"/>
          <w:szCs w:val="28"/>
          <w:lang w:val="uk-UA"/>
        </w:rPr>
        <w:t xml:space="preserve">тології і потребує подальшого 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1F311A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9EC" w:rsidRDefault="001F311A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5679EC" w:rsidRPr="00557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деяких показників іонного обміну і біоенергетичного гомеостазу у хворих пацієнтів на розповсюджений псоріаз.</w:t>
      </w:r>
    </w:p>
    <w:p w:rsidR="005679EC" w:rsidRPr="00557C21" w:rsidRDefault="00A16D4E" w:rsidP="007408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 дослідж</w:t>
      </w:r>
      <w:r w:rsidR="005679EC" w:rsidRPr="00557C21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</w:p>
    <w:p w:rsidR="001F311A" w:rsidRDefault="001F311A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 науковій літературі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містяться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дані, які підтверджують участь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і мікроелементів у механізмах розвитку дерматитів і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псоріатичної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патології. Вони </w:t>
      </w:r>
      <w:r>
        <w:rPr>
          <w:rFonts w:ascii="Times New Roman" w:hAnsi="Times New Roman" w:cs="Times New Roman"/>
          <w:sz w:val="28"/>
          <w:szCs w:val="28"/>
          <w:lang w:val="uk-UA"/>
        </w:rPr>
        <w:t>свідчать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, що між зміною іонного обміну і процесами</w:t>
      </w:r>
      <w:r w:rsidR="000545B9">
        <w:rPr>
          <w:rFonts w:ascii="Times New Roman" w:hAnsi="Times New Roman" w:cs="Times New Roman"/>
          <w:sz w:val="28"/>
          <w:szCs w:val="28"/>
          <w:lang w:val="uk-UA"/>
        </w:rPr>
        <w:t xml:space="preserve"> реплікації ДНК, транскрипції </w:t>
      </w:r>
      <w:proofErr w:type="spellStart"/>
      <w:r w:rsidR="006845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679EC" w:rsidRPr="00684558">
        <w:rPr>
          <w:rFonts w:ascii="Times New Roman" w:hAnsi="Times New Roman" w:cs="Times New Roman"/>
          <w:sz w:val="28"/>
          <w:szCs w:val="28"/>
          <w:lang w:val="uk-UA"/>
        </w:rPr>
        <w:t>РНК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>, синтезом</w:t>
      </w:r>
      <w:r w:rsidR="00DC7A31">
        <w:rPr>
          <w:rFonts w:ascii="Times New Roman" w:hAnsi="Times New Roman" w:cs="Times New Roman"/>
          <w:sz w:val="28"/>
          <w:szCs w:val="28"/>
          <w:lang w:val="uk-UA"/>
        </w:rPr>
        <w:t xml:space="preserve"> білка є тісний кореляційний зв'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язок [3]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. Іони металів впливають на ріст і поділ клітин, відіграють провідну роль в контролі над диференціюванням і проліферацією епідермісу. Гістологічні зміни в дермі при псоріазі характер</w:t>
      </w:r>
      <w:r w:rsidR="000545B9">
        <w:rPr>
          <w:rFonts w:ascii="Times New Roman" w:hAnsi="Times New Roman" w:cs="Times New Roman"/>
          <w:sz w:val="28"/>
          <w:szCs w:val="28"/>
          <w:lang w:val="uk-UA"/>
        </w:rPr>
        <w:t xml:space="preserve">изуються підвищенням </w:t>
      </w:r>
      <w:proofErr w:type="spellStart"/>
      <w:r w:rsidR="000545B9">
        <w:rPr>
          <w:rFonts w:ascii="Times New Roman" w:hAnsi="Times New Roman" w:cs="Times New Roman"/>
          <w:sz w:val="28"/>
          <w:szCs w:val="28"/>
          <w:lang w:val="uk-UA"/>
        </w:rPr>
        <w:t>проліферати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вних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0545B9">
        <w:rPr>
          <w:rFonts w:ascii="Times New Roman" w:hAnsi="Times New Roman" w:cs="Times New Roman"/>
          <w:sz w:val="28"/>
          <w:szCs w:val="28"/>
          <w:lang w:val="uk-UA"/>
        </w:rPr>
        <w:t>ів, порушеннями диференціювання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клітин і зростанням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керати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зації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5679EC" w:rsidRDefault="005679EC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епідермальних клітин. Це свідчить, що одним із провідних ланцюгів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псоріатичної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є порушення обміну іонів металів і окислювально-відновлювальних процесів, які сприяли визначенню в роботі методів дослідження.</w:t>
      </w:r>
    </w:p>
    <w:p w:rsidR="00982473" w:rsidRDefault="001F311A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макроелементи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визначалися методом атомно-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абсорбційної спектрофотометрії [4]</w:t>
      </w:r>
      <w:r w:rsidR="00982473">
        <w:rPr>
          <w:rFonts w:ascii="Times New Roman" w:hAnsi="Times New Roman" w:cs="Times New Roman"/>
          <w:sz w:val="28"/>
          <w:szCs w:val="28"/>
          <w:lang w:val="uk-UA"/>
        </w:rPr>
        <w:t xml:space="preserve">. Досліджували 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вміст іонів натрію, калію, кальцію, магнію,</w:t>
      </w:r>
      <w:r w:rsidR="00982473">
        <w:rPr>
          <w:rFonts w:ascii="Times New Roman" w:hAnsi="Times New Roman" w:cs="Times New Roman"/>
          <w:sz w:val="28"/>
          <w:szCs w:val="28"/>
          <w:lang w:val="uk-UA"/>
        </w:rPr>
        <w:t xml:space="preserve"> цинку, міді, заліза в еритроцитах, плазмі крові, добову  екскрецію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сечі як</w:t>
      </w:r>
      <w:r w:rsidR="0098247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хворих</w:t>
      </w:r>
      <w:r w:rsidR="0098247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генералізованою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формою псоріазу, так і </w:t>
      </w:r>
      <w:r w:rsidR="0098247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умовно здорових пацієнтів аналогічного віку і статі. </w:t>
      </w:r>
    </w:p>
    <w:p w:rsidR="00982473" w:rsidRDefault="00982473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До групи хворих на розповсюджений псоріаз було залучено19 чоловіків і 18 жінок, до групи порівняння (контроль)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- 14 чоловіків і 16 жінок. У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>сі пацієнти були віком від 23 до 52 років. Стан окислювально-в</w:t>
      </w:r>
      <w:r>
        <w:rPr>
          <w:rFonts w:ascii="Times New Roman" w:hAnsi="Times New Roman" w:cs="Times New Roman"/>
          <w:sz w:val="28"/>
          <w:szCs w:val="28"/>
          <w:lang w:val="uk-UA"/>
        </w:rPr>
        <w:t>ідновлювальних процесів вивчали за динамікою</w:t>
      </w:r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ферментів лактатдегідрогенази (ЛДГ),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малатдегідрогенази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(МДГ),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сукцинатдегідрогенази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(СДГ), глюкозо-6-фосфатдегідрогенази (Г-6-ФДГ), </w:t>
      </w:r>
      <w:proofErr w:type="spellStart"/>
      <w:r w:rsidR="005679EC">
        <w:rPr>
          <w:rFonts w:ascii="Times New Roman" w:hAnsi="Times New Roman" w:cs="Times New Roman"/>
          <w:sz w:val="28"/>
          <w:szCs w:val="28"/>
          <w:lang w:val="uk-UA"/>
        </w:rPr>
        <w:t>ізоцитратдегідрогенази</w:t>
      </w:r>
      <w:proofErr w:type="spellEnd"/>
      <w:r w:rsidR="005679EC">
        <w:rPr>
          <w:rFonts w:ascii="Times New Roman" w:hAnsi="Times New Roman" w:cs="Times New Roman"/>
          <w:sz w:val="28"/>
          <w:szCs w:val="28"/>
          <w:lang w:val="uk-UA"/>
        </w:rPr>
        <w:t xml:space="preserve"> (ІЗО-ЦДГ)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заг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альноприйнятими методами [4 - 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7]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каталази визначали за швидкі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 утилізації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8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8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 із інкубаційного середовища в кольоровій реакції з </w:t>
      </w:r>
      <w:proofErr w:type="spellStart"/>
      <w:r w:rsidR="00D82627" w:rsidRPr="006F1D51">
        <w:rPr>
          <w:rFonts w:ascii="Times New Roman" w:hAnsi="Times New Roman" w:cs="Times New Roman"/>
          <w:sz w:val="28"/>
          <w:szCs w:val="28"/>
          <w:lang w:val="uk-UA"/>
        </w:rPr>
        <w:t>молібдатом</w:t>
      </w:r>
      <w:proofErr w:type="spellEnd"/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 амоні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ю спектрофотометричним методом [8]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82627">
        <w:rPr>
          <w:rFonts w:ascii="Times New Roman" w:hAnsi="Times New Roman" w:cs="Times New Roman"/>
          <w:sz w:val="28"/>
          <w:szCs w:val="28"/>
          <w:lang w:val="uk-UA"/>
        </w:rPr>
        <w:t>Глутатіонпероксидазну</w:t>
      </w:r>
      <w:proofErr w:type="spellEnd"/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 (ГПО) активніс</w:t>
      </w:r>
      <w:r>
        <w:rPr>
          <w:rFonts w:ascii="Times New Roman" w:hAnsi="Times New Roman" w:cs="Times New Roman"/>
          <w:sz w:val="28"/>
          <w:szCs w:val="28"/>
          <w:lang w:val="uk-UA"/>
        </w:rPr>
        <w:t>ть визначали по окисленням</w:t>
      </w:r>
      <w:r w:rsidR="00B72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2664">
        <w:rPr>
          <w:rFonts w:ascii="Times New Roman" w:hAnsi="Times New Roman" w:cs="Times New Roman"/>
          <w:sz w:val="28"/>
          <w:szCs w:val="28"/>
          <w:lang w:val="uk-UA"/>
        </w:rPr>
        <w:t>відновлен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627">
        <w:rPr>
          <w:rFonts w:ascii="Times New Roman" w:hAnsi="Times New Roman" w:cs="Times New Roman"/>
          <w:sz w:val="28"/>
          <w:szCs w:val="28"/>
          <w:lang w:val="uk-UA"/>
        </w:rPr>
        <w:t>глутатіону</w:t>
      </w:r>
      <w:proofErr w:type="spellEnd"/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 в коль</w:t>
      </w:r>
      <w:r w:rsidR="00B72664">
        <w:rPr>
          <w:rFonts w:ascii="Times New Roman" w:hAnsi="Times New Roman" w:cs="Times New Roman"/>
          <w:sz w:val="28"/>
          <w:szCs w:val="28"/>
          <w:lang w:val="uk-UA"/>
        </w:rPr>
        <w:t xml:space="preserve">оровій реакції на сульфгідрильні групи з реактивом </w:t>
      </w:r>
      <w:proofErr w:type="spellStart"/>
      <w:r w:rsidR="00B7266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>лмана</w:t>
      </w:r>
      <w:proofErr w:type="spellEnd"/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DC7A31">
        <w:rPr>
          <w:rFonts w:ascii="Times New Roman" w:hAnsi="Times New Roman" w:cs="Times New Roman"/>
          <w:sz w:val="28"/>
          <w:szCs w:val="28"/>
          <w:lang w:val="uk-UA"/>
        </w:rPr>
        <w:t>λ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=412 </w:t>
      </w:r>
      <w:proofErr w:type="spellStart"/>
      <w:r w:rsidR="00D8262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525588">
        <w:rPr>
          <w:rFonts w:ascii="Times New Roman" w:hAnsi="Times New Roman" w:cs="Times New Roman"/>
          <w:sz w:val="28"/>
          <w:szCs w:val="28"/>
          <w:lang w:val="uk-UA"/>
        </w:rPr>
        <w:t xml:space="preserve"> спектрофотометричним методом [9]</w:t>
      </w:r>
      <w:r w:rsidR="00D82627">
        <w:rPr>
          <w:rFonts w:ascii="Times New Roman" w:hAnsi="Times New Roman" w:cs="Times New Roman"/>
          <w:sz w:val="28"/>
          <w:szCs w:val="28"/>
          <w:lang w:val="uk-UA"/>
        </w:rPr>
        <w:t xml:space="preserve">. Активність </w:t>
      </w:r>
      <w:proofErr w:type="spellStart"/>
      <w:r w:rsidR="00D82627">
        <w:rPr>
          <w:rFonts w:ascii="Times New Roman" w:hAnsi="Times New Roman" w:cs="Times New Roman"/>
          <w:sz w:val="28"/>
          <w:szCs w:val="28"/>
          <w:lang w:val="uk-UA"/>
        </w:rPr>
        <w:t>суперокси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>ддисмутази</w:t>
      </w:r>
      <w:proofErr w:type="spellEnd"/>
      <w:r w:rsidR="000E2152">
        <w:rPr>
          <w:rFonts w:ascii="Times New Roman" w:hAnsi="Times New Roman" w:cs="Times New Roman"/>
          <w:sz w:val="28"/>
          <w:szCs w:val="28"/>
          <w:lang w:val="uk-UA"/>
        </w:rPr>
        <w:t xml:space="preserve"> визначали по ступеню пригнічення </w:t>
      </w:r>
      <w:r w:rsidR="009F4F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F4F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відновленого </w:t>
      </w:r>
      <w:proofErr w:type="spellStart"/>
      <w:r w:rsidR="000E2152">
        <w:rPr>
          <w:rFonts w:ascii="Times New Roman" w:hAnsi="Times New Roman" w:cs="Times New Roman"/>
          <w:sz w:val="28"/>
          <w:szCs w:val="28"/>
          <w:lang w:val="uk-UA"/>
        </w:rPr>
        <w:t>нітросинього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2152">
        <w:rPr>
          <w:rFonts w:ascii="Times New Roman" w:hAnsi="Times New Roman" w:cs="Times New Roman"/>
          <w:sz w:val="28"/>
          <w:szCs w:val="28"/>
          <w:lang w:val="uk-UA"/>
        </w:rPr>
        <w:t>тетразолію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спек</w:t>
      </w:r>
      <w:r>
        <w:rPr>
          <w:rFonts w:ascii="Times New Roman" w:hAnsi="Times New Roman" w:cs="Times New Roman"/>
          <w:sz w:val="28"/>
          <w:szCs w:val="28"/>
          <w:lang w:val="uk-UA"/>
        </w:rPr>
        <w:t>трофотометричним методом [10-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12]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 xml:space="preserve">. Активність </w:t>
      </w:r>
      <w:proofErr w:type="spellStart"/>
      <w:r w:rsidR="000E2152">
        <w:rPr>
          <w:rFonts w:ascii="Times New Roman" w:hAnsi="Times New Roman" w:cs="Times New Roman"/>
          <w:sz w:val="28"/>
          <w:szCs w:val="28"/>
          <w:lang w:val="uk-UA"/>
        </w:rPr>
        <w:t>церулоплазміну</w:t>
      </w:r>
      <w:proofErr w:type="spellEnd"/>
      <w:r w:rsidR="000E2152">
        <w:rPr>
          <w:rFonts w:ascii="Times New Roman" w:hAnsi="Times New Roman" w:cs="Times New Roman"/>
          <w:sz w:val="28"/>
          <w:szCs w:val="28"/>
          <w:lang w:val="uk-UA"/>
        </w:rPr>
        <w:t xml:space="preserve"> в сироватці </w:t>
      </w:r>
      <w:r>
        <w:rPr>
          <w:rFonts w:ascii="Times New Roman" w:hAnsi="Times New Roman" w:cs="Times New Roman"/>
          <w:sz w:val="28"/>
          <w:szCs w:val="28"/>
          <w:lang w:val="uk-UA"/>
        </w:rPr>
        <w:t>крові визначалася за методом</w:t>
      </w:r>
      <w:r w:rsidR="00B72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2664">
        <w:rPr>
          <w:rFonts w:ascii="Times New Roman" w:hAnsi="Times New Roman" w:cs="Times New Roman"/>
          <w:sz w:val="28"/>
          <w:szCs w:val="28"/>
          <w:lang w:val="uk-UA"/>
        </w:rPr>
        <w:t>Раві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525588">
        <w:rPr>
          <w:rFonts w:ascii="Times New Roman" w:hAnsi="Times New Roman" w:cs="Times New Roman"/>
          <w:sz w:val="28"/>
          <w:szCs w:val="28"/>
          <w:lang w:val="uk-UA"/>
        </w:rPr>
        <w:t xml:space="preserve"> [6]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2152" w:rsidRDefault="00982473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>Статистичне опрацювання резу</w:t>
      </w:r>
      <w:r>
        <w:rPr>
          <w:rFonts w:ascii="Times New Roman" w:hAnsi="Times New Roman" w:cs="Times New Roman"/>
          <w:sz w:val="28"/>
          <w:szCs w:val="28"/>
          <w:lang w:val="uk-UA"/>
        </w:rPr>
        <w:t>льтатів дослідження виконували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методів варіаційної статистики і оцін</w:t>
      </w:r>
      <w:r>
        <w:rPr>
          <w:rFonts w:ascii="Times New Roman" w:hAnsi="Times New Roman" w:cs="Times New Roman"/>
          <w:sz w:val="28"/>
          <w:szCs w:val="28"/>
          <w:lang w:val="uk-UA"/>
        </w:rPr>
        <w:t>кою вірогідності розбіжностей за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2152">
        <w:rPr>
          <w:rFonts w:ascii="Times New Roman" w:hAnsi="Times New Roman" w:cs="Times New Roman"/>
          <w:sz w:val="28"/>
          <w:szCs w:val="28"/>
          <w:lang w:val="uk-UA"/>
        </w:rPr>
        <w:t>Стьюдент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Фішером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152" w:rsidRPr="00FE28A5" w:rsidRDefault="0031444C" w:rsidP="007408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</w:t>
      </w:r>
      <w:r w:rsidR="000E2152" w:rsidRPr="00FE2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обговорення</w:t>
      </w:r>
    </w:p>
    <w:p w:rsidR="00290F4E" w:rsidRDefault="00290F4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дослідження стану окисно-відновних процесів у хворих на поширений</w:t>
      </w:r>
      <w:r w:rsidR="000E2152">
        <w:rPr>
          <w:rFonts w:ascii="Times New Roman" w:hAnsi="Times New Roman" w:cs="Times New Roman"/>
          <w:sz w:val="28"/>
          <w:szCs w:val="28"/>
          <w:lang w:val="uk-UA"/>
        </w:rPr>
        <w:t xml:space="preserve"> псоріаз виявили підвищення активності каталази на 82,87%,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глутатіонпероксидази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 на 88,53%,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супероксиддисмутази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 на 235,26% і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церулоплазміну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 на 84,27% (таблиця 1). Ці дані вказують, що при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псоріатичній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суттєво активовані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вільнорадикальні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процеси і перекисне окисн</w:t>
      </w:r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ення ліпідів, які поєднані з утворенням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супероксидного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</w:t>
      </w:r>
    </w:p>
    <w:p w:rsidR="000E2152" w:rsidRDefault="00290F4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8142F" w:rsidRPr="00DC7A31">
        <w:rPr>
          <w:rFonts w:ascii="Times New Roman" w:hAnsi="Times New Roman" w:cs="Times New Roman"/>
          <w:sz w:val="28"/>
          <w:szCs w:val="28"/>
          <w:lang w:val="uk-UA"/>
        </w:rPr>
        <w:t>аніон-</w:t>
      </w:r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радикалу кисню,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перек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142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гідроперо</w:t>
      </w:r>
      <w:r w:rsidR="0028142F">
        <w:rPr>
          <w:rFonts w:ascii="Times New Roman" w:hAnsi="Times New Roman" w:cs="Times New Roman"/>
          <w:sz w:val="28"/>
          <w:szCs w:val="28"/>
          <w:lang w:val="uk-UA"/>
        </w:rPr>
        <w:t>кисів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. За таких умов можливе пригнічення системи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антирадикального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антиперекисного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 захисту, що призводить до формування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окси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дативного</w:t>
      </w:r>
      <w:proofErr w:type="spellEnd"/>
      <w:r w:rsidR="00525588">
        <w:rPr>
          <w:rFonts w:ascii="Times New Roman" w:hAnsi="Times New Roman" w:cs="Times New Roman"/>
          <w:sz w:val="28"/>
          <w:szCs w:val="28"/>
          <w:lang w:val="uk-UA"/>
        </w:rPr>
        <w:t xml:space="preserve"> стресу [3]</w:t>
      </w:r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. Аналіз активності ферментів енергетичного метаболізму виявив значне зростання рівнів лактатдегідрогенази,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малатдегідрогенази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сукцинатдегідрогенази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28142F">
        <w:rPr>
          <w:rFonts w:ascii="Times New Roman" w:hAnsi="Times New Roman" w:cs="Times New Roman"/>
          <w:sz w:val="28"/>
          <w:szCs w:val="28"/>
          <w:lang w:val="uk-UA"/>
        </w:rPr>
        <w:t>ізоцитратдегідрогенази</w:t>
      </w:r>
      <w:proofErr w:type="spellEnd"/>
      <w:r w:rsidR="002814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42F" w:rsidRPr="00525588" w:rsidRDefault="0028142F" w:rsidP="000E21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Таблиця 1</w:t>
      </w:r>
    </w:p>
    <w:p w:rsidR="000A26D2" w:rsidRPr="00525588" w:rsidRDefault="0028142F" w:rsidP="00CC32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88">
        <w:rPr>
          <w:rFonts w:ascii="Times New Roman" w:hAnsi="Times New Roman" w:cs="Times New Roman"/>
          <w:b/>
          <w:sz w:val="28"/>
          <w:szCs w:val="28"/>
          <w:lang w:val="uk-UA"/>
        </w:rPr>
        <w:t>Стан окислювально-відновлювальних про</w:t>
      </w:r>
      <w:r w:rsidR="000A26D2" w:rsidRPr="00525588">
        <w:rPr>
          <w:rFonts w:ascii="Times New Roman" w:hAnsi="Times New Roman" w:cs="Times New Roman"/>
          <w:b/>
          <w:sz w:val="28"/>
          <w:szCs w:val="28"/>
          <w:lang w:val="uk-UA"/>
        </w:rPr>
        <w:t>цесів у хворих на розповсюджений  псоріаз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A26D2" w:rsidTr="0005151A">
        <w:tc>
          <w:tcPr>
            <w:tcW w:w="3190" w:type="dxa"/>
            <w:vMerge w:val="restart"/>
          </w:tcPr>
          <w:p w:rsidR="000A26D2" w:rsidRDefault="000A26D2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6D2" w:rsidRDefault="000A26D2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Показники</w:t>
            </w:r>
          </w:p>
        </w:tc>
        <w:tc>
          <w:tcPr>
            <w:tcW w:w="6381" w:type="dxa"/>
            <w:gridSpan w:val="2"/>
          </w:tcPr>
          <w:p w:rsidR="000A26D2" w:rsidRPr="005A2437" w:rsidRDefault="000A26D2" w:rsidP="005A24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спостереження </w:t>
            </w:r>
            <w:r w:rsidR="005A2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A2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A26D2" w:rsidTr="000A26D2">
        <w:tc>
          <w:tcPr>
            <w:tcW w:w="3190" w:type="dxa"/>
            <w:vMerge/>
          </w:tcPr>
          <w:p w:rsidR="000A26D2" w:rsidRDefault="000A26D2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A26D2" w:rsidRPr="000A26D2" w:rsidRDefault="000A26D2" w:rsidP="00030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030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мовно-здорова</w:t>
            </w:r>
          </w:p>
        </w:tc>
        <w:tc>
          <w:tcPr>
            <w:tcW w:w="3191" w:type="dxa"/>
          </w:tcPr>
          <w:p w:rsidR="000A26D2" w:rsidRDefault="000303F5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Х</w:t>
            </w:r>
            <w:r w:rsidR="000A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 пацієнти</w:t>
            </w:r>
          </w:p>
        </w:tc>
      </w:tr>
      <w:tr w:rsidR="000A26D2" w:rsidTr="000A26D2">
        <w:tc>
          <w:tcPr>
            <w:tcW w:w="3190" w:type="dxa"/>
          </w:tcPr>
          <w:p w:rsidR="000A26D2" w:rsidRDefault="000A26D2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Каталаза крові</w:t>
            </w:r>
          </w:p>
          <w:p w:rsidR="000A26D2" w:rsidRDefault="000A26D2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3190" w:type="dxa"/>
          </w:tcPr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4,73±0,58</w:t>
            </w:r>
          </w:p>
        </w:tc>
        <w:tc>
          <w:tcPr>
            <w:tcW w:w="3191" w:type="dxa"/>
          </w:tcPr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82,87*</w:t>
            </w:r>
          </w:p>
          <w:p w:rsidR="000A26D2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8,65±0,63</w:t>
            </w:r>
          </w:p>
        </w:tc>
      </w:tr>
      <w:tr w:rsidR="000A26D2" w:rsidTr="000A26D2">
        <w:tc>
          <w:tcPr>
            <w:tcW w:w="3190" w:type="dxa"/>
          </w:tcPr>
          <w:p w:rsidR="000A26D2" w:rsidRDefault="000A26D2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Глутатіонперексидаза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крові</w:t>
            </w:r>
            <w:r w:rsidR="00493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0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6,28±0,47</w:t>
            </w:r>
          </w:p>
        </w:tc>
        <w:tc>
          <w:tcPr>
            <w:tcW w:w="3191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88,53</w:t>
            </w:r>
            <w:r w:rsidR="00493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0A26D2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11,84±0,96</w:t>
            </w:r>
          </w:p>
        </w:tc>
      </w:tr>
      <w:tr w:rsidR="000A26D2" w:rsidTr="000A26D2">
        <w:tc>
          <w:tcPr>
            <w:tcW w:w="3190" w:type="dxa"/>
          </w:tcPr>
          <w:p w:rsidR="000A26D2" w:rsidRDefault="00493F3A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Супероксиддисмутаза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крові,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/мг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0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0,346±0,05</w:t>
            </w:r>
          </w:p>
        </w:tc>
        <w:tc>
          <w:tcPr>
            <w:tcW w:w="3191" w:type="dxa"/>
          </w:tcPr>
          <w:p w:rsidR="000A26D2" w:rsidRDefault="005A2437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235,26</w:t>
            </w:r>
            <w:r w:rsidR="00493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1,16±0,124</w:t>
            </w:r>
          </w:p>
        </w:tc>
      </w:tr>
      <w:tr w:rsidR="000A26D2" w:rsidTr="000A26D2">
        <w:tc>
          <w:tcPr>
            <w:tcW w:w="3190" w:type="dxa"/>
          </w:tcPr>
          <w:p w:rsidR="000A26D2" w:rsidRDefault="00493F3A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Церулоплазмін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сироватки,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3190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2,48±0,26</w:t>
            </w:r>
          </w:p>
        </w:tc>
        <w:tc>
          <w:tcPr>
            <w:tcW w:w="3191" w:type="dxa"/>
          </w:tcPr>
          <w:p w:rsidR="000A26D2" w:rsidRDefault="005A2437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84,27</w:t>
            </w:r>
            <w:r w:rsidR="00493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4,57±0,38</w:t>
            </w:r>
          </w:p>
        </w:tc>
      </w:tr>
      <w:tr w:rsidR="000A26D2" w:rsidTr="000A26D2">
        <w:tc>
          <w:tcPr>
            <w:tcW w:w="3190" w:type="dxa"/>
          </w:tcPr>
          <w:p w:rsidR="000A26D2" w:rsidRDefault="00493F3A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Малатдегідрогеназа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сироватки,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/НАД·Н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·хв·л)</w:t>
            </w:r>
          </w:p>
        </w:tc>
        <w:tc>
          <w:tcPr>
            <w:tcW w:w="3190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42,65±3,87</w:t>
            </w:r>
          </w:p>
        </w:tc>
        <w:tc>
          <w:tcPr>
            <w:tcW w:w="3191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3A" w:rsidRDefault="005A2437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43,82</w:t>
            </w:r>
            <w:r w:rsidR="00493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493F3A" w:rsidRDefault="00493F3A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61,34±5,44</w:t>
            </w:r>
          </w:p>
        </w:tc>
      </w:tr>
      <w:tr w:rsidR="000A26D2" w:rsidTr="000A26D2">
        <w:tc>
          <w:tcPr>
            <w:tcW w:w="3190" w:type="dxa"/>
          </w:tcPr>
          <w:p w:rsidR="000A26D2" w:rsidRDefault="00493F3A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Лактатдегідрогеназа сироватки,(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0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53B5" w:rsidRDefault="003553B5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6,88±0,54</w:t>
            </w:r>
          </w:p>
        </w:tc>
        <w:tc>
          <w:tcPr>
            <w:tcW w:w="3191" w:type="dxa"/>
          </w:tcPr>
          <w:p w:rsidR="000A26D2" w:rsidRDefault="005A2437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151,74</w:t>
            </w:r>
            <w:r w:rsidR="00355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3553B5" w:rsidRDefault="003553B5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17,32±1,23</w:t>
            </w:r>
          </w:p>
        </w:tc>
      </w:tr>
      <w:tr w:rsidR="000A26D2" w:rsidTr="000A26D2">
        <w:tc>
          <w:tcPr>
            <w:tcW w:w="3190" w:type="dxa"/>
          </w:tcPr>
          <w:p w:rsidR="000A26D2" w:rsidRDefault="003553B5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Глюкозо-6-фосфатдегід-рогеназа крові (ОД/г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0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53B5" w:rsidRDefault="003553B5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9,43±0,75</w:t>
            </w:r>
          </w:p>
        </w:tc>
        <w:tc>
          <w:tcPr>
            <w:tcW w:w="3191" w:type="dxa"/>
          </w:tcPr>
          <w:p w:rsidR="000A26D2" w:rsidRDefault="005A2437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138,28</w:t>
            </w:r>
            <w:r w:rsidR="00355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3553B5" w:rsidRDefault="003553B5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22,47±1,36</w:t>
            </w:r>
          </w:p>
        </w:tc>
      </w:tr>
      <w:tr w:rsidR="000A26D2" w:rsidTr="000A26D2">
        <w:tc>
          <w:tcPr>
            <w:tcW w:w="3190" w:type="dxa"/>
          </w:tcPr>
          <w:p w:rsidR="000A26D2" w:rsidRDefault="003553B5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Сукцинатдегідрогеназа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крові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мл·хв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0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53B5" w:rsidRDefault="003553B5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0,142±0,023</w:t>
            </w:r>
          </w:p>
        </w:tc>
        <w:tc>
          <w:tcPr>
            <w:tcW w:w="3191" w:type="dxa"/>
          </w:tcPr>
          <w:p w:rsidR="000A26D2" w:rsidRDefault="005A2437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78,87</w:t>
            </w:r>
            <w:r w:rsidR="00355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3553B5" w:rsidRDefault="003553B5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0,254±0,034</w:t>
            </w:r>
          </w:p>
        </w:tc>
      </w:tr>
      <w:tr w:rsidR="000A26D2" w:rsidTr="000A26D2">
        <w:tc>
          <w:tcPr>
            <w:tcW w:w="3190" w:type="dxa"/>
          </w:tcPr>
          <w:p w:rsidR="000A26D2" w:rsidRDefault="003553B5" w:rsidP="000E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Ізоцитратдегідрогеназа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крові (ОД/л)</w:t>
            </w:r>
          </w:p>
        </w:tc>
        <w:tc>
          <w:tcPr>
            <w:tcW w:w="3190" w:type="dxa"/>
          </w:tcPr>
          <w:p w:rsidR="000A26D2" w:rsidRDefault="000A26D2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53B5" w:rsidRDefault="003553B5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5,46±0,427</w:t>
            </w:r>
          </w:p>
        </w:tc>
        <w:tc>
          <w:tcPr>
            <w:tcW w:w="3191" w:type="dxa"/>
          </w:tcPr>
          <w:p w:rsidR="000A26D2" w:rsidRDefault="005A2437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172,16</w:t>
            </w:r>
            <w:r w:rsidR="00355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3553B5" w:rsidRDefault="003553B5" w:rsidP="005A2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14,86±1,23</w:t>
            </w:r>
          </w:p>
        </w:tc>
      </w:tr>
    </w:tbl>
    <w:p w:rsidR="003553B5" w:rsidRDefault="003553B5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 : * різниця вірогідна (</w:t>
      </w:r>
      <w:r w:rsidR="005508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50897" w:rsidRPr="00DC7A31">
        <w:rPr>
          <w:rFonts w:ascii="Times New Roman" w:hAnsi="Times New Roman" w:cs="Times New Roman"/>
          <w:sz w:val="28"/>
          <w:szCs w:val="28"/>
        </w:rPr>
        <w:t>&lt;</w:t>
      </w:r>
      <w:r w:rsidRPr="00DC7A3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7A3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) з контролем.</w:t>
      </w:r>
    </w:p>
    <w:p w:rsidR="00981769" w:rsidRDefault="00290F4E" w:rsidP="00D751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23CD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8652EA">
        <w:rPr>
          <w:rFonts w:ascii="Times New Roman" w:hAnsi="Times New Roman" w:cs="Times New Roman"/>
          <w:sz w:val="28"/>
          <w:szCs w:val="28"/>
          <w:lang w:val="uk-UA"/>
        </w:rPr>
        <w:t>, активність МД</w:t>
      </w:r>
      <w:r w:rsidR="000723C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652EA">
        <w:rPr>
          <w:rFonts w:ascii="Times New Roman" w:hAnsi="Times New Roman" w:cs="Times New Roman"/>
          <w:sz w:val="28"/>
          <w:szCs w:val="28"/>
          <w:lang w:val="uk-UA"/>
        </w:rPr>
        <w:t xml:space="preserve"> підвищувалася на 43,82%,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2EA">
        <w:rPr>
          <w:rFonts w:ascii="Times New Roman" w:hAnsi="Times New Roman" w:cs="Times New Roman"/>
          <w:sz w:val="28"/>
          <w:szCs w:val="28"/>
          <w:lang w:val="uk-UA"/>
        </w:rPr>
        <w:t>ЛДГ на 151,74%, СДГ на 78,87% і ІЗО-ЦДГ на 172,16%, що вказувало на зростання як анаеробного, так і аеробного шляхів генерації енергії у вигляді синте</w:t>
      </w:r>
      <w:r>
        <w:rPr>
          <w:rFonts w:ascii="Times New Roman" w:hAnsi="Times New Roman" w:cs="Times New Roman"/>
          <w:sz w:val="28"/>
          <w:szCs w:val="28"/>
          <w:lang w:val="uk-UA"/>
        </w:rPr>
        <w:t>зу АТФ. При цьому  також підвищилася активні</w:t>
      </w:r>
      <w:r w:rsidR="008652EA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2EA">
        <w:rPr>
          <w:rFonts w:ascii="Times New Roman" w:hAnsi="Times New Roman" w:cs="Times New Roman"/>
          <w:sz w:val="28"/>
          <w:szCs w:val="28"/>
          <w:lang w:val="uk-UA"/>
        </w:rPr>
        <w:t>пентозо</w:t>
      </w:r>
      <w:r w:rsidR="008652EA" w:rsidRPr="00DC7A31">
        <w:rPr>
          <w:rFonts w:ascii="Times New Roman" w:hAnsi="Times New Roman" w:cs="Times New Roman"/>
          <w:sz w:val="28"/>
          <w:szCs w:val="28"/>
          <w:lang w:val="uk-UA"/>
        </w:rPr>
        <w:t>фосфатного</w:t>
      </w:r>
      <w:proofErr w:type="spellEnd"/>
      <w:r w:rsidR="008652EA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 шунта,</w:t>
      </w:r>
      <w:r w:rsidR="008652EA" w:rsidRPr="008652E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2EA">
        <w:rPr>
          <w:rFonts w:ascii="Times New Roman" w:hAnsi="Times New Roman" w:cs="Times New Roman"/>
          <w:sz w:val="28"/>
          <w:szCs w:val="28"/>
          <w:lang w:val="uk-UA"/>
        </w:rPr>
        <w:t xml:space="preserve">що свідчило зростання активності глюкозо-6-фосфатдегідрогенази на 138,28% у порівнянні з групою умовно-здорових пацієнтів.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вказують, що на тлі</w:t>
      </w:r>
      <w:r w:rsidR="008652EA">
        <w:rPr>
          <w:rFonts w:ascii="Times New Roman" w:hAnsi="Times New Roman" w:cs="Times New Roman"/>
          <w:sz w:val="28"/>
          <w:szCs w:val="28"/>
          <w:lang w:val="uk-UA"/>
        </w:rPr>
        <w:t xml:space="preserve"> активації </w:t>
      </w:r>
      <w:proofErr w:type="spellStart"/>
      <w:r w:rsidR="008652EA">
        <w:rPr>
          <w:rFonts w:ascii="Times New Roman" w:hAnsi="Times New Roman" w:cs="Times New Roman"/>
          <w:sz w:val="28"/>
          <w:szCs w:val="28"/>
          <w:lang w:val="uk-UA"/>
        </w:rPr>
        <w:t>оксидативних</w:t>
      </w:r>
      <w:proofErr w:type="spellEnd"/>
      <w:r w:rsidR="008652EA">
        <w:rPr>
          <w:rFonts w:ascii="Times New Roman" w:hAnsi="Times New Roman" w:cs="Times New Roman"/>
          <w:sz w:val="28"/>
          <w:szCs w:val="28"/>
          <w:lang w:val="uk-UA"/>
        </w:rPr>
        <w:t xml:space="preserve"> процесів, анаеробного і </w:t>
      </w:r>
    </w:p>
    <w:p w:rsidR="00981769" w:rsidRDefault="00981769" w:rsidP="00D751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75186" w:rsidRDefault="008652EA" w:rsidP="00D751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аеробного дихання, у</w:t>
      </w:r>
      <w:r w:rsidR="00290F4E">
        <w:rPr>
          <w:rFonts w:ascii="Times New Roman" w:hAnsi="Times New Roman" w:cs="Times New Roman"/>
          <w:sz w:val="28"/>
          <w:szCs w:val="28"/>
          <w:lang w:val="uk-UA"/>
        </w:rPr>
        <w:t xml:space="preserve"> хворих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псоріатичн</w:t>
      </w:r>
      <w:r w:rsidR="00290F4E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</w:t>
      </w:r>
      <w:r w:rsidR="00290F4E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290F4E">
        <w:rPr>
          <w:rFonts w:ascii="Times New Roman" w:hAnsi="Times New Roman" w:cs="Times New Roman"/>
          <w:sz w:val="28"/>
          <w:szCs w:val="28"/>
          <w:lang w:val="uk-UA"/>
        </w:rPr>
        <w:t>підвищуються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F4E">
        <w:rPr>
          <w:rFonts w:ascii="Times New Roman" w:hAnsi="Times New Roman" w:cs="Times New Roman"/>
          <w:sz w:val="28"/>
          <w:szCs w:val="28"/>
          <w:lang w:val="uk-UA"/>
        </w:rPr>
        <w:t xml:space="preserve">відновні синтези, що </w:t>
      </w:r>
      <w:proofErr w:type="spellStart"/>
      <w:r w:rsidR="00290F4E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290F4E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як значне напруження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захисно-пристосувальних механізмів</w:t>
      </w:r>
      <w:r w:rsidR="00290F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забезпечен</w:t>
      </w:r>
      <w:r w:rsidR="00290F4E">
        <w:rPr>
          <w:rFonts w:ascii="Times New Roman" w:hAnsi="Times New Roman" w:cs="Times New Roman"/>
          <w:sz w:val="28"/>
          <w:szCs w:val="28"/>
          <w:lang w:val="uk-UA"/>
        </w:rPr>
        <w:t>ня гомеостатичної функції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зму.</w:t>
      </w:r>
      <w:r w:rsidR="00290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динамічних показників обміну іонів металів</w:t>
      </w:r>
      <w:r w:rsidR="000D5931">
        <w:rPr>
          <w:rFonts w:ascii="Times New Roman" w:hAnsi="Times New Roman" w:cs="Times New Roman"/>
          <w:sz w:val="28"/>
          <w:szCs w:val="28"/>
          <w:lang w:val="uk-UA"/>
        </w:rPr>
        <w:t xml:space="preserve"> в плазмі крові виявило підвищення К</w:t>
      </w:r>
      <w:r w:rsidR="000D59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0D59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593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D59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D5931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0D59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5+</w:t>
      </w:r>
      <w:r w:rsidR="000D59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593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0D5931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D5931" w:rsidRPr="00DC7A31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0D593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D5931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D5931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D593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0D5931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D5931">
        <w:rPr>
          <w:rFonts w:ascii="Times New Roman" w:hAnsi="Times New Roman" w:cs="Times New Roman"/>
          <w:sz w:val="28"/>
          <w:szCs w:val="28"/>
          <w:lang w:val="uk-UA"/>
        </w:rPr>
        <w:t xml:space="preserve"> і зниження </w:t>
      </w:r>
      <w:r w:rsidR="000D5931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0D5931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D59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593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0D5931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D59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D593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D5931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0D59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5186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псоріаз (таблиця 2).</w:t>
      </w:r>
    </w:p>
    <w:p w:rsidR="00D75186" w:rsidRPr="00525588" w:rsidRDefault="00D75186" w:rsidP="00D751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Таблиця 2</w:t>
      </w:r>
    </w:p>
    <w:p w:rsidR="00D75186" w:rsidRPr="00525588" w:rsidRDefault="00D75186" w:rsidP="00D751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Стан іонного обміну у хворих на розповсюджений псоріаз</w:t>
      </w:r>
    </w:p>
    <w:tbl>
      <w:tblPr>
        <w:tblStyle w:val="a3"/>
        <w:tblW w:w="10878" w:type="dxa"/>
        <w:tblInd w:w="-601" w:type="dxa"/>
        <w:tblLook w:val="04A0"/>
      </w:tblPr>
      <w:tblGrid>
        <w:gridCol w:w="1518"/>
        <w:gridCol w:w="1490"/>
        <w:gridCol w:w="1630"/>
        <w:gridCol w:w="1490"/>
        <w:gridCol w:w="1490"/>
        <w:gridCol w:w="1630"/>
        <w:gridCol w:w="1630"/>
      </w:tblGrid>
      <w:tr w:rsidR="00D75186" w:rsidTr="00D75186">
        <w:trPr>
          <w:trHeight w:val="336"/>
        </w:trPr>
        <w:tc>
          <w:tcPr>
            <w:tcW w:w="1518" w:type="dxa"/>
            <w:vMerge w:val="restart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4610" w:type="dxa"/>
            <w:gridSpan w:val="3"/>
          </w:tcPr>
          <w:p w:rsidR="00D75186" w:rsidRPr="00C833CB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Хворі на псоріаз </w:t>
            </w:r>
            <w:r w:rsidR="00C83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83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50" w:type="dxa"/>
            <w:gridSpan w:val="3"/>
          </w:tcPr>
          <w:p w:rsidR="00D75186" w:rsidRPr="00C833CB" w:rsidRDefault="00C833CB" w:rsidP="00C8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контролю (</w:t>
            </w:r>
            <w:r w:rsidR="00D75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М±</w:t>
            </w:r>
            <w:r w:rsidR="00D75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75186" w:rsidTr="00D75186">
        <w:trPr>
          <w:trHeight w:val="154"/>
        </w:trPr>
        <w:tc>
          <w:tcPr>
            <w:tcW w:w="1518" w:type="dxa"/>
            <w:vMerge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D75186" w:rsidRPr="007905A8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плазма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еритроцити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сеча</w:t>
            </w:r>
          </w:p>
        </w:tc>
        <w:tc>
          <w:tcPr>
            <w:tcW w:w="1490" w:type="dxa"/>
          </w:tcPr>
          <w:p w:rsidR="00D75186" w:rsidRPr="00082747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плазма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еритроцити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сеча</w:t>
            </w:r>
          </w:p>
        </w:tc>
      </w:tr>
      <w:tr w:rsidR="00D75186" w:rsidTr="00D75186">
        <w:trPr>
          <w:trHeight w:val="1024"/>
        </w:trPr>
        <w:tc>
          <w:tcPr>
            <w:tcW w:w="1518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</w:p>
          <w:p w:rsidR="00D75186" w:rsidRPr="00082747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46,87↑*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4,70±0,38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37,07↓  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56,35±4,27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25,77↑*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94,27±5,18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3,20±0,23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89,54±3,74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75,31±4,58</w:t>
            </w:r>
          </w:p>
        </w:tc>
      </w:tr>
      <w:tr w:rsidR="00D75186" w:rsidTr="00D75186">
        <w:trPr>
          <w:trHeight w:val="336"/>
        </w:trPr>
        <w:tc>
          <w:tcPr>
            <w:tcW w:w="1518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D75186" w:rsidRPr="00DC7A31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18,35↓*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124,6±6,3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225,70↑*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18,37±1,62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62,67↓*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63,56±4,27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152,6±18,4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5,64±0,43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170,26±8,32</w:t>
            </w:r>
          </w:p>
        </w:tc>
      </w:tr>
      <w:tr w:rsidR="00D75186" w:rsidTr="00D75186">
        <w:trPr>
          <w:trHeight w:val="336"/>
        </w:trPr>
        <w:tc>
          <w:tcPr>
            <w:tcW w:w="1518" w:type="dxa"/>
          </w:tcPr>
          <w:p w:rsidR="00D75186" w:rsidRPr="00F71AF8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Са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2+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33,47↓*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1,65±0,17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39,54↓*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0,52±0,06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103,52↑*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1,73±0,16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2,48±0,17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0,86±0,08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0,85±0,07</w:t>
            </w:r>
          </w:p>
        </w:tc>
      </w:tr>
      <w:tr w:rsidR="00D75186" w:rsidTr="00D75186">
        <w:trPr>
          <w:trHeight w:val="336"/>
        </w:trPr>
        <w:tc>
          <w:tcPr>
            <w:tcW w:w="1518" w:type="dxa"/>
          </w:tcPr>
          <w:p w:rsidR="00D75186" w:rsidRPr="00F71AF8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Mg</w:t>
            </w:r>
            <w:r w:rsidRPr="00DC7A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182,47↑*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2,74±0,23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43,17↓*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1,83±0,16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45,10↑*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2,67±0,21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0,97±0,08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3,22±0,27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1,84±0,16</w:t>
            </w:r>
          </w:p>
        </w:tc>
      </w:tr>
      <w:tr w:rsidR="00D75186" w:rsidTr="00D75186">
        <w:trPr>
          <w:trHeight w:val="352"/>
        </w:trPr>
        <w:tc>
          <w:tcPr>
            <w:tcW w:w="1518" w:type="dxa"/>
          </w:tcPr>
          <w:p w:rsidR="00D75186" w:rsidRPr="00B74164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C7A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26,36↑*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2,78±0,19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44,19↓*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21,46±1,24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96,66↑*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3,54±0,28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2,20±0,19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38,45±3,20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1,80±0,14</w:t>
            </w:r>
          </w:p>
        </w:tc>
      </w:tr>
      <w:tr w:rsidR="00D75186" w:rsidTr="00D75186">
        <w:trPr>
          <w:trHeight w:val="336"/>
        </w:trPr>
        <w:tc>
          <w:tcPr>
            <w:tcW w:w="1518" w:type="dxa"/>
          </w:tcPr>
          <w:p w:rsidR="00D75186" w:rsidRPr="001A0A95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DC7A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69,18↑*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41,62±3,58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37,59↓*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144,85±7,12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79,68↑*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5,66±0,44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24,60±1,75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240,10±9,56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3,15±0,23</w:t>
            </w:r>
          </w:p>
        </w:tc>
      </w:tr>
      <w:tr w:rsidR="00D75186" w:rsidTr="00D75186">
        <w:trPr>
          <w:trHeight w:val="336"/>
        </w:trPr>
        <w:tc>
          <w:tcPr>
            <w:tcW w:w="1518" w:type="dxa"/>
          </w:tcPr>
          <w:p w:rsidR="00D75186" w:rsidRPr="001A0A95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DC7A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68,75↓*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8,35±0,74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27,10↓*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118,37±6,43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74,27↑*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223,8±7,5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26,72±2,34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162,37±6,20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128,42±5,20</w:t>
            </w:r>
          </w:p>
        </w:tc>
      </w:tr>
      <w:tr w:rsidR="00D75186" w:rsidTr="00D75186">
        <w:trPr>
          <w:trHeight w:val="336"/>
        </w:trPr>
        <w:tc>
          <w:tcPr>
            <w:tcW w:w="1518" w:type="dxa"/>
          </w:tcPr>
          <w:p w:rsidR="00D75186" w:rsidRPr="000466E1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DC7A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88,56↑*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32,64±2,83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48,06↓*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22,46±1,58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108,33↑*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0,75±0,08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17,31±1,42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43,24±2,73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0,36±0,02</w:t>
            </w:r>
          </w:p>
        </w:tc>
      </w:tr>
      <w:tr w:rsidR="00D75186" w:rsidTr="00D75186">
        <w:trPr>
          <w:trHeight w:val="352"/>
        </w:trPr>
        <w:tc>
          <w:tcPr>
            <w:tcW w:w="1518" w:type="dxa"/>
          </w:tcPr>
          <w:p w:rsidR="00D75186" w:rsidRPr="000466E1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DC7A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/л)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98,62↑*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27,53±1,67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48,24↓*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9,68±0,87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98,88↑*</w:t>
            </w: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12,53±1,13</w:t>
            </w:r>
          </w:p>
        </w:tc>
        <w:tc>
          <w:tcPr>
            <w:tcW w:w="149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13,86±1,37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18,70±1,52</w:t>
            </w:r>
          </w:p>
        </w:tc>
        <w:tc>
          <w:tcPr>
            <w:tcW w:w="1630" w:type="dxa"/>
          </w:tcPr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186" w:rsidRDefault="00D75186" w:rsidP="00756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6,30±0,56</w:t>
            </w:r>
          </w:p>
        </w:tc>
      </w:tr>
    </w:tbl>
    <w:p w:rsidR="00D75186" w:rsidRDefault="00D75186" w:rsidP="000827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* різниця вірогідна (Р&lt;0,05) з контролем.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 xml:space="preserve"> більшості 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еритроцитах згадані показники мали протилежне спрямовання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: вміст іонів К</w:t>
      </w:r>
      <w:r w:rsidR="000827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, Са</w:t>
      </w:r>
      <w:r w:rsidR="000827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, Mg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2747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 xml:space="preserve">знижувався, а 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>двищу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вався (р&lt;0,05). Стосовно вмісту іонів металів в сечі було установлено підвищення К</w:t>
      </w:r>
      <w:r w:rsidR="000827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, Са</w:t>
      </w:r>
      <w:r w:rsidR="000827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, Mg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2747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 xml:space="preserve">і зниження 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динаміки іонів металів у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 xml:space="preserve"> плазмі, еритроцитах і сечі вказує на їх значну екскрецію із організму і затримку іонів </w:t>
      </w:r>
      <w:r w:rsidR="0008274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82747"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, що може бути поєднано з розвитком структурно-метаболічних порушень в різних органах і тканинах та</w:t>
      </w:r>
      <w:r w:rsidR="00A2696F">
        <w:rPr>
          <w:rFonts w:ascii="Times New Roman" w:hAnsi="Times New Roman" w:cs="Times New Roman"/>
          <w:sz w:val="28"/>
          <w:szCs w:val="28"/>
          <w:lang w:val="uk-UA"/>
        </w:rPr>
        <w:t xml:space="preserve"> накопиченням в організмі води 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558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8274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5</w:t>
      </w:r>
    </w:p>
    <w:p w:rsidR="00FE28A5" w:rsidRPr="00FE28A5" w:rsidRDefault="00FE28A5" w:rsidP="0008274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7905A8" w:rsidRDefault="00082747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при поширеній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псоріатичній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значно актив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оксидативні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процеси, які поєднані з</w:t>
      </w:r>
      <w:r w:rsidR="004B25A8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підвищенням рівнів вільних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калів,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дів</w:t>
      </w:r>
      <w:proofErr w:type="spellEnd"/>
      <w:r w:rsidR="000303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303F5">
        <w:rPr>
          <w:rFonts w:ascii="Times New Roman" w:hAnsi="Times New Roman" w:cs="Times New Roman"/>
          <w:sz w:val="28"/>
          <w:szCs w:val="28"/>
          <w:lang w:val="uk-UA"/>
        </w:rPr>
        <w:t>гідроперо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сидів</w:t>
      </w:r>
      <w:proofErr w:type="spellEnd"/>
      <w:r w:rsidR="000303F5">
        <w:rPr>
          <w:rFonts w:ascii="Times New Roman" w:hAnsi="Times New Roman" w:cs="Times New Roman"/>
          <w:sz w:val="28"/>
          <w:szCs w:val="28"/>
          <w:lang w:val="uk-UA"/>
        </w:rPr>
        <w:t>. На цьому тлі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анаеробного, та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к  і аеробного дихання, що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як захисно-пристосувальну реакцію організму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, спрямовану на відновні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синтези і збереження гомеостатичної функції в умовах формування мембранної патології, яка підтверджується втратою іонів   К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, Са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z w:val="28"/>
          <w:szCs w:val="28"/>
          <w:lang w:val="uk-UA"/>
        </w:rPr>
        <w:t>, Mg</w:t>
      </w:r>
      <w:r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DC7A31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5+</w:t>
      </w:r>
      <w:r w:rsidRPr="00DC7A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DC7A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DC7A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затримкою</w:t>
      </w:r>
      <w:r w:rsidR="004B25A8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організмі іонів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C7A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. За таких умов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псоріатичній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м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ожуть формуватися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розлади в </w:t>
      </w:r>
      <w:r w:rsidR="000303F5">
        <w:rPr>
          <w:rFonts w:ascii="Times New Roman" w:hAnsi="Times New Roman" w:cs="Times New Roman"/>
          <w:sz w:val="28"/>
          <w:szCs w:val="28"/>
          <w:lang w:val="uk-UA"/>
        </w:rPr>
        <w:t>різних органах і системах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зму.</w:t>
      </w:r>
    </w:p>
    <w:p w:rsidR="00082747" w:rsidRDefault="00082747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A5" w:rsidRDefault="00FE28A5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A5" w:rsidRDefault="00FE28A5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A5" w:rsidRDefault="00FE28A5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A5" w:rsidRDefault="00FE28A5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A5" w:rsidRDefault="00FE28A5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A5" w:rsidRDefault="00FE28A5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588" w:rsidRDefault="00525588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1E" w:rsidRDefault="008D4D1E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E28A5" w:rsidRDefault="009F4FCC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7905A8" w:rsidRDefault="00082747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Література:</w:t>
      </w:r>
    </w:p>
    <w:p w:rsidR="0071347E" w:rsidRDefault="0071347E" w:rsidP="007134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Гуревич В.С.,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Конторщиков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Шатилина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Сравнительный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//Лаб.дело.-1990.-№4.-с.44-47.</w:t>
      </w:r>
    </w:p>
    <w:p w:rsidR="0071347E" w:rsidRDefault="0071347E" w:rsidP="007134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Дубинина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Е.Е.,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Ефимова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Сафронова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активности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каталазы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//Лаб.дело.-1988.-№8.-с.16-19.</w:t>
      </w:r>
    </w:p>
    <w:p w:rsidR="0071347E" w:rsidRDefault="0071347E" w:rsidP="007134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Задорожный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Питенько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Дезорганизация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соединительной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ткани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D1E">
        <w:rPr>
          <w:rFonts w:ascii="Times New Roman" w:hAnsi="Times New Roman" w:cs="Times New Roman"/>
          <w:sz w:val="28"/>
          <w:szCs w:val="28"/>
          <w:lang w:val="uk-UA"/>
        </w:rPr>
        <w:t>псориазом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="008D4D1E">
        <w:rPr>
          <w:rFonts w:ascii="Times New Roman" w:hAnsi="Times New Roman" w:cs="Times New Roman"/>
          <w:sz w:val="28"/>
          <w:szCs w:val="28"/>
          <w:lang w:val="uk-UA"/>
        </w:rPr>
        <w:t>Дерматология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венерология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- 1991. - С.55-57.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Республиканскиймежведомственныйсборник.-Киев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,1991.-с. 55-57.</w:t>
      </w:r>
    </w:p>
    <w:p w:rsidR="0071347E" w:rsidRDefault="0071347E" w:rsidP="007134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специфический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="008D4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ГПО в еритроцитах //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Дело-1986.-№12.-с.724-727.</w:t>
      </w:r>
    </w:p>
    <w:p w:rsidR="0071347E" w:rsidRPr="00082747" w:rsidRDefault="0071347E" w:rsidP="007134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Лабораторные методы исследования в клинике. Справочник под редакцией проф. В.В. Меньшикова.- Москва, Медицина, 1987.-364с.</w:t>
      </w:r>
    </w:p>
    <w:p w:rsidR="0071347E" w:rsidRDefault="0071347E" w:rsidP="007134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Пегано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Системныеаспектыпсориаза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англ. М.: Мир, 2001.- 380с.</w:t>
      </w:r>
    </w:p>
    <w:p w:rsidR="0071347E" w:rsidRDefault="0071347E" w:rsidP="007134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Чевари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окислительных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определенияеё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биологичекомматериале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дело.-1985.-№11.-с.678-680.</w:t>
      </w:r>
    </w:p>
    <w:p w:rsidR="004B25A8" w:rsidRDefault="0071347E" w:rsidP="004B25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Шкляр С.П.,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Біловол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Вільнорадикальне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окислення при системних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дерматозах.-Харків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2007.- 183с.</w:t>
      </w:r>
    </w:p>
    <w:p w:rsidR="0028142F" w:rsidRDefault="0028142F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6D2" w:rsidRDefault="000A26D2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6D2" w:rsidRDefault="000A26D2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42F" w:rsidRPr="0028142F" w:rsidRDefault="0028142F" w:rsidP="000E21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152" w:rsidRDefault="000E2152" w:rsidP="000E2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152" w:rsidRDefault="000E2152" w:rsidP="00740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152" w:rsidRDefault="000E2152" w:rsidP="007408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5629" w:rsidRDefault="00DD5629" w:rsidP="007408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5629" w:rsidRDefault="00DD5629" w:rsidP="007408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5629" w:rsidRPr="00DD5629" w:rsidRDefault="00DD5629" w:rsidP="007408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2152" w:rsidRDefault="009F4FCC" w:rsidP="007408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6</w:t>
      </w:r>
    </w:p>
    <w:p w:rsidR="00DD5629" w:rsidRPr="00DD5629" w:rsidRDefault="00DD5629" w:rsidP="00DD5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Беловол</w:t>
      </w:r>
      <w:proofErr w:type="spellEnd"/>
      <w:r w:rsidRPr="00DD5629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D562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Галузинск</w:t>
      </w:r>
      <w:r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Pr="00DD5629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Николаева</w:t>
      </w:r>
      <w:proofErr w:type="spellEnd"/>
      <w:r w:rsidRPr="00DD5629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DD5629" w:rsidRDefault="00DD5629" w:rsidP="00DD5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Харьковскийнациональ</w:t>
      </w:r>
      <w:r>
        <w:rPr>
          <w:rFonts w:ascii="Times New Roman" w:hAnsi="Times New Roman" w:cs="Times New Roman"/>
          <w:sz w:val="28"/>
          <w:szCs w:val="28"/>
          <w:lang w:val="uk-UA"/>
        </w:rPr>
        <w:t>ныймедицинскийуниверситет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</w:p>
    <w:p w:rsidR="00DD5629" w:rsidRDefault="00DD5629" w:rsidP="00DD562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>Состояниенекоторыхпоказателейэнергетического</w:t>
      </w:r>
      <w:proofErr w:type="spellEnd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>ионногообмена</w:t>
      </w:r>
      <w:proofErr w:type="spellEnd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>больных</w:t>
      </w:r>
      <w:proofErr w:type="spellEnd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 </w:t>
      </w:r>
      <w:proofErr w:type="spellStart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>распространенным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псориазом</w:t>
      </w:r>
      <w:proofErr w:type="spellEnd"/>
    </w:p>
    <w:p w:rsidR="00DD5629" w:rsidRDefault="00DD5629" w:rsidP="00DD56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Цель</w:t>
      </w:r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>работы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изучениенекоторыхпоказателейионногообмена</w:t>
      </w:r>
      <w:proofErr w:type="spellEnd"/>
      <w:r w:rsidRPr="00DD562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биоэнергетическог</w:t>
      </w:r>
      <w:r>
        <w:rPr>
          <w:rFonts w:ascii="Times New Roman" w:hAnsi="Times New Roman" w:cs="Times New Roman"/>
          <w:sz w:val="28"/>
          <w:szCs w:val="28"/>
          <w:lang w:val="uk-UA"/>
        </w:rPr>
        <w:t>огомеостаза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распространенны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D6C9A">
        <w:rPr>
          <w:rFonts w:ascii="Times New Roman" w:hAnsi="Times New Roman" w:cs="Times New Roman"/>
          <w:sz w:val="28"/>
          <w:szCs w:val="28"/>
          <w:lang w:val="uk-UA"/>
        </w:rPr>
        <w:t>псори</w:t>
      </w:r>
      <w:r w:rsidR="0011187A">
        <w:rPr>
          <w:rFonts w:ascii="Times New Roman" w:hAnsi="Times New Roman" w:cs="Times New Roman"/>
          <w:sz w:val="28"/>
          <w:szCs w:val="28"/>
          <w:lang w:val="uk-UA"/>
        </w:rPr>
        <w:t>азом</w:t>
      </w:r>
      <w:proofErr w:type="spellEnd"/>
      <w:r w:rsidRPr="00DD56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87A" w:rsidRDefault="0011187A" w:rsidP="00DD56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87A">
        <w:rPr>
          <w:rFonts w:ascii="Times New Roman" w:hAnsi="Times New Roman" w:cs="Times New Roman"/>
          <w:b/>
          <w:sz w:val="28"/>
          <w:szCs w:val="28"/>
          <w:lang w:val="uk-UA"/>
        </w:rPr>
        <w:t>Материалы</w:t>
      </w:r>
      <w:proofErr w:type="spellEnd"/>
      <w:r w:rsidRPr="00111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11187A">
        <w:rPr>
          <w:rFonts w:ascii="Times New Roman" w:hAnsi="Times New Roman" w:cs="Times New Roman"/>
          <w:b/>
          <w:sz w:val="28"/>
          <w:szCs w:val="28"/>
          <w:lang w:val="uk-UA"/>
        </w:rPr>
        <w:t>методы</w:t>
      </w:r>
      <w:proofErr w:type="spellEnd"/>
      <w:r w:rsidRPr="0011187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У 37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распространённымпсориазом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метода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атомно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адсорбционной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спектрофотометри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определялисьмикро-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макроэлементы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ионынатрия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калия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кальция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магния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и др.)</w:t>
      </w:r>
      <w:r w:rsidR="00595D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95DC0">
        <w:rPr>
          <w:rFonts w:ascii="Times New Roman" w:hAnsi="Times New Roman" w:cs="Times New Roman"/>
          <w:sz w:val="28"/>
          <w:szCs w:val="28"/>
          <w:lang w:val="uk-UA"/>
        </w:rPr>
        <w:t>ферменты</w:t>
      </w:r>
      <w:proofErr w:type="spellEnd"/>
      <w:r w:rsidR="00595DC0">
        <w:rPr>
          <w:rFonts w:ascii="Times New Roman" w:hAnsi="Times New Roman" w:cs="Times New Roman"/>
          <w:sz w:val="28"/>
          <w:szCs w:val="28"/>
          <w:lang w:val="uk-UA"/>
        </w:rPr>
        <w:t xml:space="preserve"> (ЛДГ, МДГ, СДГ, Г-6-ФГД, </w:t>
      </w:r>
      <w:r w:rsidR="00595DC0">
        <w:rPr>
          <w:rFonts w:ascii="Times New Roman" w:hAnsi="Times New Roman" w:cs="Times New Roman"/>
          <w:sz w:val="28"/>
          <w:szCs w:val="28"/>
        </w:rPr>
        <w:t>ИЗО-ЦДГ</w:t>
      </w:r>
      <w:r w:rsidR="00595D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плазме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 xml:space="preserve"> крови и </w:t>
      </w:r>
      <w:proofErr w:type="spellStart"/>
      <w:r w:rsidR="001F7666">
        <w:rPr>
          <w:rFonts w:ascii="Times New Roman" w:hAnsi="Times New Roman" w:cs="Times New Roman"/>
          <w:sz w:val="28"/>
          <w:szCs w:val="28"/>
          <w:lang w:val="uk-UA"/>
        </w:rPr>
        <w:t>мочебольных</w:t>
      </w:r>
      <w:proofErr w:type="spellEnd"/>
      <w:r w:rsidR="001F7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A37" w:rsidRPr="00DA3C32" w:rsidRDefault="00595DC0" w:rsidP="005E1A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обсуждения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 w:rsidR="00CE793B">
        <w:rPr>
          <w:rFonts w:ascii="Times New Roman" w:hAnsi="Times New Roman" w:cs="Times New Roman"/>
          <w:sz w:val="28"/>
          <w:szCs w:val="28"/>
          <w:lang w:val="uk-UA"/>
        </w:rPr>
        <w:t>Иследованиесостоянияокислительно</w:t>
      </w:r>
      <w:proofErr w:type="spellEnd"/>
      <w:r w:rsidR="00CE79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E793B">
        <w:rPr>
          <w:rFonts w:ascii="Times New Roman" w:hAnsi="Times New Roman" w:cs="Times New Roman"/>
          <w:sz w:val="28"/>
          <w:szCs w:val="28"/>
          <w:lang w:val="uk-UA"/>
        </w:rPr>
        <w:t>восстановительныхпроцессов</w:t>
      </w:r>
      <w:proofErr w:type="spellEnd"/>
      <w:r w:rsidR="00CE793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CE793B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CE793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CE793B">
        <w:rPr>
          <w:rFonts w:ascii="Times New Roman" w:hAnsi="Times New Roman" w:cs="Times New Roman"/>
          <w:sz w:val="28"/>
          <w:szCs w:val="28"/>
          <w:lang w:val="uk-UA"/>
        </w:rPr>
        <w:t>распространённымпсориазомопределилиповышениеактивностикаталазы</w:t>
      </w:r>
      <w:proofErr w:type="spellEnd"/>
      <w:r w:rsidR="00CE79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E793B">
        <w:rPr>
          <w:rFonts w:ascii="Times New Roman" w:hAnsi="Times New Roman" w:cs="Times New Roman"/>
          <w:sz w:val="28"/>
          <w:szCs w:val="28"/>
          <w:lang w:val="uk-UA"/>
        </w:rPr>
        <w:t>глутатионпероксидазы</w:t>
      </w:r>
      <w:proofErr w:type="spellEnd"/>
      <w:r w:rsidR="00CE79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E793B">
        <w:rPr>
          <w:rFonts w:ascii="Times New Roman" w:hAnsi="Times New Roman" w:cs="Times New Roman"/>
          <w:sz w:val="28"/>
          <w:szCs w:val="28"/>
          <w:lang w:val="uk-UA"/>
        </w:rPr>
        <w:t>супероксиддисмутазы</w:t>
      </w:r>
      <w:proofErr w:type="spellEnd"/>
      <w:r w:rsidR="00CE79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E793B">
        <w:rPr>
          <w:rFonts w:ascii="Times New Roman" w:hAnsi="Times New Roman" w:cs="Times New Roman"/>
          <w:sz w:val="28"/>
          <w:szCs w:val="28"/>
          <w:lang w:val="uk-UA"/>
        </w:rPr>
        <w:t>церулоплазмина</w:t>
      </w:r>
      <w:proofErr w:type="spellEnd"/>
      <w:r w:rsidR="00CE793B">
        <w:rPr>
          <w:rFonts w:ascii="Times New Roman" w:hAnsi="Times New Roman" w:cs="Times New Roman"/>
          <w:sz w:val="28"/>
          <w:szCs w:val="28"/>
          <w:lang w:val="uk-UA"/>
        </w:rPr>
        <w:t>. Анализактивностиферментовенергетическогометаболизмавыявилзначительноеповышениеуровней ЛДГ,МДГ,СДГ и ИЗО-ЦДГ</w:t>
      </w:r>
      <w:r w:rsidR="005D0CA2">
        <w:rPr>
          <w:rFonts w:ascii="Times New Roman" w:hAnsi="Times New Roman" w:cs="Times New Roman"/>
          <w:sz w:val="28"/>
          <w:szCs w:val="28"/>
          <w:lang w:val="uk-UA"/>
        </w:rPr>
        <w:t xml:space="preserve">. В еритроцитах в </w:t>
      </w:r>
      <w:proofErr w:type="spellStart"/>
      <w:r w:rsidR="005D0CA2">
        <w:rPr>
          <w:rFonts w:ascii="Times New Roman" w:hAnsi="Times New Roman" w:cs="Times New Roman"/>
          <w:sz w:val="28"/>
          <w:szCs w:val="28"/>
          <w:lang w:val="uk-UA"/>
        </w:rPr>
        <w:t>большинстве</w:t>
      </w:r>
      <w:proofErr w:type="spellEnd"/>
      <w:r w:rsidR="005D0CA2">
        <w:rPr>
          <w:rFonts w:ascii="Times New Roman" w:hAnsi="Times New Roman" w:cs="Times New Roman"/>
          <w:sz w:val="28"/>
          <w:szCs w:val="28"/>
          <w:lang w:val="uk-UA"/>
        </w:rPr>
        <w:t xml:space="preserve"> случав </w:t>
      </w:r>
      <w:proofErr w:type="spellStart"/>
      <w:r w:rsidR="005D0CA2">
        <w:rPr>
          <w:rFonts w:ascii="Times New Roman" w:hAnsi="Times New Roman" w:cs="Times New Roman"/>
          <w:sz w:val="28"/>
          <w:szCs w:val="28"/>
          <w:lang w:val="uk-UA"/>
        </w:rPr>
        <w:t>данныеимелипротивоположноенаправление</w:t>
      </w:r>
      <w:proofErr w:type="spellEnd"/>
      <w:r w:rsidR="005D0C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D0CA2">
        <w:rPr>
          <w:rFonts w:ascii="Times New Roman" w:hAnsi="Times New Roman" w:cs="Times New Roman"/>
          <w:sz w:val="28"/>
          <w:szCs w:val="28"/>
          <w:lang w:val="uk-UA"/>
        </w:rPr>
        <w:t>содержаниеионов</w:t>
      </w:r>
      <w:proofErr w:type="spellEnd"/>
      <w:r w:rsidR="005D0CA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5D0C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5D0CA2">
        <w:rPr>
          <w:rFonts w:ascii="Times New Roman" w:hAnsi="Times New Roman" w:cs="Times New Roman"/>
          <w:sz w:val="28"/>
          <w:szCs w:val="28"/>
          <w:lang w:val="uk-UA"/>
        </w:rPr>
        <w:t>, Са</w:t>
      </w:r>
      <w:r w:rsidR="005D0C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5D0CA2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5D0C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D0CA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5D0CA2">
        <w:rPr>
          <w:rFonts w:ascii="Times New Roman" w:hAnsi="Times New Roman" w:cs="Times New Roman"/>
          <w:sz w:val="28"/>
          <w:szCs w:val="28"/>
        </w:rPr>
        <w:t>, Р</w:t>
      </w:r>
      <w:r w:rsidR="005D0CA2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="005D0CA2">
        <w:rPr>
          <w:rFonts w:ascii="Times New Roman" w:hAnsi="Times New Roman" w:cs="Times New Roman"/>
          <w:sz w:val="28"/>
          <w:szCs w:val="28"/>
        </w:rPr>
        <w:t>,</w:t>
      </w:r>
      <w:r w:rsidR="005D0CA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D0CA2" w:rsidRPr="005D0C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D0CA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E056E">
        <w:rPr>
          <w:rFonts w:ascii="Times New Roman" w:hAnsi="Times New Roman" w:cs="Times New Roman"/>
          <w:sz w:val="28"/>
          <w:szCs w:val="28"/>
        </w:rPr>
        <w:t xml:space="preserve">, </w:t>
      </w:r>
      <w:r w:rsidR="004E056E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4E056E" w:rsidRPr="004E05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056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BD62AA">
        <w:rPr>
          <w:rFonts w:ascii="Times New Roman" w:hAnsi="Times New Roman" w:cs="Times New Roman"/>
          <w:sz w:val="28"/>
          <w:szCs w:val="28"/>
        </w:rPr>
        <w:t>,</w:t>
      </w:r>
      <w:r w:rsidR="004E056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BD62A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BD62A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E056E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4E056E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BD62AA">
        <w:rPr>
          <w:rFonts w:ascii="Times New Roman" w:hAnsi="Times New Roman" w:cs="Times New Roman"/>
          <w:sz w:val="28"/>
          <w:szCs w:val="28"/>
          <w:lang w:val="uk-UA"/>
        </w:rPr>
        <w:t xml:space="preserve">уменшалось, а </w:t>
      </w:r>
      <w:r w:rsidR="00BD62A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D62AA" w:rsidRPr="00BD62A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BD62AA">
        <w:rPr>
          <w:rFonts w:ascii="Times New Roman" w:hAnsi="Times New Roman" w:cs="Times New Roman"/>
          <w:sz w:val="28"/>
          <w:szCs w:val="28"/>
        </w:rPr>
        <w:t xml:space="preserve"> повышалось.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Анализионовметаллов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плазме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эритроцитах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мочеуказывает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ихзначительноевыведениеизорганизма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 и задержку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ионовNa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 +,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чтоможетбытьсопряжено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развитиемструктурно-метаболическихнарушений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 xml:space="preserve"> органах и тканях </w:t>
      </w:r>
      <w:r w:rsidR="0090568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905687">
        <w:rPr>
          <w:rFonts w:ascii="Times New Roman" w:hAnsi="Times New Roman" w:cs="Times New Roman"/>
          <w:sz w:val="28"/>
          <w:szCs w:val="28"/>
          <w:lang w:val="uk-UA"/>
        </w:rPr>
        <w:t>накоплением</w:t>
      </w:r>
      <w:proofErr w:type="spellEnd"/>
      <w:r w:rsidR="0090568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05687">
        <w:rPr>
          <w:rFonts w:ascii="Times New Roman" w:hAnsi="Times New Roman" w:cs="Times New Roman"/>
          <w:sz w:val="28"/>
          <w:szCs w:val="28"/>
          <w:lang w:val="uk-UA"/>
        </w:rPr>
        <w:t>организмеводы</w:t>
      </w:r>
      <w:proofErr w:type="spellEnd"/>
      <w:r w:rsidR="00DA3C32" w:rsidRPr="00DA3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629" w:rsidRPr="003B61E7" w:rsidRDefault="005E1A37" w:rsidP="003B61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B79B2">
        <w:rPr>
          <w:rFonts w:ascii="Times New Roman" w:hAnsi="Times New Roman" w:cs="Times New Roman"/>
          <w:b/>
          <w:sz w:val="28"/>
          <w:szCs w:val="28"/>
          <w:lang w:val="uk-UA"/>
        </w:rPr>
        <w:t>ыводы</w:t>
      </w:r>
      <w:proofErr w:type="spellEnd"/>
      <w:r w:rsidR="003B79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>результатыисследованияпока</w:t>
      </w:r>
      <w:r w:rsidR="003B61E7">
        <w:rPr>
          <w:rFonts w:ascii="Times New Roman" w:hAnsi="Times New Roman" w:cs="Times New Roman"/>
          <w:sz w:val="28"/>
          <w:szCs w:val="28"/>
          <w:lang w:val="uk-UA"/>
        </w:rPr>
        <w:t>зывают</w:t>
      </w:r>
      <w:proofErr w:type="spellEnd"/>
      <w:r w:rsidR="003B61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B61E7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3B61E7">
        <w:rPr>
          <w:rFonts w:ascii="Times New Roman" w:hAnsi="Times New Roman" w:cs="Times New Roman"/>
          <w:sz w:val="28"/>
          <w:szCs w:val="28"/>
          <w:lang w:val="uk-UA"/>
        </w:rPr>
        <w:t xml:space="preserve"> при распространеннойпсориатической</w:t>
      </w:r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>патологиизначит</w:t>
      </w:r>
      <w:r w:rsidR="003B61E7">
        <w:rPr>
          <w:rFonts w:ascii="Times New Roman" w:hAnsi="Times New Roman" w:cs="Times New Roman"/>
          <w:sz w:val="28"/>
          <w:szCs w:val="28"/>
          <w:lang w:val="uk-UA"/>
        </w:rPr>
        <w:t>ельноактивируютсяоксидативные</w:t>
      </w:r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 xml:space="preserve">процессы, </w:t>
      </w:r>
      <w:proofErr w:type="spellStart"/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r w:rsidR="003B61E7">
        <w:rPr>
          <w:rFonts w:ascii="Times New Roman" w:hAnsi="Times New Roman" w:cs="Times New Roman"/>
          <w:sz w:val="28"/>
          <w:szCs w:val="28"/>
          <w:lang w:val="uk-UA"/>
        </w:rPr>
        <w:t>сочетаются</w:t>
      </w:r>
      <w:proofErr w:type="spellEnd"/>
      <w:r w:rsidR="003B61E7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3B61E7">
        <w:rPr>
          <w:rFonts w:ascii="Times New Roman" w:hAnsi="Times New Roman" w:cs="Times New Roman"/>
          <w:sz w:val="28"/>
          <w:szCs w:val="28"/>
          <w:lang w:val="uk-UA"/>
        </w:rPr>
        <w:t>повышениемуровня</w:t>
      </w:r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>свободныхрадикалов</w:t>
      </w:r>
      <w:proofErr w:type="spellEnd"/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>перекисей</w:t>
      </w:r>
      <w:proofErr w:type="spellEnd"/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>гидроперекисей</w:t>
      </w:r>
      <w:proofErr w:type="spellEnd"/>
      <w:r w:rsidR="003B61E7" w:rsidRPr="003B6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629" w:rsidRDefault="00DD5629" w:rsidP="00DD5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DD5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</w:t>
      </w:r>
      <w:r w:rsidR="009056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псориатическая</w:t>
      </w:r>
      <w:proofErr w:type="spellEnd"/>
      <w:r w:rsidR="00905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патология</w:t>
      </w:r>
      <w:proofErr w:type="spellEnd"/>
      <w:r w:rsidRPr="00DD56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ионный</w:t>
      </w:r>
      <w:proofErr w:type="spellEnd"/>
      <w:r w:rsidR="00905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обмен</w:t>
      </w:r>
      <w:proofErr w:type="spellEnd"/>
      <w:r w:rsidRPr="00DD56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D5629">
        <w:rPr>
          <w:rFonts w:ascii="Times New Roman" w:hAnsi="Times New Roman" w:cs="Times New Roman"/>
          <w:sz w:val="28"/>
          <w:szCs w:val="28"/>
          <w:lang w:val="uk-UA"/>
        </w:rPr>
        <w:t>биоэнергетический</w:t>
      </w:r>
      <w:proofErr w:type="spellEnd"/>
      <w:r w:rsidRPr="00DD5629">
        <w:rPr>
          <w:rFonts w:ascii="Times New Roman" w:hAnsi="Times New Roman" w:cs="Times New Roman"/>
          <w:sz w:val="28"/>
          <w:szCs w:val="28"/>
          <w:lang w:val="uk-UA"/>
        </w:rPr>
        <w:t xml:space="preserve"> гомеостаз.</w:t>
      </w:r>
    </w:p>
    <w:p w:rsidR="006564E8" w:rsidRDefault="006564E8" w:rsidP="00DD5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4E8" w:rsidRDefault="006564E8" w:rsidP="00DD5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4E8" w:rsidRDefault="006564E8" w:rsidP="00DD5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4E8" w:rsidRDefault="006564E8" w:rsidP="00DD5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4E8" w:rsidRPr="006564E8" w:rsidRDefault="006564E8" w:rsidP="006564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64E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А.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6564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Belovol</w:t>
      </w:r>
      <w:proofErr w:type="spellEnd"/>
      <w:r w:rsidRPr="006564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6564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Nikolayeva</w:t>
      </w:r>
      <w:proofErr w:type="spellEnd"/>
      <w:r w:rsidRPr="006564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L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564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6564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Galuzinska</w:t>
      </w:r>
      <w:proofErr w:type="spellEnd"/>
    </w:p>
    <w:p w:rsidR="004E0AB3" w:rsidRPr="004E0AB3" w:rsidRDefault="004E0AB3" w:rsidP="004E0A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National Medical </w:t>
      </w:r>
      <w:proofErr w:type="gramStart"/>
      <w:r w:rsidRPr="004E0AB3">
        <w:rPr>
          <w:rFonts w:ascii="Times New Roman" w:hAnsi="Times New Roman" w:cs="Times New Roman"/>
          <w:sz w:val="28"/>
          <w:szCs w:val="28"/>
          <w:lang w:val="en-US"/>
        </w:rPr>
        <w:t>University ,</w:t>
      </w:r>
      <w:proofErr w:type="gram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Ukraine,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4E0AB3" w:rsidRPr="004E0AB3" w:rsidRDefault="004E0AB3" w:rsidP="004E0A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E0AB3">
        <w:rPr>
          <w:rFonts w:ascii="Times New Roman" w:hAnsi="Times New Roman" w:cs="Times New Roman"/>
          <w:b/>
          <w:sz w:val="28"/>
          <w:szCs w:val="28"/>
          <w:lang w:val="en-US"/>
        </w:rPr>
        <w:t>Configuration state of some indices of energy metabolism and ionic exchange in patients with diffused psoriasis.</w:t>
      </w:r>
      <w:proofErr w:type="gramEnd"/>
    </w:p>
    <w:p w:rsidR="004E0AB3" w:rsidRPr="004E0AB3" w:rsidRDefault="00B06299" w:rsidP="004E0A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E0AB3" w:rsidRPr="004E0AB3">
        <w:rPr>
          <w:rFonts w:ascii="Times New Roman" w:hAnsi="Times New Roman" w:cs="Times New Roman"/>
          <w:b/>
          <w:sz w:val="28"/>
          <w:szCs w:val="28"/>
          <w:lang w:val="uk-UA"/>
        </w:rPr>
        <w:t>bjective</w:t>
      </w:r>
      <w:proofErr w:type="spellEnd"/>
      <w:r w:rsidR="004E0AB3" w:rsidRPr="004E0A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9A1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EB0" w:rsidRPr="009A1E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E0AB3"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observation of some indices of ionic exchange and </w:t>
      </w:r>
      <w:proofErr w:type="spellStart"/>
      <w:r w:rsidR="004E0AB3" w:rsidRPr="004E0AB3">
        <w:rPr>
          <w:rFonts w:ascii="Times New Roman" w:hAnsi="Times New Roman" w:cs="Times New Roman"/>
          <w:sz w:val="28"/>
          <w:szCs w:val="28"/>
          <w:lang w:val="en-US"/>
        </w:rPr>
        <w:t>bioenergetic</w:t>
      </w:r>
      <w:proofErr w:type="spellEnd"/>
      <w:r w:rsidR="004E0AB3"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homeostasis in patients with diffused psoriasis. </w:t>
      </w:r>
    </w:p>
    <w:p w:rsidR="004E0AB3" w:rsidRPr="004E0AB3" w:rsidRDefault="004E0AB3" w:rsidP="004E0A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AB3">
        <w:rPr>
          <w:rFonts w:ascii="Times New Roman" w:hAnsi="Times New Roman" w:cs="Times New Roman"/>
          <w:b/>
          <w:sz w:val="28"/>
          <w:szCs w:val="28"/>
          <w:lang w:val="uk-UA"/>
        </w:rPr>
        <w:t>M</w:t>
      </w:r>
      <w:proofErr w:type="spellStart"/>
      <w:r w:rsidRPr="004E0AB3">
        <w:rPr>
          <w:rFonts w:ascii="Times New Roman" w:hAnsi="Times New Roman" w:cs="Times New Roman"/>
          <w:b/>
          <w:sz w:val="28"/>
          <w:szCs w:val="28"/>
          <w:lang w:val="en-US"/>
        </w:rPr>
        <w:t>aterial</w:t>
      </w:r>
      <w:r w:rsidR="009A1EB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4E0A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m</w:t>
      </w:r>
      <w:proofErr w:type="spellStart"/>
      <w:r w:rsidRPr="004E0AB3">
        <w:rPr>
          <w:rFonts w:ascii="Times New Roman" w:hAnsi="Times New Roman" w:cs="Times New Roman"/>
          <w:b/>
          <w:sz w:val="28"/>
          <w:szCs w:val="28"/>
          <w:lang w:val="uk-UA"/>
        </w:rPr>
        <w:t>ethod</w:t>
      </w:r>
      <w:proofErr w:type="spellEnd"/>
      <w:r w:rsidR="009A1EB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A6E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E0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EB0">
        <w:rPr>
          <w:rFonts w:ascii="Times New Roman" w:hAnsi="Times New Roman" w:cs="Times New Roman"/>
          <w:sz w:val="28"/>
          <w:szCs w:val="28"/>
          <w:lang w:val="en-US"/>
        </w:rPr>
        <w:t>Levels m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icro- and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macroelement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0AB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ions of </w:t>
      </w:r>
      <w:proofErr w:type="spellStart"/>
      <w:r w:rsidR="009A1EB0">
        <w:rPr>
          <w:rFonts w:ascii="Times New Roman" w:hAnsi="Times New Roman" w:cs="Times New Roman"/>
          <w:sz w:val="28"/>
          <w:szCs w:val="28"/>
          <w:lang w:val="uk-UA"/>
        </w:rPr>
        <w:t>sodium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1EB0">
        <w:rPr>
          <w:rFonts w:ascii="Times New Roman" w:hAnsi="Times New Roman" w:cs="Times New Roman"/>
          <w:sz w:val="28"/>
          <w:szCs w:val="28"/>
          <w:lang w:val="uk-UA"/>
        </w:rPr>
        <w:t>potassium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1EB0">
        <w:rPr>
          <w:rFonts w:ascii="Times New Roman" w:hAnsi="Times New Roman" w:cs="Times New Roman"/>
          <w:sz w:val="28"/>
          <w:szCs w:val="28"/>
          <w:lang w:val="uk-UA"/>
        </w:rPr>
        <w:t>calcium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1EB0">
        <w:rPr>
          <w:rFonts w:ascii="Times New Roman" w:hAnsi="Times New Roman" w:cs="Times New Roman"/>
          <w:sz w:val="28"/>
          <w:szCs w:val="28"/>
          <w:lang w:val="uk-UA"/>
        </w:rPr>
        <w:t>magnesium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  <w:r w:rsidRPr="004E0AB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enzymes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(lactic </w:t>
      </w:r>
      <w:proofErr w:type="spellStart"/>
      <w:proofErr w:type="gramStart"/>
      <w:r w:rsidRPr="004E0AB3">
        <w:rPr>
          <w:rFonts w:ascii="Times New Roman" w:hAnsi="Times New Roman" w:cs="Times New Roman"/>
          <w:sz w:val="28"/>
          <w:szCs w:val="28"/>
          <w:lang w:val="en-US"/>
        </w:rPr>
        <w:t>dehydrogenase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LDH),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malate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dehydrogenase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(MDH),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succinate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dehydrogenase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(SDH), glucose 6-phosphate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dehydrogenase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(G6PD),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isocitrate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9A1EB0">
        <w:rPr>
          <w:rFonts w:ascii="Times New Roman" w:hAnsi="Times New Roman" w:cs="Times New Roman"/>
          <w:sz w:val="28"/>
          <w:szCs w:val="28"/>
          <w:lang w:val="en-US"/>
        </w:rPr>
        <w:t>hydrogenase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(IDH)) were measure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in 37</w:t>
      </w:r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psoriatic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patients’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plasma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with the us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e of the method of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atomic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adsorption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spectrophotometric</w:t>
      </w:r>
      <w:proofErr w:type="spellEnd"/>
      <w:r w:rsidR="009A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4E0AB3" w:rsidRPr="004E0AB3" w:rsidRDefault="004E0AB3" w:rsidP="004E0A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0AB3">
        <w:rPr>
          <w:rFonts w:ascii="Times New Roman" w:hAnsi="Times New Roman" w:cs="Times New Roman"/>
          <w:b/>
          <w:sz w:val="28"/>
          <w:szCs w:val="28"/>
          <w:lang w:val="uk-UA"/>
        </w:rPr>
        <w:t>Results</w:t>
      </w:r>
      <w:proofErr w:type="spellEnd"/>
      <w:r w:rsidR="00F46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F46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discussion</w:t>
      </w:r>
      <w:r w:rsidR="001A6E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E0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Observation of</w:t>
      </w:r>
      <w:r w:rsidR="00F4677F">
        <w:rPr>
          <w:rFonts w:ascii="Times New Roman" w:hAnsi="Times New Roman" w:cs="Times New Roman"/>
          <w:sz w:val="28"/>
          <w:szCs w:val="28"/>
          <w:lang w:val="en-US"/>
        </w:rPr>
        <w:t xml:space="preserve"> reductive -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oxidative processes in patients with diffused psoriasis indicated an activity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467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crease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catalase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, glutathione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peroxidase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, superoxide dismutase,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caeruloplasmin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. Activity analysis of the enzymes of energy metabolism detected an immense rise in the rate of LDH, MDH, SDH and IDH. In the </w:t>
      </w:r>
      <w:r w:rsidR="00DB47BC">
        <w:rPr>
          <w:rFonts w:ascii="Times New Roman" w:hAnsi="Times New Roman" w:cs="Times New Roman"/>
          <w:sz w:val="28"/>
          <w:szCs w:val="28"/>
          <w:lang w:val="en-US"/>
        </w:rPr>
        <w:t>majority of cases the changes</w:t>
      </w:r>
      <w:r w:rsidR="00F467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7BC">
        <w:rPr>
          <w:rFonts w:ascii="Times New Roman" w:hAnsi="Times New Roman" w:cs="Times New Roman"/>
          <w:sz w:val="28"/>
          <w:szCs w:val="28"/>
          <w:lang w:val="en-US"/>
        </w:rPr>
        <w:t xml:space="preserve">in erythrocytes were directed in the opposite way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: the content of </w:t>
      </w:r>
      <w:r w:rsidR="00DB4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ions of К+, Са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, Мg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, Р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5+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, Zn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, Cu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, Mn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reduced and the content of ions of</w:t>
      </w:r>
      <w:r w:rsidR="00DB4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increased. The analysis of ions of metals in blood plasma and in urine erythrocytes indicates a considerable elimination </w:t>
      </w:r>
      <w:proofErr w:type="gramStart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DB4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in humans and retard of ions of</w:t>
      </w:r>
      <w:r w:rsidR="00DB4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Na</w:t>
      </w:r>
      <w:r w:rsidRPr="004E0AB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proofErr w:type="spellEnd"/>
      <w:r w:rsidR="00DB47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which</w:t>
      </w:r>
      <w:r w:rsidR="00DB4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can be associated with the development of </w:t>
      </w:r>
      <w:r w:rsidR="00DB4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>structural and metabolic abnormalities in different organs and tissues of the h</w:t>
      </w:r>
      <w:r w:rsidR="008C5C14">
        <w:rPr>
          <w:rFonts w:ascii="Times New Roman" w:hAnsi="Times New Roman" w:cs="Times New Roman"/>
          <w:sz w:val="28"/>
          <w:szCs w:val="28"/>
          <w:lang w:val="en-US"/>
        </w:rPr>
        <w:t>uman body as well as with accumulation of water in it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4E0AB3" w:rsidRPr="004E0AB3" w:rsidRDefault="004E0AB3" w:rsidP="004E0A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0AB3">
        <w:rPr>
          <w:rFonts w:ascii="Times New Roman" w:hAnsi="Times New Roman" w:cs="Times New Roman"/>
          <w:b/>
          <w:sz w:val="28"/>
          <w:szCs w:val="28"/>
          <w:lang w:val="uk-UA"/>
        </w:rPr>
        <w:t>Conclusions</w:t>
      </w:r>
      <w:proofErr w:type="spellEnd"/>
      <w:r w:rsidR="001A6EC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A6EC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esults </w:t>
      </w:r>
      <w:proofErr w:type="gramStart"/>
      <w:r w:rsidRPr="004E0AB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A6E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1A6E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research indicate a considerable activity of oxidative processes with diffused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psoriasic</w:t>
      </w:r>
      <w:proofErr w:type="spellEnd"/>
      <w:r w:rsidR="001A6EC2">
        <w:rPr>
          <w:rFonts w:ascii="Times New Roman" w:hAnsi="Times New Roman" w:cs="Times New Roman"/>
          <w:sz w:val="28"/>
          <w:szCs w:val="28"/>
          <w:lang w:val="en-US"/>
        </w:rPr>
        <w:t xml:space="preserve"> conditions  which are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associa</w:t>
      </w:r>
      <w:r w:rsidR="001A6EC2">
        <w:rPr>
          <w:rFonts w:ascii="Times New Roman" w:hAnsi="Times New Roman" w:cs="Times New Roman"/>
          <w:sz w:val="28"/>
          <w:szCs w:val="28"/>
          <w:lang w:val="en-US"/>
        </w:rPr>
        <w:t>ted with the rise of the levels</w:t>
      </w:r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of free radicals, peroxide and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hydroperoxide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AB3" w:rsidRPr="004E0AB3" w:rsidRDefault="004E0AB3" w:rsidP="004E0A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AB3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="00DB47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uk-UA"/>
        </w:rPr>
        <w:t>psoriasic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condition, ionic exchange, </w:t>
      </w:r>
      <w:proofErr w:type="spellStart"/>
      <w:r w:rsidRPr="004E0AB3">
        <w:rPr>
          <w:rFonts w:ascii="Times New Roman" w:hAnsi="Times New Roman" w:cs="Times New Roman"/>
          <w:sz w:val="28"/>
          <w:szCs w:val="28"/>
          <w:lang w:val="en-US"/>
        </w:rPr>
        <w:t>bioenergetic</w:t>
      </w:r>
      <w:proofErr w:type="spellEnd"/>
      <w:r w:rsidRPr="004E0AB3">
        <w:rPr>
          <w:rFonts w:ascii="Times New Roman" w:hAnsi="Times New Roman" w:cs="Times New Roman"/>
          <w:sz w:val="28"/>
          <w:szCs w:val="28"/>
          <w:lang w:val="en-US"/>
        </w:rPr>
        <w:t xml:space="preserve"> homeostasis. </w:t>
      </w:r>
    </w:p>
    <w:p w:rsidR="004E0AB3" w:rsidRPr="004E0AB3" w:rsidRDefault="004E0AB3" w:rsidP="004E0A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64E8" w:rsidRPr="004E0AB3" w:rsidRDefault="006564E8" w:rsidP="00DD56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564E8" w:rsidRPr="004E0AB3" w:rsidSect="0088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D37"/>
    <w:multiLevelType w:val="hybridMultilevel"/>
    <w:tmpl w:val="FF6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3CF"/>
    <w:rsid w:val="000303F5"/>
    <w:rsid w:val="000314D6"/>
    <w:rsid w:val="000466E1"/>
    <w:rsid w:val="000545B9"/>
    <w:rsid w:val="000723CD"/>
    <w:rsid w:val="00082747"/>
    <w:rsid w:val="000963E8"/>
    <w:rsid w:val="000A26D2"/>
    <w:rsid w:val="000C6527"/>
    <w:rsid w:val="000D0E27"/>
    <w:rsid w:val="000D5931"/>
    <w:rsid w:val="000E2152"/>
    <w:rsid w:val="0011187A"/>
    <w:rsid w:val="001A0A95"/>
    <w:rsid w:val="001A6EC2"/>
    <w:rsid w:val="001F311A"/>
    <w:rsid w:val="001F7666"/>
    <w:rsid w:val="00237ABF"/>
    <w:rsid w:val="0025153B"/>
    <w:rsid w:val="0028142F"/>
    <w:rsid w:val="00290F4E"/>
    <w:rsid w:val="002A53CF"/>
    <w:rsid w:val="002E37BD"/>
    <w:rsid w:val="0031444C"/>
    <w:rsid w:val="003553B5"/>
    <w:rsid w:val="003A19FC"/>
    <w:rsid w:val="003B61E7"/>
    <w:rsid w:val="003B79B2"/>
    <w:rsid w:val="003F19F1"/>
    <w:rsid w:val="003F5954"/>
    <w:rsid w:val="00493F3A"/>
    <w:rsid w:val="004B25A8"/>
    <w:rsid w:val="004D6C9A"/>
    <w:rsid w:val="004E056E"/>
    <w:rsid w:val="004E0AB3"/>
    <w:rsid w:val="00525588"/>
    <w:rsid w:val="00550897"/>
    <w:rsid w:val="00557C21"/>
    <w:rsid w:val="005679EC"/>
    <w:rsid w:val="005874F7"/>
    <w:rsid w:val="00595DC0"/>
    <w:rsid w:val="005A2437"/>
    <w:rsid w:val="005D0CA2"/>
    <w:rsid w:val="005E1A37"/>
    <w:rsid w:val="005F2BCF"/>
    <w:rsid w:val="00606E89"/>
    <w:rsid w:val="006509E2"/>
    <w:rsid w:val="006564E8"/>
    <w:rsid w:val="00684558"/>
    <w:rsid w:val="006A0BBA"/>
    <w:rsid w:val="006E4539"/>
    <w:rsid w:val="006F1D51"/>
    <w:rsid w:val="0071347E"/>
    <w:rsid w:val="0074086E"/>
    <w:rsid w:val="007418F2"/>
    <w:rsid w:val="00767A80"/>
    <w:rsid w:val="007905A8"/>
    <w:rsid w:val="008128B4"/>
    <w:rsid w:val="0085474C"/>
    <w:rsid w:val="008652EA"/>
    <w:rsid w:val="00882A1D"/>
    <w:rsid w:val="00887900"/>
    <w:rsid w:val="008C5C14"/>
    <w:rsid w:val="008D4D1E"/>
    <w:rsid w:val="008E1725"/>
    <w:rsid w:val="00905687"/>
    <w:rsid w:val="00971EDB"/>
    <w:rsid w:val="00981769"/>
    <w:rsid w:val="00982473"/>
    <w:rsid w:val="009A1EB0"/>
    <w:rsid w:val="009F4FCC"/>
    <w:rsid w:val="009F528B"/>
    <w:rsid w:val="00A16D4E"/>
    <w:rsid w:val="00A2696F"/>
    <w:rsid w:val="00AB7D73"/>
    <w:rsid w:val="00AD4E42"/>
    <w:rsid w:val="00AE7386"/>
    <w:rsid w:val="00B06299"/>
    <w:rsid w:val="00B23F1C"/>
    <w:rsid w:val="00B6034A"/>
    <w:rsid w:val="00B72664"/>
    <w:rsid w:val="00B74164"/>
    <w:rsid w:val="00BA266F"/>
    <w:rsid w:val="00BA6A0C"/>
    <w:rsid w:val="00BD62AA"/>
    <w:rsid w:val="00C362FC"/>
    <w:rsid w:val="00C833CB"/>
    <w:rsid w:val="00CC32B1"/>
    <w:rsid w:val="00CE793B"/>
    <w:rsid w:val="00CF722C"/>
    <w:rsid w:val="00D75186"/>
    <w:rsid w:val="00D82627"/>
    <w:rsid w:val="00DA3C32"/>
    <w:rsid w:val="00DB47BC"/>
    <w:rsid w:val="00DC1968"/>
    <w:rsid w:val="00DC7A31"/>
    <w:rsid w:val="00DD39A6"/>
    <w:rsid w:val="00DD5629"/>
    <w:rsid w:val="00E46629"/>
    <w:rsid w:val="00E856E3"/>
    <w:rsid w:val="00E92DD4"/>
    <w:rsid w:val="00F17C1D"/>
    <w:rsid w:val="00F4677F"/>
    <w:rsid w:val="00F71AF8"/>
    <w:rsid w:val="00FB6194"/>
    <w:rsid w:val="00FE28A5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C360-5FF6-45F0-9631-748AADA7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4294948702</TotalTime>
  <Pages>9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2015-12-11T08:16:00Z</dcterms:created>
  <dcterms:modified xsi:type="dcterms:W3CDTF">2016-12-09T07:21:00Z</dcterms:modified>
</cp:coreProperties>
</file>