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AA" w:rsidRPr="00587EAA" w:rsidRDefault="00587EAA" w:rsidP="00587EAA">
      <w:pPr>
        <w:tabs>
          <w:tab w:val="left" w:pos="3225"/>
        </w:tabs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</w:pPr>
      <w:r w:rsidRPr="009526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 xml:space="preserve">  </w:t>
      </w:r>
      <w:r w:rsidRPr="00587EA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 xml:space="preserve">РОЛЬ ОМЕНТИНА В </w:t>
      </w:r>
      <w:proofErr w:type="gramStart"/>
      <w:r w:rsidRPr="00587EA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>КАРДИОВАСКУЛЯРНОМ</w:t>
      </w:r>
      <w:proofErr w:type="gramEnd"/>
      <w:r w:rsidRPr="00587EA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 xml:space="preserve"> РЕМОДЕЛИРОВАНИИ И МЕТАБОЛИЧЕСКИХ НАРУШЕНИЯХ У ПАЦИЕНТОВ С САХАРНЫМ ДИАБЕТОМ 2 ТИПА И АРТЕРИАЛЬНОЙ ГИПЕРТЕНЗИЕЙ В ЗАВИСИМОСТИ ОТ МАССЫ ТЕЛА</w:t>
      </w:r>
    </w:p>
    <w:p w:rsidR="00587EAA" w:rsidRPr="00587EAA" w:rsidRDefault="00587EAA" w:rsidP="00587EAA">
      <w:pPr>
        <w:tabs>
          <w:tab w:val="left" w:pos="3225"/>
        </w:tabs>
        <w:spacing w:after="0" w:line="240" w:lineRule="auto"/>
        <w:ind w:firstLine="72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</w:pP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Бобронникова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Л.Р., Ильченко И.А., Аль </w:t>
      </w:r>
      <w:proofErr w:type="gram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-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Т</w:t>
      </w:r>
      <w:proofErr w:type="gram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равнех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Е.В.</w:t>
      </w:r>
    </w:p>
    <w:p w:rsidR="00587EAA" w:rsidRPr="00587EAA" w:rsidRDefault="00587EAA" w:rsidP="00587EAA">
      <w:pPr>
        <w:tabs>
          <w:tab w:val="left" w:pos="3225"/>
        </w:tabs>
        <w:spacing w:after="0" w:line="240" w:lineRule="auto"/>
        <w:ind w:firstLine="720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</w:pP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>Харьковский национальный медицинский университет, Харьков</w:t>
      </w:r>
    </w:p>
    <w:p w:rsidR="00587EAA" w:rsidRPr="00587EAA" w:rsidRDefault="00587EAA" w:rsidP="00587EAA">
      <w:pPr>
        <w:tabs>
          <w:tab w:val="left" w:pos="3225"/>
        </w:tabs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587EA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>Актуальность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Сахарный диабет (СД) и артериальная 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гипертензия (АГ)  часто являются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коморбидными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 xml:space="preserve"> состояниями. 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Для  больных СД 2-го типа  характерна избыточная масса тела или ожирение. Жировая ткань является эндокринным органом, продуцирующим значительное количество гормонов –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адипокинов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Одним из недавно </w:t>
      </w:r>
      <w:proofErr w:type="gram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открытых</w:t>
      </w:r>
      <w:proofErr w:type="gram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адипокинов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является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оментин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В настоящее время активно изучается взаимосвязь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оментина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инсулинорезистентностью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и развитием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кардиометаболических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нарушений.</w:t>
      </w:r>
    </w:p>
    <w:p w:rsidR="00587EAA" w:rsidRPr="00587EAA" w:rsidRDefault="00587EAA" w:rsidP="00587EAA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587EA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>Цель: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оценить взаимосвязь между уровнем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оментина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в плазме крови и прогрессированием кардиоваскулярного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ремоделирования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и метаболических нарушений у пациентов с АГ в сочетании с СД 2 типа в зависимости от массы тела.</w:t>
      </w:r>
    </w:p>
    <w:p w:rsidR="00587EAA" w:rsidRPr="00587EAA" w:rsidRDefault="00587EAA" w:rsidP="00587EAA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587EA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>Материалы и методы исследования.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eastAsia="uk-UA"/>
        </w:rPr>
        <w:t>Исс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ледовано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eastAsia="uk-UA"/>
        </w:rPr>
        <w:t xml:space="preserve"> 87 пациентов с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АГ 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</w:rPr>
        <w:t>II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стадии и 2-й степени. Средний возраст пациентов составил 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54,7±5,4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года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. Пациенты разделены на группы: 1-я группа (</w:t>
      </w:r>
      <w:proofErr w:type="gram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п</w:t>
      </w:r>
      <w:proofErr w:type="gram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=45) с сочетанным течением СД 2 типа и АГ; 2-я группа (п=42) пациенты с АГ без СД 2 типа. Контрольная группа (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</w:rPr>
        <w:t>n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=20) была сопоставима по возрасту и полу.</w:t>
      </w:r>
    </w:p>
    <w:p w:rsidR="00587EAA" w:rsidRPr="00587EAA" w:rsidRDefault="00587EAA" w:rsidP="00587EAA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Диагностику АГ проводи</w:t>
      </w:r>
      <w:bookmarkStart w:id="0" w:name="_GoBack"/>
      <w:bookmarkEnd w:id="0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ли согласно рекомендациям Европейского общества по АГ и Европейского общества кардиологов (ESH/ESC,2013), а также Украинской ассоциации кардиологов по профилактике и лечению АГ (2013).  Для верификации диагноза абдоминального ожирения (АО) проводили антропометрические измерения с расчетом индекса массы тела (ИМТ) и степени ожирения согласно критериям IDF (2015).  Диагноз СД 2 типа устанавливали </w:t>
      </w:r>
      <w:proofErr w:type="gram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согласно</w:t>
      </w:r>
      <w:proofErr w:type="gram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общих рекомендаций Европейской Ассоциации по изучению СД (EASD, 2013). </w:t>
      </w:r>
    </w:p>
    <w:p w:rsidR="00587EAA" w:rsidRPr="00587EAA" w:rsidRDefault="00587EAA" w:rsidP="009F7D23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Уровень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оментина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определяли методом иммуноферментного анализа с  помощью набора реагентов «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  <w:t>Bio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 w:bidi="ar-LB"/>
        </w:rPr>
        <w:t xml:space="preserve"> 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bidi="ar-LB"/>
        </w:rPr>
        <w:t>Vendor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» (Чешская Республика). Содержание  фактора некроза опухолей - альфа (ФНО - 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</w:rPr>
        <w:t>α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) и</w:t>
      </w:r>
      <w:proofErr w:type="gram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С</w:t>
      </w:r>
      <w:proofErr w:type="gram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- реактивного протеина (СРП) исследовали иммуноферментным методом с набором реагентов «DRG» (США). Определяли липидный спектр сыворотки крови и  индекс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инсулинорезистентности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(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</w:rPr>
        <w:t>HOMA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</w:rPr>
        <w:t>IR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).</w:t>
      </w:r>
      <w:r w:rsidRPr="00587EAA">
        <w:rPr>
          <w:sz w:val="28"/>
          <w:szCs w:val="28"/>
          <w:lang w:val="ru-RU"/>
        </w:rPr>
        <w:t xml:space="preserve"> 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Исследование  липидного обмена: содержание общего холестерина (ОХ) в сыворотке крови,  липопротеидов низкой плотности (ХСЛПНП), липопротеидов высокой плотности 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lastRenderedPageBreak/>
        <w:t xml:space="preserve">(ХСЛПВП),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триглицеридов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(ТГ) проводили  иммуноферментным методом. Глюкозу крови натощак (ГКН) определяли по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общестандартной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методике. </w:t>
      </w:r>
    </w:p>
    <w:p w:rsidR="00587EAA" w:rsidRPr="00587EAA" w:rsidRDefault="00587EAA" w:rsidP="00587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7EAA">
        <w:rPr>
          <w:rFonts w:ascii="Times New Roman" w:hAnsi="Times New Roman" w:cs="Times New Roman"/>
          <w:sz w:val="28"/>
          <w:szCs w:val="28"/>
          <w:lang w:val="ru-RU"/>
        </w:rPr>
        <w:t>Эхокардиографию</w:t>
      </w:r>
      <w:proofErr w:type="spellEnd"/>
      <w:r w:rsidRPr="00587EAA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 по стандартным методикам согласно рекомендациям Американского </w:t>
      </w:r>
      <w:proofErr w:type="spellStart"/>
      <w:r w:rsidRPr="00587EAA">
        <w:rPr>
          <w:rFonts w:ascii="Times New Roman" w:hAnsi="Times New Roman" w:cs="Times New Roman"/>
          <w:sz w:val="28"/>
          <w:szCs w:val="28"/>
          <w:lang w:val="ru-RU"/>
        </w:rPr>
        <w:t>эхокардиального</w:t>
      </w:r>
      <w:proofErr w:type="spellEnd"/>
      <w:r w:rsidRPr="00587EAA">
        <w:rPr>
          <w:rFonts w:ascii="Times New Roman" w:hAnsi="Times New Roman" w:cs="Times New Roman"/>
          <w:sz w:val="28"/>
          <w:szCs w:val="28"/>
          <w:lang w:val="ru-RU"/>
        </w:rPr>
        <w:t xml:space="preserve"> общества (2015) с определением размеров толщины межжелудочковой перегородки (ТМЖП), задней стенки левого желудочка (ТЗСЛЖ)  в конце диастолы, конечного систолического размера (КСР), фракционного выброса (ФВ) ЛЖ;   ультразвуковое исследование общих сонных артерий с измерением толщины комплекса </w:t>
      </w:r>
      <w:proofErr w:type="spellStart"/>
      <w:r w:rsidRPr="00587EAA">
        <w:rPr>
          <w:rFonts w:ascii="Times New Roman" w:hAnsi="Times New Roman" w:cs="Times New Roman"/>
          <w:sz w:val="28"/>
          <w:szCs w:val="28"/>
          <w:lang w:val="ru-RU"/>
        </w:rPr>
        <w:t>интима-медиа</w:t>
      </w:r>
      <w:proofErr w:type="spellEnd"/>
      <w:r w:rsidRPr="00587EAA">
        <w:rPr>
          <w:rFonts w:ascii="Times New Roman" w:hAnsi="Times New Roman" w:cs="Times New Roman"/>
          <w:sz w:val="28"/>
          <w:szCs w:val="28"/>
          <w:lang w:val="ru-RU"/>
        </w:rPr>
        <w:t xml:space="preserve"> общих сонных артерий (ТИМ ОСА).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Статистическую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обработку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полученных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результатов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проведено с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использованием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пакета програм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>Statistica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uk-UA" w:eastAsia="uk-UA"/>
        </w:rPr>
        <w:t xml:space="preserve"> 8,0.</w:t>
      </w:r>
    </w:p>
    <w:p w:rsidR="00587EAA" w:rsidRPr="00587EAA" w:rsidRDefault="00587EAA" w:rsidP="00587EAA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587EA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>Результаты.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Увеличение массы тела наблюдались у 71,6 % пациентов 1-й группы и у 45,2 % пациентов 2-й группы. При оценке показателей липидного спектра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дислипидемия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достоверно чаще встречалась у больных с сочетанным течением заболевания, в сравнении с пациентами 2-й группы (89,6% и 45,2% соответственно; </w:t>
      </w:r>
      <w:proofErr w:type="spellStart"/>
      <w:proofErr w:type="gram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 w:rsidRPr="00587EAA">
        <w:rPr>
          <w:rFonts w:asciiTheme="majorBidi" w:hAnsiTheme="majorBidi" w:cstheme="majorBidi"/>
          <w:sz w:val="28"/>
          <w:szCs w:val="28"/>
          <w:lang w:val="ru-RU"/>
        </w:rPr>
        <w:t>&lt;0,05). Содержание СРП и значение НОМА-</w:t>
      </w:r>
      <w:r w:rsidRPr="00587EAA">
        <w:rPr>
          <w:rFonts w:asciiTheme="majorBidi" w:hAnsiTheme="majorBidi" w:cstheme="majorBidi"/>
          <w:sz w:val="28"/>
          <w:szCs w:val="28"/>
        </w:rPr>
        <w:t>IR</w:t>
      </w:r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у пациентов 1-й группы были достоверно выше в сравнении с показателями 2-й группы (</w:t>
      </w:r>
      <w:proofErr w:type="spellStart"/>
      <w:proofErr w:type="gram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 w:rsidRPr="00587EAA">
        <w:rPr>
          <w:rFonts w:asciiTheme="majorBidi" w:hAnsiTheme="majorBidi" w:cstheme="majorBidi"/>
          <w:sz w:val="28"/>
          <w:szCs w:val="28"/>
          <w:lang w:val="ru-RU"/>
        </w:rPr>
        <w:t>&lt;0,01). Гипертрофия миокарда левого желудочка (ГЛЖ) выявлена у 68,2 % пациентов 1-й группы и у 36,2% пациентов 2-й группы (</w:t>
      </w:r>
      <w:proofErr w:type="spellStart"/>
      <w:proofErr w:type="gram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 w:rsidRPr="00587EAA">
        <w:rPr>
          <w:rFonts w:asciiTheme="majorBidi" w:hAnsiTheme="majorBidi" w:cstheme="majorBidi"/>
          <w:sz w:val="28"/>
          <w:szCs w:val="28"/>
          <w:lang w:val="ru-RU"/>
        </w:rPr>
        <w:t>&lt;0,05). ТИМ ОСА у пациентов 1-й группы была достоверно больше, чем в группе сравнения (</w:t>
      </w:r>
      <w:proofErr w:type="spellStart"/>
      <w:proofErr w:type="gram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&lt;0,001) и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коррелировала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с уровнем ОХС (г = 0,46;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>&lt;0,01), НОМА-</w:t>
      </w:r>
      <w:r w:rsidRPr="00587EAA">
        <w:rPr>
          <w:rFonts w:asciiTheme="majorBidi" w:hAnsiTheme="majorBidi" w:cstheme="majorBidi"/>
          <w:sz w:val="28"/>
          <w:szCs w:val="28"/>
        </w:rPr>
        <w:t>IR</w:t>
      </w:r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(г = 0,44;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&lt;0,01). Уровень 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оментина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в 1-й группе был снижен в сравнении со 2 -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й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группой и контролем (</w:t>
      </w:r>
      <w:proofErr w:type="spellStart"/>
      <w:proofErr w:type="gram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&lt;0,05) и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коррелировал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со степенью ожирения (</w:t>
      </w:r>
      <w:r w:rsidRPr="00587EAA">
        <w:rPr>
          <w:rFonts w:asciiTheme="majorBidi" w:hAnsiTheme="majorBidi" w:cstheme="majorBidi"/>
          <w:sz w:val="28"/>
          <w:szCs w:val="28"/>
        </w:rPr>
        <w:t>p</w:t>
      </w:r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&lt;0,05). Отмечена обратная корреляционная взаимосвязь между содержанием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оментина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 в плазме крови и показателями САД (г = -0,71; </w:t>
      </w:r>
      <w:proofErr w:type="spellStart"/>
      <w:proofErr w:type="gram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&lt;0,05 ), ДАД (г = -0,69;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&lt;0,001), ГЛЖ (г =-0,66;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>&lt; 0,05), ИМТ (</w:t>
      </w:r>
      <w:r w:rsidRPr="00587EAA">
        <w:rPr>
          <w:rFonts w:asciiTheme="majorBidi" w:hAnsiTheme="majorBidi" w:cstheme="majorBidi"/>
          <w:sz w:val="28"/>
          <w:szCs w:val="28"/>
        </w:rPr>
        <w:t>r</w:t>
      </w:r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=-0,34;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&lt;0,05), уровнем ТГ (г = -0,42;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&lt;0,001), СРБ  (г=-0,36;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&lt;0,001), ФНО - альфа (г=-0,42;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>&lt;0,001) и степенью выраженности ТИМ ОСА (</w:t>
      </w:r>
      <w:r w:rsidRPr="00587EAA">
        <w:rPr>
          <w:rFonts w:asciiTheme="majorBidi" w:hAnsiTheme="majorBidi" w:cstheme="majorBidi"/>
          <w:sz w:val="28"/>
          <w:szCs w:val="28"/>
        </w:rPr>
        <w:t>r</w:t>
      </w:r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=-0,34; </w:t>
      </w:r>
      <w:proofErr w:type="spellStart"/>
      <w:proofErr w:type="gram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&lt;0,05), а положительная связь между уровнем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оментина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и содержанием ЛПВП (г = 0,42;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&lt;0,001). Также установлена обратная связь между уровнем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оментина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и глюкозы (г=-0,32; </w:t>
      </w:r>
      <w:proofErr w:type="spellStart"/>
      <w:proofErr w:type="gram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proofErr w:type="gramEnd"/>
      <w:r w:rsidRPr="00587EAA">
        <w:rPr>
          <w:rFonts w:asciiTheme="majorBidi" w:hAnsiTheme="majorBidi" w:cstheme="majorBidi"/>
          <w:sz w:val="28"/>
          <w:szCs w:val="28"/>
          <w:lang w:val="ru-RU"/>
        </w:rPr>
        <w:t>&lt;0,05), HOMA-</w:t>
      </w:r>
      <w:r w:rsidRPr="00587EAA">
        <w:rPr>
          <w:rFonts w:asciiTheme="majorBidi" w:hAnsiTheme="majorBidi" w:cstheme="majorBidi"/>
          <w:sz w:val="28"/>
          <w:szCs w:val="28"/>
        </w:rPr>
        <w:t>IR</w:t>
      </w:r>
      <w:r w:rsidRPr="00587EAA">
        <w:rPr>
          <w:rFonts w:asciiTheme="majorBidi" w:hAnsiTheme="majorBidi" w:cstheme="majorBidi"/>
          <w:sz w:val="28"/>
          <w:szCs w:val="28"/>
          <w:lang w:val="ru-RU"/>
        </w:rPr>
        <w:t xml:space="preserve"> (г = -0,44; </w:t>
      </w:r>
      <w:proofErr w:type="spellStart"/>
      <w:r w:rsidRPr="00587EAA">
        <w:rPr>
          <w:rFonts w:asciiTheme="majorBidi" w:hAnsiTheme="majorBidi" w:cstheme="majorBidi"/>
          <w:sz w:val="28"/>
          <w:szCs w:val="28"/>
          <w:lang w:val="ru-RU"/>
        </w:rPr>
        <w:t>р</w:t>
      </w:r>
      <w:proofErr w:type="spellEnd"/>
      <w:r w:rsidRPr="00587EAA">
        <w:rPr>
          <w:rFonts w:asciiTheme="majorBidi" w:hAnsiTheme="majorBidi" w:cstheme="majorBidi"/>
          <w:sz w:val="28"/>
          <w:szCs w:val="28"/>
          <w:lang w:val="ru-RU"/>
        </w:rPr>
        <w:t>&lt;0,001).</w:t>
      </w:r>
    </w:p>
    <w:p w:rsidR="00587EAA" w:rsidRPr="00587EAA" w:rsidRDefault="00587EAA" w:rsidP="00587EAA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587EAA">
        <w:rPr>
          <w:rFonts w:asciiTheme="majorBidi" w:hAnsiTheme="majorBidi" w:cstheme="majorBidi"/>
          <w:b/>
          <w:bCs/>
          <w:sz w:val="28"/>
          <w:szCs w:val="28"/>
          <w:lang w:val="ru-RU"/>
        </w:rPr>
        <w:t>В</w:t>
      </w:r>
      <w:r w:rsidRPr="00587EA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 w:bidi="ar-LB"/>
        </w:rPr>
        <w:t>ыводы.</w:t>
      </w:r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Установлено, что показатели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оментина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изменяются в зависимости от степени ожирения. У пациентов с сочетанной патологией АГ и СД 2 типа усиливается 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инсулинорезистентность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, снижается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уровнь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оментина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в сыворотке крови, что способствует нарушению углеводного обмена,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дислипидемии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, развитию системного воспаления и как следствие прогрессированию кардиоваскулярного </w:t>
      </w:r>
      <w:proofErr w:type="spellStart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ремоделирования</w:t>
      </w:r>
      <w:proofErr w:type="spellEnd"/>
      <w:r w:rsidRPr="00587EAA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    </w:t>
      </w:r>
    </w:p>
    <w:sectPr w:rsidR="00587EAA" w:rsidRPr="00587EAA" w:rsidSect="0080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33" w:rsidRDefault="00080233" w:rsidP="005E3FD7">
      <w:pPr>
        <w:spacing w:after="0" w:line="240" w:lineRule="auto"/>
      </w:pPr>
      <w:r>
        <w:separator/>
      </w:r>
    </w:p>
  </w:endnote>
  <w:endnote w:type="continuationSeparator" w:id="0">
    <w:p w:rsidR="00080233" w:rsidRDefault="00080233" w:rsidP="005E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33" w:rsidRDefault="00080233" w:rsidP="005E3FD7">
      <w:pPr>
        <w:spacing w:after="0" w:line="240" w:lineRule="auto"/>
      </w:pPr>
      <w:r>
        <w:separator/>
      </w:r>
    </w:p>
  </w:footnote>
  <w:footnote w:type="continuationSeparator" w:id="0">
    <w:p w:rsidR="00080233" w:rsidRDefault="00080233" w:rsidP="005E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EAA"/>
    <w:rsid w:val="00080233"/>
    <w:rsid w:val="001929DE"/>
    <w:rsid w:val="004811E5"/>
    <w:rsid w:val="00587EAA"/>
    <w:rsid w:val="005E3FD7"/>
    <w:rsid w:val="006C4D63"/>
    <w:rsid w:val="00800876"/>
    <w:rsid w:val="008919BF"/>
    <w:rsid w:val="00952613"/>
    <w:rsid w:val="009C513B"/>
    <w:rsid w:val="009F7D23"/>
    <w:rsid w:val="00B62BD3"/>
    <w:rsid w:val="00C439E7"/>
    <w:rsid w:val="00CD34B9"/>
    <w:rsid w:val="00F2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FD7"/>
  </w:style>
  <w:style w:type="paragraph" w:styleId="a5">
    <w:name w:val="footer"/>
    <w:basedOn w:val="a"/>
    <w:link w:val="a6"/>
    <w:uiPriority w:val="99"/>
    <w:semiHidden/>
    <w:unhideWhenUsed/>
    <w:rsid w:val="005E3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2016-10-18T05:03:00Z</dcterms:created>
  <dcterms:modified xsi:type="dcterms:W3CDTF">2016-12-09T08:54:00Z</dcterms:modified>
</cp:coreProperties>
</file>