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6" w:rsidRPr="008A5EB6" w:rsidRDefault="008A5EB6" w:rsidP="008A5EB6">
      <w:pPr>
        <w:spacing w:after="0" w:line="360" w:lineRule="auto"/>
        <w:ind w:firstLine="709"/>
        <w:jc w:val="both"/>
      </w:pPr>
      <w:r w:rsidRPr="008A5EB6">
        <w:rPr>
          <w:b/>
          <w:bCs/>
        </w:rPr>
        <w:t>Технологический поход к системе оценивания знаний</w:t>
      </w:r>
    </w:p>
    <w:p w:rsidR="008A5EB6" w:rsidRPr="008A5EB6" w:rsidRDefault="008A5EB6" w:rsidP="008A5EB6">
      <w:pPr>
        <w:spacing w:after="0" w:line="360" w:lineRule="auto"/>
        <w:ind w:firstLine="709"/>
        <w:jc w:val="both"/>
      </w:pPr>
      <w:r w:rsidRPr="008A5EB6">
        <w:rPr>
          <w:b/>
          <w:bCs/>
        </w:rPr>
        <w:t>Козуб С.Н., Козуб П.А.</w:t>
      </w:r>
    </w:p>
    <w:p w:rsidR="008A5EB6" w:rsidRPr="008A5EB6" w:rsidRDefault="008A5EB6" w:rsidP="008A5EB6">
      <w:pPr>
        <w:spacing w:after="0" w:line="360" w:lineRule="auto"/>
        <w:ind w:firstLine="709"/>
        <w:jc w:val="both"/>
      </w:pPr>
      <w:r w:rsidRPr="008A5EB6">
        <w:rPr>
          <w:i/>
          <w:iCs/>
        </w:rPr>
        <w:t>Харьковский национальный медицинский университет, г</w:t>
      </w:r>
      <w:proofErr w:type="gramStart"/>
      <w:r w:rsidRPr="008A5EB6">
        <w:rPr>
          <w:i/>
          <w:iCs/>
        </w:rPr>
        <w:t>.Х</w:t>
      </w:r>
      <w:proofErr w:type="gramEnd"/>
      <w:r w:rsidRPr="008A5EB6">
        <w:rPr>
          <w:i/>
          <w:iCs/>
        </w:rPr>
        <w:t>арьков</w:t>
      </w:r>
    </w:p>
    <w:p w:rsidR="008A5EB6" w:rsidRPr="008A5EB6" w:rsidRDefault="008A5EB6" w:rsidP="008A5EB6">
      <w:pPr>
        <w:spacing w:after="0" w:line="360" w:lineRule="auto"/>
        <w:ind w:firstLine="709"/>
        <w:jc w:val="both"/>
      </w:pPr>
      <w:r w:rsidRPr="008A5EB6">
        <w:rPr>
          <w:i/>
          <w:iCs/>
        </w:rPr>
        <w:t>КУ«ХЦИЭД «Дом учителя» Харьковского областного совета», г</w:t>
      </w:r>
      <w:proofErr w:type="gramStart"/>
      <w:r w:rsidRPr="008A5EB6">
        <w:rPr>
          <w:i/>
          <w:iCs/>
        </w:rPr>
        <w:t>.Х</w:t>
      </w:r>
      <w:proofErr w:type="gramEnd"/>
      <w:r w:rsidRPr="008A5EB6">
        <w:rPr>
          <w:i/>
          <w:iCs/>
        </w:rPr>
        <w:t>арьков</w:t>
      </w:r>
    </w:p>
    <w:p w:rsidR="00434DEC" w:rsidRDefault="00434DEC" w:rsidP="00434DEC">
      <w:pPr>
        <w:spacing w:after="0" w:line="360" w:lineRule="auto"/>
        <w:ind w:firstLine="709"/>
        <w:jc w:val="both"/>
      </w:pPr>
      <w:r>
        <w:t>О</w:t>
      </w:r>
      <w:r w:rsidRPr="00434DEC">
        <w:t>ценивание качества знаний студентов — одна из наиболее важных проблем образовательного процесса, поскольку правильная оценка уровня знаний позволяет скорректировать объем и методику подачи учебного материала, оценить эффективность работы, как учащихся, так и преподавателя [1, 2]. Кроме того, правильная система оценивания может рассматриваться не только как способ контроля, но и как способ стимулирования процесса обучения [3].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 xml:space="preserve">Следует отметить, </w:t>
      </w:r>
      <w:proofErr w:type="gramStart"/>
      <w:r w:rsidRPr="00434DEC">
        <w:t>что</w:t>
      </w:r>
      <w:proofErr w:type="gramEnd"/>
      <w:r w:rsidRPr="00434DEC">
        <w:t xml:space="preserve"> несмотря на важность проблемы выбора системы оценивания и ее немалый возраст, до сих пор отсутствуют общепринятые научные подходы к ее решению. Зачастую дискуссии сводятся либо к чисто техническим вопросам определенных видов оценивания (тестирование, контрольные работы, экзамены), либо к обсуждению отдельных аспектов выбора той или иной системы оценивания (количество баллов, способы их получения и т.д.) [4, 5].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И основной причиной, по нашему мнению, является «гуманитарный» подход к данной проблеме, заключающийся в отсутствии системности, связи системы оценивания с объектом оценивания, выбора оптимального метода оценивания. Более продуктивным является подход, рассматривающий оценивание как технологию достижения некоего педагогического результата, который в свою очередь может рассматриваться как технология передачи определенного количества знаний субъекту обучения.</w:t>
      </w:r>
      <w:r>
        <w:t xml:space="preserve"> 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 xml:space="preserve">С этой точки зрения оценка знаний для обучения человека, животного и машины является процессом, имеющим одинаковую главную цель — дать количественное значение расстояние между уровнем накопленной информации субъектом обучения и некоторым эталонным уровнем знаний. </w:t>
      </w:r>
      <w:r w:rsidRPr="00434DEC">
        <w:lastRenderedPageBreak/>
        <w:t>Именно поэтому оценка знаний, всегда является количественной, она всегда предполагает сравнение с некоторым эталоном, независимо от метода получения оценки, выбора метода сравнения или эталона.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Таким образом, с точки зрения выбора системы оценивания очень важным является выбор эталона, который может быть отнесен к одной из следующих групп.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Эталоны стандартизации, целью которых является определение уровня количества информации (знаний) субъекта по сравнению с некоторым стандартным уровнем знаний, позволяют производить сравнение носителей информации между собой, что и является их основной целью.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Экзаменационная оценка — количественное сопоставление с определенными стандартами.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Зачет — соответствие минимальным требованиям.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Государственное независимое тестирование — количество государственных образовательных стандартов.</w:t>
      </w:r>
    </w:p>
    <w:p w:rsidR="00434DEC" w:rsidRDefault="00434DEC" w:rsidP="00434DEC">
      <w:pPr>
        <w:spacing w:after="0" w:line="360" w:lineRule="auto"/>
        <w:ind w:firstLine="709"/>
        <w:jc w:val="both"/>
      </w:pPr>
      <w:r w:rsidRPr="00434DEC">
        <w:t>Сертификат качества, медаль или диплом за отличие, заслуги — превышение средних показателей.</w:t>
      </w:r>
    </w:p>
    <w:p w:rsidR="00434DEC" w:rsidRPr="008A5EB6" w:rsidRDefault="00434DEC" w:rsidP="00434DEC">
      <w:pPr>
        <w:spacing w:after="0" w:line="360" w:lineRule="auto"/>
        <w:ind w:firstLine="709"/>
        <w:jc w:val="both"/>
      </w:pPr>
      <w:r w:rsidRPr="00434DEC">
        <w:t>Такие оценки обычно делаются на завершающем этапе обучения, поскольку требуют достаточно большого времени и предполагают высокую ответственность оценивающей стороны.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>Временные эталоны не выдвигают таких строгих требований к оценке, поскольку их основной целью является количественная оценка изменений в процессе получения информации, при этом уровень, по отношению к которому проводится оценивание, может быть как абсолютным, так и относительным.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 xml:space="preserve">Количество информации у субъекта </w:t>
      </w:r>
      <w:proofErr w:type="gramStart"/>
      <w:r w:rsidRPr="00434DEC">
        <w:t>обучения по отношению</w:t>
      </w:r>
      <w:proofErr w:type="gramEnd"/>
      <w:r w:rsidRPr="00434DEC">
        <w:t xml:space="preserve"> к абсолютному (стандартному для лекционного курса) количеству на момент оценивания (т. е. для каждой темы) выражается в виде текущей оценки, семестровой, модульной оценки. Преимуществом такой оценки является </w:t>
      </w:r>
      <w:r w:rsidRPr="00434DEC">
        <w:lastRenderedPageBreak/>
        <w:t>возможность оценивать как изменения уровня знаний студентов в процессе обучения, так и возможность сравнения его уровня знаний с другими.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>При отсутствии необходимости или невозможности сравнения с другими субъектами обучения, в областях, где индивидуальные параметры являются определяющими (спорт, музыка, изобразительное искусство, наука, бизнес) более приемлемыми являются оценки по отношению к заданному уровню — увеличение количества наград за год, место в хит-парадах, рейтинг среди экспертов, индекс цитируемости и т.д. При этом уровень оценивания может быть выбран как уровень с любой стадии обучения — начальной, некоторой усредненной и конечной (идеальной).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>Таким образом, временные эталоны позволяют отслеживать кинетику процесса обучения, однако обычно не дают ответа на вопрос о том, как далеко процесс обучения находится от своего завершения.</w:t>
      </w:r>
      <w:r>
        <w:t xml:space="preserve"> 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>Эталоны эффективности процесса обучения позволяют сравнивать уровень знаний с некоторым идеализированным уровнем, который практически может быть и не достижим. Этот уровень может быть, и зачастую должен быть, индивидуальным для каждого субъекта обучения, что обычно подразумевает принципиальную невозможность стандартизации таких оценок.</w:t>
      </w:r>
      <w:r>
        <w:t xml:space="preserve"> </w:t>
      </w:r>
    </w:p>
    <w:p w:rsidR="00434DEC" w:rsidRDefault="00434DEC" w:rsidP="008A5EB6">
      <w:pPr>
        <w:spacing w:after="0" w:line="360" w:lineRule="auto"/>
        <w:ind w:firstLine="709"/>
        <w:jc w:val="both"/>
      </w:pPr>
      <w:r w:rsidRPr="00434DEC">
        <w:t>Очень часто, интуитивно это выражается в занижении или завышении оценок преподавателем для «умных» и «не умных» учеников, в повышенных требованиях к подающим надежды спортсменам, в нашей оценке интеллектуального уровня различных животных (черепахи, кошки, собаки, приматы).</w:t>
      </w:r>
    </w:p>
    <w:p w:rsidR="008A5EB6" w:rsidRPr="00434DEC" w:rsidRDefault="00434DEC" w:rsidP="008A5EB6">
      <w:pPr>
        <w:spacing w:after="0" w:line="360" w:lineRule="auto"/>
        <w:ind w:firstLine="709"/>
        <w:jc w:val="both"/>
      </w:pPr>
      <w:r w:rsidRPr="00434DEC">
        <w:t xml:space="preserve">Следует отметить, что именно определение уровня отсчета для определения оценки является главной сложностью оценивания. Совершенно очевидно, что эталон стандартизации должен быть объективно обоснован и должен зависеть от общего количества информации в области изучения. Точно так же временной эталон может зависеть от конкретных особенностей предмета обучения, субъекта обучения и способа изложения, а эталон </w:t>
      </w:r>
      <w:r w:rsidRPr="00434DEC">
        <w:lastRenderedPageBreak/>
        <w:t>эффективности — еще и от индивидуальных особенностей ученика и опыта преподавателя (возможность определить максимально достижимый уровень).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Именно поэтому одной из важнейших задач оценивания является правильный выбор вида оценки и метода получения оценки, которые должны соответствовать друг другу.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В этом смысле метод оценки можно считать чисто технической процедурой получения количественных показателей связанных с уровнем информации, которую может выдать субъект обучения. Именно поэтому такая процедура обязательно должна включать в себя совокупность следующих обязательных этапов: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1) извлечение информации из субъекта обучения и представление ее в виде удобном для дальнейшей обработки;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2) количественное оценивание полученных данных в соответствии с правилами оценивания;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3) обобщение данных по оцениванию, корректировка и выводы.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Первый этап является наиболее важным с технической точки зрения, поскольку определяет количество получаемой информации. Метод оценивания будет определять точность оценивания, объективность оценки, ее достоверность. А вид оценки (сравнительная, временная, эффективности обучения) будет напрямую связана с простотой оценивания, временем, частотой оценивания и глобальностью процесса оценивания.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Чисто технологически можно выделить два основных подхода к выявлению количества накопленной у субъекта обучения информации, которые принципиально отличаются по своей сути: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1) вопрос с ограниченным количеством ответов (тесты);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2) вопрос с ответом без ограничений (изложение).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 xml:space="preserve">Преимуществом первого подхода является более высокий уровень объективности оценивания, поскольку теоретически исключается влияние на оценку субъективного мнения преподавателя, поэтому его очень удобно использовать для получения оценок стандартизации, когда важно, чтобы </w:t>
      </w:r>
      <w:r w:rsidRPr="008A5EB6">
        <w:lastRenderedPageBreak/>
        <w:t>уровень знаний был не меньше необходимого или необходим выбор между двумя людьми по уровню знаний в определенной области.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Недостатком этого подхода является принципиальное ограничение количества оцениваемой информации, в результате чего становится невозможным оценивание знаний студентов с более высоким уровнем знаний. Кроме того, неправильно составленные вопросы (малое количество, недостаточное количество ответов, узкий тематический диапазон) могут значительно отличаться от оценок, полученных другими методами.</w:t>
      </w:r>
    </w:p>
    <w:p w:rsidR="008A5EB6" w:rsidRDefault="008A5EB6" w:rsidP="008A5EB6">
      <w:pPr>
        <w:spacing w:after="0" w:line="360" w:lineRule="auto"/>
        <w:ind w:firstLine="709"/>
        <w:jc w:val="both"/>
        <w:rPr>
          <w:lang w:val="en-US"/>
        </w:rPr>
      </w:pPr>
      <w:r w:rsidRPr="008A5EB6">
        <w:t>Второй подход предполагает возможность получения информации об объекте оценивания без ограничения на ее количество. В этом случае теоретически предполагается, что студент должен выдать (написать, рассказать, показать) всю информацию, которой он владеет об объекте обучения. Оценка при этом тем выше, чем большим количеством информации он обладает.</w:t>
      </w:r>
    </w:p>
    <w:p w:rsidR="00434DEC" w:rsidRDefault="008A5EB6" w:rsidP="008A5EB6">
      <w:pPr>
        <w:spacing w:after="0" w:line="360" w:lineRule="auto"/>
        <w:ind w:firstLine="709"/>
        <w:jc w:val="both"/>
      </w:pPr>
      <w:r w:rsidRPr="008A5EB6">
        <w:t>Преимуществом такой оценки является возможность оценивания в более широкой области, а также учитываются индивидуальные особенности студентов. Такой подход наиболее приемлем для обучения в таких видах деятельности, как спорт, музыкальное и изобразительное искусство, литература, наука, где индивидуальные особенности являются определяющими.</w:t>
      </w:r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>Однако учет индивидуальных особенностей при таком оценивании является одновременно и недостатком, поскольку любая оценка при таком подходе будет субъективной, зависящей в больш</w:t>
      </w:r>
      <w:r w:rsidR="00287652">
        <w:t xml:space="preserve">ей мере от опыта преподавателя. </w:t>
      </w:r>
      <w:proofErr w:type="gramStart"/>
      <w:r w:rsidRPr="008A5EB6">
        <w:t>Кроме того, такая оценка также часто не может использоваться в качестве сравнительной, поскольку отражает больше индивидуальные особенности студента, а не его уровень по сравнению с другими студентами.</w:t>
      </w:r>
      <w:proofErr w:type="gramEnd"/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 xml:space="preserve">Кроме того, в отличие от тестирования при таком методе оценивания практически невозможно использование технических средств, которые изначально предполагают формализацию задачи, что значительно повышает </w:t>
      </w:r>
      <w:r w:rsidRPr="008A5EB6">
        <w:lastRenderedPageBreak/>
        <w:t>затраты времени на обработку результатов и делает такой метод оценивания практически непригодным для большого количества студентов.</w:t>
      </w:r>
    </w:p>
    <w:p w:rsidR="00287652" w:rsidRDefault="008A5EB6" w:rsidP="00287652">
      <w:pPr>
        <w:spacing w:after="0" w:line="360" w:lineRule="auto"/>
        <w:ind w:firstLine="709"/>
        <w:jc w:val="both"/>
      </w:pPr>
      <w:proofErr w:type="gramStart"/>
      <w:r w:rsidRPr="008A5EB6">
        <w:t>Следует отметить, что каждый из этих подходов может быть чисто технически осуществим различными способами (с помощью компьютера, опросного листа, анкетирования, экспертного или группового оценивания и т.д.), однако это не изменяет их сущности и позволяет осознано выбирать используемые ныне методы оценки знаний (письменный или устный экзамен, зачет, текущий опрос, повседневное наблюдение, промежуточное тестирование, контрольные работы, программированный контроль, рейтинговая оценка, тестирование</w:t>
      </w:r>
      <w:proofErr w:type="gramEnd"/>
      <w:r w:rsidRPr="008A5EB6">
        <w:t xml:space="preserve">, </w:t>
      </w:r>
      <w:proofErr w:type="gramStart"/>
      <w:r w:rsidRPr="008A5EB6">
        <w:t>анкетирование, изложение, сочинение), в зависимости от целей оценивания (для сертификации, сравнения, контроля процесса обучения, развития индивидуальных особенностей), субъектов обучения (школа, вуз, животные), имеющихся в наличии технических средств (тренажеры, компьютеры).</w:t>
      </w:r>
      <w:proofErr w:type="gramEnd"/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>Таким образом, подход к оценке знаний как полноценной технологии, включающей в себя исходный объект, результат и методы достижения результата показывает как на перспективы, так и на практически полное отсутствие системных подходов в этой области, которые должны быть восполнены в будущем.</w:t>
      </w:r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>Литература</w:t>
      </w:r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 xml:space="preserve">1. </w:t>
      </w:r>
      <w:proofErr w:type="spellStart"/>
      <w:r w:rsidRPr="008A5EB6">
        <w:t>Пидкасистый</w:t>
      </w:r>
      <w:proofErr w:type="spellEnd"/>
      <w:r w:rsidRPr="008A5EB6">
        <w:t xml:space="preserve"> П. И. Педагогика / П. И. </w:t>
      </w:r>
      <w:proofErr w:type="spellStart"/>
      <w:r w:rsidRPr="008A5EB6">
        <w:t>Пидкасистый</w:t>
      </w:r>
      <w:proofErr w:type="spellEnd"/>
      <w:r w:rsidRPr="008A5EB6">
        <w:t xml:space="preserve"> — Москва</w:t>
      </w:r>
      <w:proofErr w:type="gramStart"/>
      <w:r w:rsidRPr="008A5EB6">
        <w:t xml:space="preserve"> :</w:t>
      </w:r>
      <w:proofErr w:type="gramEnd"/>
      <w:r w:rsidRPr="008A5EB6">
        <w:t xml:space="preserve"> Просвещение, 1996. — 378 </w:t>
      </w:r>
      <w:proofErr w:type="gramStart"/>
      <w:r w:rsidRPr="008A5EB6">
        <w:t>с</w:t>
      </w:r>
      <w:proofErr w:type="gramEnd"/>
      <w:r w:rsidRPr="008A5EB6">
        <w:t>.</w:t>
      </w:r>
    </w:p>
    <w:p w:rsidR="00287652" w:rsidRDefault="008A5EB6" w:rsidP="00287652">
      <w:pPr>
        <w:spacing w:after="0" w:line="360" w:lineRule="auto"/>
        <w:ind w:firstLine="709"/>
        <w:jc w:val="both"/>
      </w:pPr>
      <w:r w:rsidRPr="008A5EB6">
        <w:t xml:space="preserve">2. </w:t>
      </w:r>
      <w:proofErr w:type="spellStart"/>
      <w:r w:rsidRPr="008A5EB6">
        <w:t>Бабанский</w:t>
      </w:r>
      <w:proofErr w:type="spellEnd"/>
      <w:r w:rsidRPr="008A5EB6">
        <w:t xml:space="preserve"> Ю. К. Педагогика : учеб</w:t>
      </w:r>
      <w:proofErr w:type="gramStart"/>
      <w:r w:rsidRPr="008A5EB6">
        <w:t>.</w:t>
      </w:r>
      <w:proofErr w:type="gramEnd"/>
      <w:r w:rsidRPr="008A5EB6">
        <w:t xml:space="preserve"> </w:t>
      </w:r>
      <w:proofErr w:type="gramStart"/>
      <w:r w:rsidRPr="008A5EB6">
        <w:t>п</w:t>
      </w:r>
      <w:proofErr w:type="gramEnd"/>
      <w:r w:rsidRPr="008A5EB6">
        <w:t xml:space="preserve">особие для студентов </w:t>
      </w:r>
      <w:proofErr w:type="spellStart"/>
      <w:r w:rsidRPr="008A5EB6">
        <w:t>пед</w:t>
      </w:r>
      <w:proofErr w:type="spellEnd"/>
      <w:r w:rsidRPr="008A5EB6">
        <w:t xml:space="preserve">. институтов / Ю. К. </w:t>
      </w:r>
      <w:proofErr w:type="spellStart"/>
      <w:r w:rsidRPr="008A5EB6">
        <w:t>Бабанский</w:t>
      </w:r>
      <w:proofErr w:type="spellEnd"/>
      <w:r w:rsidRPr="008A5EB6">
        <w:t>. — Москва</w:t>
      </w:r>
      <w:proofErr w:type="gramStart"/>
      <w:r w:rsidRPr="008A5EB6">
        <w:t xml:space="preserve"> :</w:t>
      </w:r>
      <w:proofErr w:type="gramEnd"/>
      <w:r w:rsidRPr="008A5EB6">
        <w:t xml:space="preserve"> Просвещение, 1988. — 479 </w:t>
      </w:r>
      <w:proofErr w:type="gramStart"/>
      <w:r w:rsidRPr="008A5EB6">
        <w:t>с</w:t>
      </w:r>
      <w:proofErr w:type="gramEnd"/>
      <w:r w:rsidRPr="008A5EB6">
        <w:t>.</w:t>
      </w:r>
    </w:p>
    <w:p w:rsidR="008A5EB6" w:rsidRPr="00287652" w:rsidRDefault="008A5EB6" w:rsidP="00287652">
      <w:pPr>
        <w:spacing w:after="0" w:line="360" w:lineRule="auto"/>
        <w:ind w:firstLine="709"/>
        <w:jc w:val="both"/>
      </w:pPr>
      <w:r w:rsidRPr="008A5EB6">
        <w:t xml:space="preserve">3. </w:t>
      </w:r>
      <w:proofErr w:type="spellStart"/>
      <w:r w:rsidRPr="008A5EB6">
        <w:t>Загвязинский</w:t>
      </w:r>
      <w:proofErr w:type="spellEnd"/>
      <w:r w:rsidRPr="008A5EB6">
        <w:t xml:space="preserve"> В. И. Теория обучения: Современная интерпретация : учеб</w:t>
      </w:r>
      <w:proofErr w:type="gramStart"/>
      <w:r w:rsidRPr="008A5EB6">
        <w:t>.</w:t>
      </w:r>
      <w:proofErr w:type="gramEnd"/>
      <w:r w:rsidRPr="008A5EB6">
        <w:t xml:space="preserve"> </w:t>
      </w:r>
      <w:proofErr w:type="gramStart"/>
      <w:r w:rsidRPr="008A5EB6">
        <w:t>п</w:t>
      </w:r>
      <w:proofErr w:type="gramEnd"/>
      <w:r w:rsidRPr="008A5EB6">
        <w:t xml:space="preserve">особие для студ. </w:t>
      </w:r>
      <w:proofErr w:type="spellStart"/>
      <w:r w:rsidRPr="008A5EB6">
        <w:t>высш</w:t>
      </w:r>
      <w:proofErr w:type="spellEnd"/>
      <w:r w:rsidRPr="008A5EB6">
        <w:t xml:space="preserve">. </w:t>
      </w:r>
      <w:proofErr w:type="spellStart"/>
      <w:r w:rsidRPr="008A5EB6">
        <w:t>пед</w:t>
      </w:r>
      <w:proofErr w:type="spellEnd"/>
      <w:r w:rsidRPr="008A5EB6">
        <w:t xml:space="preserve">. учеб. заведений / В. И. </w:t>
      </w:r>
      <w:proofErr w:type="spellStart"/>
      <w:r w:rsidRPr="008A5EB6">
        <w:t>Загвязинский</w:t>
      </w:r>
      <w:proofErr w:type="spellEnd"/>
      <w:r w:rsidRPr="008A5EB6">
        <w:t>. — Москва</w:t>
      </w:r>
      <w:proofErr w:type="gramStart"/>
      <w:r w:rsidRPr="008A5EB6">
        <w:t xml:space="preserve"> :</w:t>
      </w:r>
      <w:proofErr w:type="gramEnd"/>
      <w:r w:rsidRPr="008A5EB6">
        <w:t xml:space="preserve"> Издательский центр «Академия», 2001. — 192 </w:t>
      </w:r>
      <w:proofErr w:type="gramStart"/>
      <w:r w:rsidRPr="008A5EB6">
        <w:t>с</w:t>
      </w:r>
      <w:proofErr w:type="gramEnd"/>
      <w:r w:rsidRPr="008A5EB6">
        <w:t>.</w:t>
      </w:r>
    </w:p>
    <w:p w:rsidR="00287652" w:rsidRDefault="008A5EB6" w:rsidP="008A5EB6">
      <w:pPr>
        <w:spacing w:after="0" w:line="360" w:lineRule="auto"/>
        <w:ind w:firstLine="709"/>
        <w:jc w:val="both"/>
      </w:pPr>
      <w:r w:rsidRPr="008A5EB6">
        <w:t>4. Сазонов Б. А. Болонский процесс: актуальные вопросы модернизации российского высшего образования : учеб</w:t>
      </w:r>
      <w:proofErr w:type="gramStart"/>
      <w:r w:rsidRPr="008A5EB6">
        <w:t>.</w:t>
      </w:r>
      <w:proofErr w:type="gramEnd"/>
      <w:r w:rsidRPr="008A5EB6">
        <w:t xml:space="preserve"> </w:t>
      </w:r>
      <w:proofErr w:type="gramStart"/>
      <w:r w:rsidRPr="008A5EB6">
        <w:t>п</w:t>
      </w:r>
      <w:proofErr w:type="gramEnd"/>
      <w:r w:rsidRPr="008A5EB6">
        <w:t xml:space="preserve">особие / Б. А. Сазонов. — Москва </w:t>
      </w:r>
      <w:proofErr w:type="gramStart"/>
      <w:r w:rsidRPr="008A5EB6">
        <w:t>:Ф</w:t>
      </w:r>
      <w:proofErr w:type="gramEnd"/>
      <w:r w:rsidRPr="008A5EB6">
        <w:t>ИРО, 2006. — 184 с.</w:t>
      </w:r>
    </w:p>
    <w:p w:rsidR="008A5EB6" w:rsidRPr="008A5EB6" w:rsidRDefault="008A5EB6" w:rsidP="008A5EB6">
      <w:pPr>
        <w:spacing w:after="0" w:line="360" w:lineRule="auto"/>
        <w:ind w:firstLine="709"/>
        <w:jc w:val="both"/>
      </w:pPr>
      <w:r w:rsidRPr="008A5EB6">
        <w:lastRenderedPageBreak/>
        <w:t xml:space="preserve">5. Сафонова Т. Н. Экспертно-обучающая система оценки качества знаний в рамках модульной технологии обучения. Труды 6-й международной научно-практической </w:t>
      </w:r>
      <w:proofErr w:type="spellStart"/>
      <w:r w:rsidRPr="008A5EB6">
        <w:t>Интернет-конференции</w:t>
      </w:r>
      <w:proofErr w:type="spellEnd"/>
      <w:r w:rsidRPr="008A5EB6">
        <w:t xml:space="preserve"> «Преподаватель высшей школы в </w:t>
      </w:r>
      <w:r w:rsidRPr="008A5EB6">
        <w:rPr>
          <w:lang w:val="en-US"/>
        </w:rPr>
        <w:t>XXI</w:t>
      </w:r>
      <w:r w:rsidRPr="008A5EB6">
        <w:t xml:space="preserve"> веке» — Ростов на Дону</w:t>
      </w:r>
      <w:proofErr w:type="gramStart"/>
      <w:r w:rsidRPr="008A5EB6">
        <w:t xml:space="preserve"> :</w:t>
      </w:r>
      <w:proofErr w:type="gramEnd"/>
      <w:r w:rsidRPr="008A5EB6">
        <w:t xml:space="preserve"> Рост</w:t>
      </w:r>
      <w:proofErr w:type="gramStart"/>
      <w:r w:rsidRPr="008A5EB6">
        <w:t>.</w:t>
      </w:r>
      <w:proofErr w:type="gramEnd"/>
      <w:r w:rsidRPr="008A5EB6">
        <w:t xml:space="preserve"> </w:t>
      </w:r>
      <w:proofErr w:type="spellStart"/>
      <w:proofErr w:type="gramStart"/>
      <w:r w:rsidRPr="008A5EB6">
        <w:t>г</w:t>
      </w:r>
      <w:proofErr w:type="gramEnd"/>
      <w:r w:rsidRPr="008A5EB6">
        <w:t>ос</w:t>
      </w:r>
      <w:proofErr w:type="spellEnd"/>
      <w:r w:rsidRPr="008A5EB6">
        <w:t>. ун-т путей сообщения. — 2008. — Сб. 6. — Ч. 1. — С. 255–258.</w:t>
      </w:r>
    </w:p>
    <w:sectPr w:rsidR="008A5EB6" w:rsidRPr="008A5EB6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EB6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33BF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4FD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87652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49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0DF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07E22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B9E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E8E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8FF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4DEC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6F7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3FA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CB4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4665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3EC2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BE3"/>
    <w:rsid w:val="005B7C16"/>
    <w:rsid w:val="005C2C0E"/>
    <w:rsid w:val="005C389C"/>
    <w:rsid w:val="005C38D9"/>
    <w:rsid w:val="005C411F"/>
    <w:rsid w:val="005C45F0"/>
    <w:rsid w:val="005C4E9F"/>
    <w:rsid w:val="005C5295"/>
    <w:rsid w:val="005C55E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A31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1F80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EC0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1D4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27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77A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5EB6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4912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008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5BB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0E87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0B45"/>
    <w:rsid w:val="00A113FA"/>
    <w:rsid w:val="00A117BD"/>
    <w:rsid w:val="00A1189B"/>
    <w:rsid w:val="00A11C44"/>
    <w:rsid w:val="00A12395"/>
    <w:rsid w:val="00A12B0C"/>
    <w:rsid w:val="00A13BEA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22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9DF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A57"/>
    <w:rsid w:val="00B74F36"/>
    <w:rsid w:val="00B753BD"/>
    <w:rsid w:val="00B7562C"/>
    <w:rsid w:val="00B75649"/>
    <w:rsid w:val="00B75D7B"/>
    <w:rsid w:val="00B75E6C"/>
    <w:rsid w:val="00B75F8E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66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FEA"/>
    <w:rsid w:val="00C74514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C4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303F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0E0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AA0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AF4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8B4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C67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5802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2016-12-02T19:14:00Z</dcterms:created>
  <dcterms:modified xsi:type="dcterms:W3CDTF">2016-12-02T19:26:00Z</dcterms:modified>
</cp:coreProperties>
</file>