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8A" w:rsidRDefault="0080678A" w:rsidP="0080678A">
      <w:pPr>
        <w:pStyle w:val="a3"/>
        <w:spacing w:line="360" w:lineRule="auto"/>
        <w:ind w:left="700"/>
        <w:jc w:val="center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Особенности восстановительных этапов у больных с толстокишечными свищами на фоне </w:t>
      </w:r>
      <w:r w:rsidR="005D64C3">
        <w:rPr>
          <w:rFonts w:ascii="Times New Roman" w:hAnsi="Times New Roman"/>
          <w:sz w:val="28"/>
          <w:szCs w:val="28"/>
        </w:rPr>
        <w:t>спаечной болезни брюшины</w:t>
      </w:r>
    </w:p>
    <w:p w:rsidR="0080678A" w:rsidRPr="003763DD" w:rsidRDefault="0080678A" w:rsidP="0080678A">
      <w:pPr>
        <w:pStyle w:val="a3"/>
        <w:spacing w:line="360" w:lineRule="auto"/>
        <w:ind w:left="7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Евтушенко Д.А.</w:t>
      </w:r>
    </w:p>
    <w:p w:rsidR="00690431" w:rsidRDefault="00690431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90431" w:rsidRDefault="00690431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90431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3F98">
        <w:rPr>
          <w:rFonts w:ascii="Times New Roman" w:hAnsi="Times New Roman"/>
          <w:sz w:val="28"/>
          <w:szCs w:val="28"/>
        </w:rPr>
        <w:t>В основной группе прооперировано 119 (49,6%) больных по поводу абдоминальной патологии на фоне СББ с использованием разработанных методик лечения и профилактики СББ.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C04">
        <w:rPr>
          <w:rFonts w:ascii="Times New Roman" w:hAnsi="Times New Roman"/>
          <w:sz w:val="28"/>
          <w:szCs w:val="28"/>
        </w:rPr>
        <w:t>В группе сравнения прооперировано 121 (50,4%) больных по поводу абдоминальной патологии на фоне СББ с испол</w:t>
      </w:r>
      <w:r>
        <w:rPr>
          <w:rFonts w:ascii="Times New Roman" w:hAnsi="Times New Roman"/>
          <w:sz w:val="28"/>
          <w:szCs w:val="28"/>
        </w:rPr>
        <w:t>ьзованием традиционных методик. Л</w:t>
      </w:r>
      <w:r w:rsidRPr="008D4345">
        <w:rPr>
          <w:rFonts w:ascii="Times New Roman" w:hAnsi="Times New Roman"/>
          <w:sz w:val="28"/>
          <w:szCs w:val="28"/>
        </w:rPr>
        <w:t xml:space="preserve">ечения больных с абдоминальной патологией на фоне СББ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D4345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>м</w:t>
      </w:r>
      <w:r w:rsidRPr="008D4345">
        <w:rPr>
          <w:rFonts w:ascii="Times New Roman" w:hAnsi="Times New Roman"/>
          <w:sz w:val="28"/>
          <w:szCs w:val="28"/>
        </w:rPr>
        <w:t xml:space="preserve"> разработанных подходов профилактики спаечного процесса в раннем послеоперационном периоде позволило сократить послеоперационный койко-день; уменьшить риск развития ранней ОКН до 0,8%, несостоятельности анастомоза развилась – до 1,7%, снизить послеоперационную летальность до 0,8%. В отдаленном послеоперационном периоде частота болевого синдрома снижена с  до 3,2%,  нарушения пассажа по ЖКТ  </w:t>
      </w:r>
      <w:proofErr w:type="gramStart"/>
      <w:r w:rsidRPr="008D4345">
        <w:rPr>
          <w:rFonts w:ascii="Times New Roman" w:hAnsi="Times New Roman"/>
          <w:sz w:val="28"/>
          <w:szCs w:val="28"/>
        </w:rPr>
        <w:t>до</w:t>
      </w:r>
      <w:proofErr w:type="gramEnd"/>
      <w:r w:rsidRPr="008D4345">
        <w:rPr>
          <w:rFonts w:ascii="Times New Roman" w:hAnsi="Times New Roman"/>
          <w:sz w:val="28"/>
          <w:szCs w:val="28"/>
        </w:rPr>
        <w:t xml:space="preserve"> 2,4%%,  исключить </w:t>
      </w:r>
      <w:proofErr w:type="gramStart"/>
      <w:r w:rsidRPr="008D4345">
        <w:rPr>
          <w:rFonts w:ascii="Times New Roman" w:hAnsi="Times New Roman"/>
          <w:sz w:val="28"/>
          <w:szCs w:val="28"/>
        </w:rPr>
        <w:t>риск</w:t>
      </w:r>
      <w:proofErr w:type="gramEnd"/>
      <w:r w:rsidRPr="008D4345">
        <w:rPr>
          <w:rFonts w:ascii="Times New Roman" w:hAnsi="Times New Roman"/>
          <w:sz w:val="28"/>
          <w:szCs w:val="28"/>
        </w:rPr>
        <w:t xml:space="preserve"> повторных оперативных вмешательств.</w:t>
      </w:r>
    </w:p>
    <w:p w:rsidR="00690431" w:rsidRDefault="00690431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90431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 спаечная болезнь брюшины, профилактика спаечного процесса.</w:t>
      </w:r>
    </w:p>
    <w:p w:rsidR="00690431" w:rsidRPr="005D64C3" w:rsidRDefault="00690431" w:rsidP="00690431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5D64C3">
        <w:rPr>
          <w:rFonts w:ascii="Times New Roman" w:hAnsi="Times New Roman"/>
          <w:sz w:val="28"/>
          <w:szCs w:val="28"/>
          <w:lang w:val="uk-UA"/>
        </w:rPr>
        <w:t xml:space="preserve">Особливості відновлювальних етапів у хворих з </w:t>
      </w:r>
      <w:proofErr w:type="spellStart"/>
      <w:r w:rsidRPr="005D64C3">
        <w:rPr>
          <w:rFonts w:ascii="Times New Roman" w:hAnsi="Times New Roman"/>
          <w:sz w:val="28"/>
          <w:szCs w:val="28"/>
          <w:lang w:val="uk-UA"/>
        </w:rPr>
        <w:t>товстокишковими</w:t>
      </w:r>
      <w:proofErr w:type="spellEnd"/>
      <w:r w:rsidR="005D64C3" w:rsidRPr="005D64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4C3">
        <w:rPr>
          <w:rFonts w:ascii="Times New Roman" w:hAnsi="Times New Roman"/>
          <w:sz w:val="28"/>
          <w:szCs w:val="28"/>
          <w:lang w:val="uk-UA"/>
        </w:rPr>
        <w:t xml:space="preserve">норицями на тлі </w:t>
      </w:r>
      <w:proofErr w:type="spellStart"/>
      <w:r w:rsidR="005D64C3" w:rsidRPr="005D64C3">
        <w:rPr>
          <w:rFonts w:ascii="Times New Roman" w:hAnsi="Times New Roman"/>
          <w:sz w:val="28"/>
          <w:szCs w:val="28"/>
          <w:lang w:val="uk-UA"/>
        </w:rPr>
        <w:t>спайково</w:t>
      </w:r>
      <w:r w:rsidR="005D64C3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5D64C3" w:rsidRPr="005D64C3">
        <w:rPr>
          <w:rFonts w:ascii="Times New Roman" w:hAnsi="Times New Roman"/>
          <w:sz w:val="28"/>
          <w:szCs w:val="28"/>
          <w:lang w:val="uk-UA"/>
        </w:rPr>
        <w:t xml:space="preserve"> хвороби очеревини</w:t>
      </w:r>
    </w:p>
    <w:p w:rsidR="00690431" w:rsidRPr="005D64C3" w:rsidRDefault="00690431" w:rsidP="00690431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5D64C3">
        <w:rPr>
          <w:rFonts w:ascii="Times New Roman" w:hAnsi="Times New Roman"/>
          <w:sz w:val="28"/>
          <w:szCs w:val="28"/>
          <w:lang w:val="uk-UA"/>
        </w:rPr>
        <w:t>Євтушенко Д.А.</w:t>
      </w:r>
    </w:p>
    <w:p w:rsidR="00690431" w:rsidRPr="005D64C3" w:rsidRDefault="00690431" w:rsidP="00690431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5D64C3">
        <w:rPr>
          <w:rFonts w:ascii="Times New Roman" w:hAnsi="Times New Roman"/>
          <w:b/>
          <w:sz w:val="28"/>
          <w:szCs w:val="28"/>
          <w:lang w:val="uk-UA"/>
        </w:rPr>
        <w:t>Анотація</w:t>
      </w:r>
      <w:r w:rsidRPr="005D64C3">
        <w:rPr>
          <w:rFonts w:ascii="Times New Roman" w:hAnsi="Times New Roman"/>
          <w:sz w:val="28"/>
          <w:szCs w:val="28"/>
          <w:lang w:val="uk-UA"/>
        </w:rPr>
        <w:t xml:space="preserve">. В основній групі прооперовано 119 (49,6%) хворих з приводу абдомінальної патології на тлі </w:t>
      </w:r>
      <w:r w:rsidR="005D64C3">
        <w:rPr>
          <w:rFonts w:ascii="Times New Roman" w:hAnsi="Times New Roman"/>
          <w:sz w:val="28"/>
          <w:szCs w:val="28"/>
          <w:lang w:val="uk-UA"/>
        </w:rPr>
        <w:t>СХО</w:t>
      </w:r>
      <w:r w:rsidRPr="005D64C3">
        <w:rPr>
          <w:rFonts w:ascii="Times New Roman" w:hAnsi="Times New Roman"/>
          <w:sz w:val="28"/>
          <w:szCs w:val="28"/>
          <w:lang w:val="uk-UA"/>
        </w:rPr>
        <w:t xml:space="preserve"> з використанням розроблених </w:t>
      </w:r>
      <w:proofErr w:type="spellStart"/>
      <w:r w:rsidRPr="005D64C3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5D64C3">
        <w:rPr>
          <w:rFonts w:ascii="Times New Roman" w:hAnsi="Times New Roman"/>
          <w:sz w:val="28"/>
          <w:szCs w:val="28"/>
          <w:lang w:val="uk-UA"/>
        </w:rPr>
        <w:t xml:space="preserve"> лікування і профілактики С</w:t>
      </w:r>
      <w:r w:rsidR="00DD71E6">
        <w:rPr>
          <w:rFonts w:ascii="Times New Roman" w:hAnsi="Times New Roman"/>
          <w:sz w:val="28"/>
          <w:szCs w:val="28"/>
          <w:lang w:val="uk-UA"/>
        </w:rPr>
        <w:t>ХО</w:t>
      </w:r>
      <w:bookmarkStart w:id="0" w:name="_GoBack"/>
      <w:bookmarkEnd w:id="0"/>
      <w:r w:rsidRPr="005D64C3">
        <w:rPr>
          <w:rFonts w:ascii="Times New Roman" w:hAnsi="Times New Roman"/>
          <w:sz w:val="28"/>
          <w:szCs w:val="28"/>
          <w:lang w:val="uk-UA"/>
        </w:rPr>
        <w:t>. У групі порівняння прооперовано 121 (50,4%) хворих з приводу абдомінальної патології на тлі С</w:t>
      </w:r>
      <w:r w:rsidR="005D64C3">
        <w:rPr>
          <w:rFonts w:ascii="Times New Roman" w:hAnsi="Times New Roman"/>
          <w:sz w:val="28"/>
          <w:szCs w:val="28"/>
          <w:lang w:val="uk-UA"/>
        </w:rPr>
        <w:t>ХО</w:t>
      </w:r>
      <w:r w:rsidRPr="005D64C3">
        <w:rPr>
          <w:rFonts w:ascii="Times New Roman" w:hAnsi="Times New Roman"/>
          <w:sz w:val="28"/>
          <w:szCs w:val="28"/>
          <w:lang w:val="uk-UA"/>
        </w:rPr>
        <w:t xml:space="preserve"> з використанням традиційних </w:t>
      </w:r>
      <w:proofErr w:type="spellStart"/>
      <w:r w:rsidRPr="005D64C3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5D64C3">
        <w:rPr>
          <w:rFonts w:ascii="Times New Roman" w:hAnsi="Times New Roman"/>
          <w:sz w:val="28"/>
          <w:szCs w:val="28"/>
          <w:lang w:val="uk-UA"/>
        </w:rPr>
        <w:t>. Лікування хворих з абдомінальної патологією на тлі С</w:t>
      </w:r>
      <w:r w:rsidR="005D64C3">
        <w:rPr>
          <w:rFonts w:ascii="Times New Roman" w:hAnsi="Times New Roman"/>
          <w:sz w:val="28"/>
          <w:szCs w:val="28"/>
          <w:lang w:val="uk-UA"/>
        </w:rPr>
        <w:t>ХО</w:t>
      </w:r>
      <w:r w:rsidRPr="005D64C3">
        <w:rPr>
          <w:rFonts w:ascii="Times New Roman" w:hAnsi="Times New Roman"/>
          <w:sz w:val="28"/>
          <w:szCs w:val="28"/>
          <w:lang w:val="uk-UA"/>
        </w:rPr>
        <w:t xml:space="preserve"> із застосуванням розроблених підходів профілактики </w:t>
      </w:r>
      <w:r w:rsidR="00DD71E6">
        <w:rPr>
          <w:rFonts w:ascii="Times New Roman" w:hAnsi="Times New Roman"/>
          <w:sz w:val="28"/>
          <w:szCs w:val="28"/>
          <w:lang w:val="uk-UA"/>
        </w:rPr>
        <w:lastRenderedPageBreak/>
        <w:t>спайкового процесу</w:t>
      </w:r>
      <w:r w:rsidRPr="005D64C3">
        <w:rPr>
          <w:rFonts w:ascii="Times New Roman" w:hAnsi="Times New Roman"/>
          <w:sz w:val="28"/>
          <w:szCs w:val="28"/>
          <w:lang w:val="uk-UA"/>
        </w:rPr>
        <w:t xml:space="preserve"> в ранньому післяопераційному періоді дозволило скоротити післяопераційний ліжко-день; зменшити ризик розвитку ранньої</w:t>
      </w:r>
      <w:r w:rsidR="005D64C3" w:rsidRPr="005D64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64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64C3">
        <w:rPr>
          <w:rFonts w:ascii="Times New Roman" w:hAnsi="Times New Roman"/>
          <w:sz w:val="28"/>
          <w:szCs w:val="28"/>
          <w:lang w:val="uk-UA"/>
        </w:rPr>
        <w:t>Г</w:t>
      </w:r>
      <w:r w:rsidRPr="005D64C3">
        <w:rPr>
          <w:rFonts w:ascii="Times New Roman" w:hAnsi="Times New Roman"/>
          <w:sz w:val="28"/>
          <w:szCs w:val="28"/>
          <w:lang w:val="uk-UA"/>
        </w:rPr>
        <w:t xml:space="preserve">КН до 0,8%, неспроможності анастомозу </w:t>
      </w:r>
      <w:proofErr w:type="spellStart"/>
      <w:r w:rsidRPr="005D64C3">
        <w:rPr>
          <w:rFonts w:ascii="Times New Roman" w:hAnsi="Times New Roman"/>
          <w:sz w:val="28"/>
          <w:szCs w:val="28"/>
          <w:lang w:val="uk-UA"/>
        </w:rPr>
        <w:t>розвинулася</w:t>
      </w:r>
      <w:proofErr w:type="spellEnd"/>
      <w:r w:rsidRPr="005D64C3">
        <w:rPr>
          <w:rFonts w:ascii="Times New Roman" w:hAnsi="Times New Roman"/>
          <w:sz w:val="28"/>
          <w:szCs w:val="28"/>
          <w:lang w:val="uk-UA"/>
        </w:rPr>
        <w:t xml:space="preserve"> - до 1,7%, знизити післяопераційну летальність до 0,8%. У віддаленому післяопераційному періоді частота больового синдрому знижена з до 3,2%, порушення пасажу по ШКТ до 2,4 %%, виключити ризик повторних оперативних </w:t>
      </w:r>
      <w:proofErr w:type="spellStart"/>
      <w:r w:rsidRPr="005D64C3">
        <w:rPr>
          <w:rFonts w:ascii="Times New Roman" w:hAnsi="Times New Roman"/>
          <w:sz w:val="28"/>
          <w:szCs w:val="28"/>
          <w:lang w:val="uk-UA"/>
        </w:rPr>
        <w:t>втручань</w:t>
      </w:r>
      <w:proofErr w:type="spellEnd"/>
      <w:r w:rsidRPr="005D64C3">
        <w:rPr>
          <w:rFonts w:ascii="Times New Roman" w:hAnsi="Times New Roman"/>
          <w:sz w:val="28"/>
          <w:szCs w:val="28"/>
          <w:lang w:val="uk-UA"/>
        </w:rPr>
        <w:t>.</w:t>
      </w:r>
    </w:p>
    <w:p w:rsidR="00690431" w:rsidRPr="005D64C3" w:rsidRDefault="00690431" w:rsidP="00690431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5D64C3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 w:rsidRPr="005D64C3">
        <w:rPr>
          <w:rFonts w:ascii="Times New Roman" w:hAnsi="Times New Roman"/>
          <w:sz w:val="28"/>
          <w:szCs w:val="28"/>
          <w:lang w:val="uk-UA"/>
        </w:rPr>
        <w:t xml:space="preserve">: спайкова хвороба очеревини, профілактика </w:t>
      </w:r>
      <w:r w:rsidR="00EF760D">
        <w:rPr>
          <w:rFonts w:ascii="Times New Roman" w:hAnsi="Times New Roman"/>
          <w:sz w:val="28"/>
          <w:szCs w:val="28"/>
          <w:lang w:val="uk-UA"/>
        </w:rPr>
        <w:t>спайкового процесу</w:t>
      </w:r>
      <w:r w:rsidRPr="005D64C3">
        <w:rPr>
          <w:rFonts w:ascii="Times New Roman" w:hAnsi="Times New Roman"/>
          <w:sz w:val="28"/>
          <w:szCs w:val="28"/>
          <w:lang w:val="uk-UA"/>
        </w:rPr>
        <w:t>.</w:t>
      </w:r>
    </w:p>
    <w:p w:rsidR="00690431" w:rsidRPr="00690431" w:rsidRDefault="00690431" w:rsidP="00690431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lang w:val="en-US"/>
        </w:rPr>
      </w:pPr>
      <w:r w:rsidRPr="00690431">
        <w:rPr>
          <w:rFonts w:ascii="Times New Roman" w:hAnsi="Times New Roman"/>
          <w:sz w:val="28"/>
          <w:szCs w:val="28"/>
          <w:lang w:val="en-US"/>
        </w:rPr>
        <w:t xml:space="preserve">Features rehabilitation phases in patients with large intestinal fistulas in the background </w:t>
      </w:r>
      <w:r w:rsidR="005D64C3" w:rsidRPr="00690431">
        <w:rPr>
          <w:rFonts w:ascii="Times New Roman" w:hAnsi="Times New Roman"/>
          <w:sz w:val="28"/>
          <w:szCs w:val="28"/>
          <w:lang w:val="en-US"/>
        </w:rPr>
        <w:t>adhesive disease of the peritoneum</w:t>
      </w:r>
    </w:p>
    <w:p w:rsidR="00690431" w:rsidRPr="00690431" w:rsidRDefault="00690431" w:rsidP="00690431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lang w:val="en-US"/>
        </w:rPr>
      </w:pPr>
      <w:r w:rsidRPr="00690431">
        <w:rPr>
          <w:rFonts w:ascii="Times New Roman" w:hAnsi="Times New Roman"/>
          <w:sz w:val="28"/>
          <w:szCs w:val="28"/>
          <w:lang w:val="en-US"/>
        </w:rPr>
        <w:t>Yevtushenko D</w:t>
      </w:r>
      <w:r w:rsidR="005D64C3">
        <w:rPr>
          <w:rFonts w:ascii="Times New Roman" w:hAnsi="Times New Roman"/>
          <w:sz w:val="28"/>
          <w:szCs w:val="28"/>
          <w:lang w:val="en-US"/>
        </w:rPr>
        <w:t>.</w:t>
      </w:r>
      <w:r w:rsidRPr="00690431">
        <w:rPr>
          <w:rFonts w:ascii="Times New Roman" w:hAnsi="Times New Roman"/>
          <w:sz w:val="28"/>
          <w:szCs w:val="28"/>
          <w:lang w:val="en-US"/>
        </w:rPr>
        <w:t>A</w:t>
      </w:r>
      <w:r w:rsidR="005D64C3">
        <w:rPr>
          <w:rFonts w:ascii="Times New Roman" w:hAnsi="Times New Roman"/>
          <w:sz w:val="28"/>
          <w:szCs w:val="28"/>
          <w:lang w:val="en-US"/>
        </w:rPr>
        <w:t>.</w:t>
      </w:r>
    </w:p>
    <w:p w:rsidR="00690431" w:rsidRPr="00690431" w:rsidRDefault="00690431" w:rsidP="00690431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D64C3">
        <w:rPr>
          <w:rFonts w:ascii="Times New Roman" w:hAnsi="Times New Roman"/>
          <w:b/>
          <w:sz w:val="28"/>
          <w:szCs w:val="28"/>
          <w:lang w:val="en-US"/>
        </w:rPr>
        <w:t>Annotation</w:t>
      </w:r>
      <w:r w:rsidRPr="0069043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690431">
        <w:rPr>
          <w:rFonts w:ascii="Times New Roman" w:hAnsi="Times New Roman"/>
          <w:sz w:val="28"/>
          <w:szCs w:val="28"/>
          <w:lang w:val="en-US"/>
        </w:rPr>
        <w:t xml:space="preserve"> In the main group operated 119 (49.6%) patients regarding abdominal pathology in the background using the </w:t>
      </w:r>
      <w:r w:rsidR="005D64C3">
        <w:rPr>
          <w:rFonts w:ascii="Times New Roman" w:hAnsi="Times New Roman"/>
          <w:sz w:val="28"/>
          <w:szCs w:val="28"/>
          <w:lang w:val="en-US"/>
        </w:rPr>
        <w:t>ADP</w:t>
      </w:r>
      <w:r w:rsidRPr="00690431">
        <w:rPr>
          <w:rFonts w:ascii="Times New Roman" w:hAnsi="Times New Roman"/>
          <w:sz w:val="28"/>
          <w:szCs w:val="28"/>
          <w:lang w:val="en-US"/>
        </w:rPr>
        <w:t xml:space="preserve"> developed methods of treatment and prevention of </w:t>
      </w:r>
      <w:r w:rsidR="005D64C3">
        <w:rPr>
          <w:rFonts w:ascii="Times New Roman" w:hAnsi="Times New Roman"/>
          <w:sz w:val="28"/>
          <w:szCs w:val="28"/>
          <w:lang w:val="en-US"/>
        </w:rPr>
        <w:t>ADP</w:t>
      </w:r>
      <w:r w:rsidRPr="00690431">
        <w:rPr>
          <w:rFonts w:ascii="Times New Roman" w:hAnsi="Times New Roman"/>
          <w:sz w:val="28"/>
          <w:szCs w:val="28"/>
          <w:lang w:val="en-US"/>
        </w:rPr>
        <w:t xml:space="preserve">. In the comparison group operated 121 (50.4%) patients on the abdominal pathology </w:t>
      </w:r>
      <w:r w:rsidR="005D64C3">
        <w:rPr>
          <w:rFonts w:ascii="Times New Roman" w:hAnsi="Times New Roman"/>
          <w:sz w:val="28"/>
          <w:szCs w:val="28"/>
          <w:lang w:val="en-US"/>
        </w:rPr>
        <w:t>ADP</w:t>
      </w:r>
      <w:r w:rsidRPr="00690431">
        <w:rPr>
          <w:rFonts w:ascii="Times New Roman" w:hAnsi="Times New Roman"/>
          <w:sz w:val="28"/>
          <w:szCs w:val="28"/>
          <w:lang w:val="en-US"/>
        </w:rPr>
        <w:t xml:space="preserve"> background using conventional techniques. Treatment of patients with abdominal pathology on the background of </w:t>
      </w:r>
      <w:r w:rsidR="005D64C3">
        <w:rPr>
          <w:rFonts w:ascii="Times New Roman" w:hAnsi="Times New Roman"/>
          <w:sz w:val="28"/>
          <w:szCs w:val="28"/>
          <w:lang w:val="en-US"/>
        </w:rPr>
        <w:t>ADP</w:t>
      </w:r>
      <w:r w:rsidRPr="00690431">
        <w:rPr>
          <w:rFonts w:ascii="Times New Roman" w:hAnsi="Times New Roman"/>
          <w:sz w:val="28"/>
          <w:szCs w:val="28"/>
          <w:lang w:val="en-US"/>
        </w:rPr>
        <w:t xml:space="preserve"> by using approaches developed adhesions prevention in the early postoperative period has reduced postoperative hospital stay; reduce the risk of early </w:t>
      </w:r>
      <w:r w:rsidR="005D64C3">
        <w:rPr>
          <w:rFonts w:ascii="Times New Roman" w:hAnsi="Times New Roman"/>
          <w:sz w:val="28"/>
          <w:szCs w:val="28"/>
          <w:lang w:val="en-US"/>
        </w:rPr>
        <w:t>AIO</w:t>
      </w:r>
      <w:r w:rsidRPr="00690431">
        <w:rPr>
          <w:rFonts w:ascii="Times New Roman" w:hAnsi="Times New Roman"/>
          <w:sz w:val="28"/>
          <w:szCs w:val="28"/>
          <w:lang w:val="en-US"/>
        </w:rPr>
        <w:t xml:space="preserve"> to 0.8%, anastomotic leak developed - to 1.7%, lower postoperative mortality to 0.8%. In the late postoperative period the frequency of pain decreased from 3.2% to, violations of the gastrointestinal tract by up to 2.4 %% passage, eliminate the risk of reoperation.</w:t>
      </w:r>
    </w:p>
    <w:p w:rsidR="00690431" w:rsidRPr="00690431" w:rsidRDefault="00690431" w:rsidP="00690431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lang w:val="en-US"/>
        </w:rPr>
      </w:pPr>
      <w:r w:rsidRPr="005D64C3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690431">
        <w:rPr>
          <w:rFonts w:ascii="Times New Roman" w:hAnsi="Times New Roman"/>
          <w:sz w:val="28"/>
          <w:szCs w:val="28"/>
          <w:lang w:val="en-US"/>
        </w:rPr>
        <w:t>: adhesive disease of the peritoneum, the prevention of adhesions.</w:t>
      </w:r>
    </w:p>
    <w:p w:rsidR="0080678A" w:rsidRPr="0080678A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678A">
        <w:rPr>
          <w:rFonts w:ascii="Times New Roman" w:hAnsi="Times New Roman"/>
          <w:sz w:val="28"/>
          <w:szCs w:val="28"/>
        </w:rPr>
        <w:t>По данным литературы, в 55 - 70% пациентов, после абдоминального хирургического вмешательства развивается спаечный проце</w:t>
      </w:r>
      <w:proofErr w:type="gramStart"/>
      <w:r w:rsidRPr="0080678A">
        <w:rPr>
          <w:rFonts w:ascii="Times New Roman" w:hAnsi="Times New Roman"/>
          <w:sz w:val="28"/>
          <w:szCs w:val="28"/>
        </w:rPr>
        <w:t>сс в бр</w:t>
      </w:r>
      <w:proofErr w:type="gramEnd"/>
      <w:r w:rsidRPr="0080678A">
        <w:rPr>
          <w:rFonts w:ascii="Times New Roman" w:hAnsi="Times New Roman"/>
          <w:sz w:val="28"/>
          <w:szCs w:val="28"/>
        </w:rPr>
        <w:t>юшной полости, который способен привести к такому грозному осложнению, как острая спаечная кишечная непроходимость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[</w:t>
      </w:r>
      <w:r w:rsidR="00B00940">
        <w:rPr>
          <w:rFonts w:ascii="Times New Roman" w:eastAsia="TimesNewRomanPSMT" w:hAnsi="Times New Roman"/>
          <w:sz w:val="28"/>
          <w:szCs w:val="28"/>
        </w:rPr>
        <w:t>3, 5</w:t>
      </w:r>
      <w:r>
        <w:rPr>
          <w:rFonts w:ascii="Times New Roman" w:eastAsia="TimesNewRomanPSMT" w:hAnsi="Times New Roman"/>
          <w:sz w:val="28"/>
          <w:szCs w:val="28"/>
        </w:rPr>
        <w:t>]</w:t>
      </w:r>
      <w:r w:rsidRPr="0080678A">
        <w:rPr>
          <w:rFonts w:ascii="Times New Roman" w:hAnsi="Times New Roman"/>
          <w:sz w:val="28"/>
          <w:szCs w:val="28"/>
        </w:rPr>
        <w:t>. Послеоперационная летальность при неблагоприятном течении острой спаечной кишечной непроходимости достигает 16 - 25%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[</w:t>
      </w:r>
      <w:r w:rsidR="00B00940">
        <w:rPr>
          <w:rFonts w:ascii="Times New Roman" w:eastAsia="TimesNewRomanPSMT" w:hAnsi="Times New Roman"/>
          <w:sz w:val="28"/>
          <w:szCs w:val="28"/>
        </w:rPr>
        <w:t>2, 4</w:t>
      </w:r>
      <w:r>
        <w:rPr>
          <w:rFonts w:ascii="Times New Roman" w:eastAsia="TimesNewRomanPSMT" w:hAnsi="Times New Roman"/>
          <w:sz w:val="28"/>
          <w:szCs w:val="28"/>
        </w:rPr>
        <w:t>]</w:t>
      </w:r>
      <w:r w:rsidRPr="0080678A">
        <w:rPr>
          <w:rFonts w:ascii="Times New Roman" w:hAnsi="Times New Roman"/>
          <w:sz w:val="28"/>
          <w:szCs w:val="28"/>
        </w:rPr>
        <w:t>.</w:t>
      </w:r>
    </w:p>
    <w:p w:rsidR="0080678A" w:rsidRPr="0080678A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678A">
        <w:rPr>
          <w:rFonts w:ascii="Times New Roman" w:hAnsi="Times New Roman"/>
          <w:sz w:val="28"/>
          <w:szCs w:val="28"/>
        </w:rPr>
        <w:lastRenderedPageBreak/>
        <w:t>Сложной задачей в клинике является профилактика рецидива острой спаечной кишечной непроходимости, который достигает 60 - 70%. Набирает темп распространения в хирургической практике применения фармакологических методов, основанных на использовании различных химических соединений и барьеров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[</w:t>
      </w:r>
      <w:r w:rsidR="00B00940">
        <w:rPr>
          <w:rFonts w:ascii="Times New Roman" w:eastAsia="TimesNewRomanPSMT" w:hAnsi="Times New Roman"/>
          <w:sz w:val="28"/>
          <w:szCs w:val="28"/>
        </w:rPr>
        <w:t>1, 7</w:t>
      </w:r>
      <w:r>
        <w:rPr>
          <w:rFonts w:ascii="Times New Roman" w:eastAsia="TimesNewRomanPSMT" w:hAnsi="Times New Roman"/>
          <w:sz w:val="28"/>
          <w:szCs w:val="28"/>
        </w:rPr>
        <w:t>]</w:t>
      </w:r>
      <w:r w:rsidRPr="0080678A">
        <w:rPr>
          <w:rFonts w:ascii="Times New Roman" w:hAnsi="Times New Roman"/>
          <w:sz w:val="28"/>
          <w:szCs w:val="28"/>
        </w:rPr>
        <w:t>.</w:t>
      </w:r>
    </w:p>
    <w:p w:rsidR="0080678A" w:rsidRPr="0080678A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678A">
        <w:rPr>
          <w:rFonts w:ascii="Times New Roman" w:hAnsi="Times New Roman"/>
          <w:sz w:val="28"/>
          <w:szCs w:val="28"/>
        </w:rPr>
        <w:t xml:space="preserve">Существует необходимость определения в предоперационном периоде специфических маркеров для выявления группы пациентов, склонных к развитию спаечной болезни брюшины и </w:t>
      </w:r>
      <w:proofErr w:type="gramStart"/>
      <w:r w:rsidRPr="0080678A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80678A">
        <w:rPr>
          <w:rFonts w:ascii="Times New Roman" w:hAnsi="Times New Roman"/>
          <w:sz w:val="28"/>
          <w:szCs w:val="28"/>
        </w:rPr>
        <w:t xml:space="preserve"> профилактических </w:t>
      </w:r>
      <w:proofErr w:type="spellStart"/>
      <w:r w:rsidRPr="0080678A">
        <w:rPr>
          <w:rFonts w:ascii="Times New Roman" w:hAnsi="Times New Roman"/>
          <w:sz w:val="28"/>
          <w:szCs w:val="28"/>
        </w:rPr>
        <w:t>интраоперационных</w:t>
      </w:r>
      <w:proofErr w:type="spellEnd"/>
      <w:r w:rsidRPr="0080678A">
        <w:rPr>
          <w:rFonts w:ascii="Times New Roman" w:hAnsi="Times New Roman"/>
          <w:sz w:val="28"/>
          <w:szCs w:val="28"/>
        </w:rPr>
        <w:t xml:space="preserve"> мероприятий</w:t>
      </w:r>
      <w:r w:rsidR="00BE5B58">
        <w:rPr>
          <w:rFonts w:ascii="Times New Roman" w:hAnsi="Times New Roman"/>
          <w:sz w:val="28"/>
          <w:szCs w:val="28"/>
        </w:rPr>
        <w:t xml:space="preserve"> </w:t>
      </w:r>
      <w:r w:rsidR="00BE5B58">
        <w:rPr>
          <w:rFonts w:ascii="Times New Roman" w:eastAsia="TimesNewRomanPSMT" w:hAnsi="Times New Roman"/>
          <w:sz w:val="28"/>
          <w:szCs w:val="28"/>
        </w:rPr>
        <w:t>[6]</w:t>
      </w:r>
      <w:r w:rsidRPr="0080678A">
        <w:rPr>
          <w:rFonts w:ascii="Times New Roman" w:hAnsi="Times New Roman"/>
          <w:sz w:val="28"/>
          <w:szCs w:val="28"/>
        </w:rPr>
        <w:t>.</w:t>
      </w:r>
    </w:p>
    <w:p w:rsidR="0080678A" w:rsidRPr="0080678A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78A">
        <w:rPr>
          <w:rFonts w:ascii="Times New Roman" w:hAnsi="Times New Roman"/>
          <w:sz w:val="28"/>
          <w:szCs w:val="28"/>
        </w:rPr>
        <w:t xml:space="preserve">Перспективным направлением в решении этой проблемы является внедрение и совершенствование методик своевременной диагностики склонности к спаечной болезни брюшины; выбор оптимальных способов для проведения медикаментозной и хирургической коррекции проявлений спаечной болезни брюшины; разработка новых и совершенствование известных способов оперативных вмешательств при спаечной болезни брюшины; своевременная и </w:t>
      </w:r>
      <w:proofErr w:type="spellStart"/>
      <w:r w:rsidRPr="0080678A">
        <w:rPr>
          <w:rFonts w:ascii="Times New Roman" w:hAnsi="Times New Roman"/>
          <w:sz w:val="28"/>
          <w:szCs w:val="28"/>
        </w:rPr>
        <w:t>патогенетически</w:t>
      </w:r>
      <w:proofErr w:type="spellEnd"/>
      <w:r w:rsidRPr="0080678A">
        <w:rPr>
          <w:rFonts w:ascii="Times New Roman" w:hAnsi="Times New Roman"/>
          <w:sz w:val="28"/>
          <w:szCs w:val="28"/>
        </w:rPr>
        <w:t xml:space="preserve"> обусловлена ​​терапия в пред- и послеоперационном периодах;</w:t>
      </w:r>
      <w:proofErr w:type="gramEnd"/>
      <w:r w:rsidRPr="0080678A">
        <w:rPr>
          <w:rFonts w:ascii="Times New Roman" w:hAnsi="Times New Roman"/>
          <w:sz w:val="28"/>
          <w:szCs w:val="28"/>
        </w:rPr>
        <w:t xml:space="preserve"> разработка алгоритма характеризует эффективность лечения больных спаечной болезнью брюшины.</w:t>
      </w:r>
    </w:p>
    <w:p w:rsidR="0080678A" w:rsidRPr="003763DD" w:rsidRDefault="000F6AD7" w:rsidP="000F6A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98">
        <w:rPr>
          <w:rFonts w:ascii="Times New Roman" w:hAnsi="Times New Roman"/>
          <w:sz w:val="28"/>
          <w:szCs w:val="28"/>
        </w:rPr>
        <w:t>В основной группе прооперировано 119 (49,6%) больных по поводу абдоминальной патологии на фоне СББ с использованием разработанных методик лечения и профилактики СББ.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C04">
        <w:rPr>
          <w:rFonts w:ascii="Times New Roman" w:hAnsi="Times New Roman"/>
          <w:sz w:val="28"/>
          <w:szCs w:val="28"/>
        </w:rPr>
        <w:t>В группе сравнения прооперировано 121 (50,4%) больных по поводу абдоминальной патологии на фоне СББ с испол</w:t>
      </w:r>
      <w:r>
        <w:rPr>
          <w:rFonts w:ascii="Times New Roman" w:hAnsi="Times New Roman"/>
          <w:sz w:val="28"/>
          <w:szCs w:val="28"/>
        </w:rPr>
        <w:t xml:space="preserve">ьзованием традиционных методик. </w:t>
      </w:r>
      <w:r w:rsidR="0080678A" w:rsidRPr="003763DD">
        <w:rPr>
          <w:rFonts w:ascii="Times New Roman" w:hAnsi="Times New Roman"/>
          <w:sz w:val="28"/>
          <w:szCs w:val="28"/>
        </w:rPr>
        <w:t xml:space="preserve">Для проведения восстановительной операции все больные поступали в плановом порядке в удовлетворительном состоянии. Диагностический алгоритм проведен в соответствии со стандартами обследования больных с кишечными свищами. Для выбора доступа обращали внимание на расположение, подвижность приводящего и отводящего сегментов кишечника. Выполняли компьютерную томографию для определения локализации вшитой механическим швом культи кишки в </w:t>
      </w:r>
      <w:r w:rsidR="0080678A" w:rsidRPr="003763DD">
        <w:rPr>
          <w:rFonts w:ascii="Times New Roman" w:hAnsi="Times New Roman"/>
          <w:sz w:val="28"/>
          <w:szCs w:val="28"/>
        </w:rPr>
        <w:lastRenderedPageBreak/>
        <w:t>брюшной полости и ее проекции на переднюю брюшную стенку с целью выбора доступа у 17 (9,2%) больных.</w:t>
      </w: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Свищи были разного уровня: </w:t>
      </w:r>
      <w:proofErr w:type="spellStart"/>
      <w:r w:rsidRPr="003763DD">
        <w:rPr>
          <w:rFonts w:ascii="Times New Roman" w:hAnsi="Times New Roman"/>
          <w:sz w:val="28"/>
          <w:szCs w:val="28"/>
        </w:rPr>
        <w:t>сигмостомы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- у 89 (48,1%) больных, </w:t>
      </w:r>
      <w:proofErr w:type="spellStart"/>
      <w:r w:rsidRPr="003763DD">
        <w:rPr>
          <w:rFonts w:ascii="Times New Roman" w:hAnsi="Times New Roman"/>
          <w:sz w:val="28"/>
          <w:szCs w:val="28"/>
        </w:rPr>
        <w:t>десцендостомы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- у 77 (41,6%), двуствольные </w:t>
      </w:r>
      <w:proofErr w:type="spellStart"/>
      <w:r w:rsidRPr="003763DD">
        <w:rPr>
          <w:rFonts w:ascii="Times New Roman" w:hAnsi="Times New Roman"/>
          <w:sz w:val="28"/>
          <w:szCs w:val="28"/>
        </w:rPr>
        <w:t>стомы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– у 19 (10,3 %). Распределение больных  в зависимости от вида восстановительной операции представлено в таблице 1.</w:t>
      </w:r>
    </w:p>
    <w:p w:rsidR="0080678A" w:rsidRPr="003763DD" w:rsidRDefault="0080678A" w:rsidP="0080678A">
      <w:pPr>
        <w:pStyle w:val="a3"/>
        <w:spacing w:line="360" w:lineRule="auto"/>
        <w:ind w:firstLine="700"/>
        <w:jc w:val="right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>Таблица 1</w:t>
      </w:r>
    </w:p>
    <w:p w:rsidR="0080678A" w:rsidRPr="003763DD" w:rsidRDefault="0080678A" w:rsidP="0080678A">
      <w:pPr>
        <w:pStyle w:val="a3"/>
        <w:spacing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>Распределение больных в зависимости от вида восстановительной операции по группам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1926"/>
        <w:gridCol w:w="1926"/>
        <w:gridCol w:w="1924"/>
      </w:tblGrid>
      <w:tr w:rsidR="0080678A" w:rsidRPr="003763DD" w:rsidTr="00BE5B58">
        <w:tc>
          <w:tcPr>
            <w:tcW w:w="1956" w:type="pct"/>
            <w:shd w:val="clear" w:color="auto" w:fill="auto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 xml:space="preserve">Вид </w:t>
            </w:r>
            <w:r w:rsidRPr="003763DD">
              <w:rPr>
                <w:rFonts w:ascii="Times New Roman" w:hAnsi="Times New Roman"/>
                <w:sz w:val="28"/>
                <w:szCs w:val="28"/>
              </w:rPr>
              <w:t>восстановительной операции</w:t>
            </w:r>
          </w:p>
        </w:tc>
        <w:tc>
          <w:tcPr>
            <w:tcW w:w="1015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1015" w:type="pct"/>
            <w:vAlign w:val="center"/>
          </w:tcPr>
          <w:p w:rsidR="0080678A" w:rsidRPr="003763DD" w:rsidRDefault="0080678A" w:rsidP="00BE5B58">
            <w:pPr>
              <w:spacing w:line="240" w:lineRule="auto"/>
              <w:ind w:right="-2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>Группа сравнения</w:t>
            </w:r>
          </w:p>
        </w:tc>
        <w:tc>
          <w:tcPr>
            <w:tcW w:w="1014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80678A" w:rsidRPr="003763DD" w:rsidTr="00BE5B58">
        <w:tc>
          <w:tcPr>
            <w:tcW w:w="1956" w:type="pct"/>
            <w:shd w:val="clear" w:color="auto" w:fill="auto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63DD">
              <w:rPr>
                <w:rFonts w:ascii="Times New Roman" w:eastAsia="Calibri" w:hAnsi="Times New Roman"/>
                <w:sz w:val="28"/>
                <w:szCs w:val="28"/>
              </w:rPr>
              <w:t>Десцендоректоанастомоз</w:t>
            </w:r>
            <w:proofErr w:type="spellEnd"/>
          </w:p>
        </w:tc>
        <w:tc>
          <w:tcPr>
            <w:tcW w:w="1015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 xml:space="preserve">36 </w:t>
            </w:r>
            <w:r w:rsidRPr="003763DD">
              <w:rPr>
                <w:rFonts w:ascii="Times New Roman" w:hAnsi="Times New Roman"/>
                <w:sz w:val="28"/>
                <w:szCs w:val="28"/>
              </w:rPr>
              <w:t>(19,5%)</w:t>
            </w:r>
          </w:p>
        </w:tc>
        <w:tc>
          <w:tcPr>
            <w:tcW w:w="1015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 xml:space="preserve">41 </w:t>
            </w:r>
            <w:r w:rsidRPr="003763DD">
              <w:rPr>
                <w:rFonts w:ascii="Times New Roman" w:hAnsi="Times New Roman"/>
                <w:sz w:val="28"/>
                <w:szCs w:val="28"/>
              </w:rPr>
              <w:t>(22,2%)</w:t>
            </w:r>
          </w:p>
        </w:tc>
        <w:tc>
          <w:tcPr>
            <w:tcW w:w="1014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77 (41,6%)</w:t>
            </w:r>
          </w:p>
        </w:tc>
      </w:tr>
      <w:tr w:rsidR="0080678A" w:rsidRPr="003763DD" w:rsidTr="00BE5B58">
        <w:tc>
          <w:tcPr>
            <w:tcW w:w="1956" w:type="pct"/>
            <w:shd w:val="clear" w:color="auto" w:fill="auto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63DD">
              <w:rPr>
                <w:rFonts w:ascii="Times New Roman" w:eastAsia="Calibri" w:hAnsi="Times New Roman"/>
                <w:sz w:val="28"/>
                <w:szCs w:val="28"/>
              </w:rPr>
              <w:t>Сигморектоанастомоз</w:t>
            </w:r>
            <w:proofErr w:type="spellEnd"/>
          </w:p>
        </w:tc>
        <w:tc>
          <w:tcPr>
            <w:tcW w:w="1015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 xml:space="preserve">44 </w:t>
            </w:r>
            <w:r w:rsidRPr="003763DD">
              <w:rPr>
                <w:rFonts w:ascii="Times New Roman" w:hAnsi="Times New Roman"/>
                <w:sz w:val="28"/>
                <w:szCs w:val="28"/>
              </w:rPr>
              <w:t>(23,8%)</w:t>
            </w:r>
          </w:p>
        </w:tc>
        <w:tc>
          <w:tcPr>
            <w:tcW w:w="1015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 xml:space="preserve">45 </w:t>
            </w:r>
            <w:r w:rsidRPr="003763DD">
              <w:rPr>
                <w:rFonts w:ascii="Times New Roman" w:hAnsi="Times New Roman"/>
                <w:sz w:val="28"/>
                <w:szCs w:val="28"/>
              </w:rPr>
              <w:t>(24,3%)</w:t>
            </w:r>
          </w:p>
        </w:tc>
        <w:tc>
          <w:tcPr>
            <w:tcW w:w="1014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89 (48,1%)</w:t>
            </w:r>
          </w:p>
        </w:tc>
      </w:tr>
      <w:tr w:rsidR="0080678A" w:rsidRPr="003763DD" w:rsidTr="00BE5B58">
        <w:tc>
          <w:tcPr>
            <w:tcW w:w="1956" w:type="pct"/>
            <w:shd w:val="clear" w:color="auto" w:fill="auto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763DD">
              <w:rPr>
                <w:rFonts w:ascii="Times New Roman" w:eastAsia="Calibri" w:hAnsi="Times New Roman"/>
                <w:sz w:val="28"/>
                <w:szCs w:val="28"/>
              </w:rPr>
              <w:t>Межкишечный</w:t>
            </w:r>
            <w:proofErr w:type="spellEnd"/>
            <w:r w:rsidRPr="003763DD">
              <w:rPr>
                <w:rFonts w:ascii="Times New Roman" w:eastAsia="Calibri" w:hAnsi="Times New Roman"/>
                <w:sz w:val="28"/>
                <w:szCs w:val="28"/>
              </w:rPr>
              <w:t xml:space="preserve"> анастомоз (внебрюшинный доступ)</w:t>
            </w:r>
          </w:p>
        </w:tc>
        <w:tc>
          <w:tcPr>
            <w:tcW w:w="1015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 xml:space="preserve">11 </w:t>
            </w:r>
            <w:r w:rsidRPr="003763DD">
              <w:rPr>
                <w:rFonts w:ascii="Times New Roman" w:hAnsi="Times New Roman"/>
                <w:sz w:val="28"/>
                <w:szCs w:val="28"/>
              </w:rPr>
              <w:t>(5,9%)</w:t>
            </w:r>
          </w:p>
        </w:tc>
        <w:tc>
          <w:tcPr>
            <w:tcW w:w="1015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 xml:space="preserve">8 </w:t>
            </w:r>
            <w:r w:rsidRPr="003763DD">
              <w:rPr>
                <w:rFonts w:ascii="Times New Roman" w:hAnsi="Times New Roman"/>
                <w:sz w:val="28"/>
                <w:szCs w:val="28"/>
              </w:rPr>
              <w:t>(4,3%)</w:t>
            </w:r>
          </w:p>
        </w:tc>
        <w:tc>
          <w:tcPr>
            <w:tcW w:w="1014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19 (10,3 %)</w:t>
            </w:r>
          </w:p>
        </w:tc>
      </w:tr>
      <w:tr w:rsidR="0080678A" w:rsidRPr="003763DD" w:rsidTr="00BE5B58">
        <w:tc>
          <w:tcPr>
            <w:tcW w:w="1956" w:type="pct"/>
            <w:shd w:val="clear" w:color="auto" w:fill="auto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1015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 xml:space="preserve">91 </w:t>
            </w:r>
            <w:r w:rsidRPr="003763DD">
              <w:rPr>
                <w:rFonts w:ascii="Times New Roman" w:hAnsi="Times New Roman"/>
                <w:sz w:val="28"/>
                <w:szCs w:val="28"/>
              </w:rPr>
              <w:t>(49,2%)</w:t>
            </w:r>
          </w:p>
        </w:tc>
        <w:tc>
          <w:tcPr>
            <w:tcW w:w="1015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 xml:space="preserve">94 </w:t>
            </w:r>
            <w:r w:rsidRPr="003763DD">
              <w:rPr>
                <w:rFonts w:ascii="Times New Roman" w:hAnsi="Times New Roman"/>
                <w:sz w:val="28"/>
                <w:szCs w:val="28"/>
              </w:rPr>
              <w:t>(50,8%)</w:t>
            </w:r>
          </w:p>
        </w:tc>
        <w:tc>
          <w:tcPr>
            <w:tcW w:w="1014" w:type="pct"/>
            <w:vAlign w:val="center"/>
          </w:tcPr>
          <w:p w:rsidR="0080678A" w:rsidRPr="003763DD" w:rsidRDefault="0080678A" w:rsidP="00BE5B58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3DD">
              <w:rPr>
                <w:rFonts w:ascii="Times New Roman" w:eastAsia="Calibri" w:hAnsi="Times New Roman"/>
                <w:sz w:val="28"/>
                <w:szCs w:val="28"/>
              </w:rPr>
              <w:t xml:space="preserve">185 </w:t>
            </w:r>
            <w:r w:rsidRPr="003763DD"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</w:tr>
    </w:tbl>
    <w:p w:rsidR="0080678A" w:rsidRPr="003763DD" w:rsidRDefault="0080678A" w:rsidP="0080678A">
      <w:pPr>
        <w:pStyle w:val="a3"/>
        <w:spacing w:line="360" w:lineRule="auto"/>
        <w:ind w:firstLine="700"/>
        <w:rPr>
          <w:rFonts w:ascii="Times New Roman" w:hAnsi="Times New Roman"/>
          <w:sz w:val="28"/>
          <w:szCs w:val="28"/>
        </w:rPr>
      </w:pP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Восстановительные операции выполнены после первичных вмешательств через 4-6 </w:t>
      </w:r>
      <w:proofErr w:type="spellStart"/>
      <w:proofErr w:type="gramStart"/>
      <w:r w:rsidRPr="003763DD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3763DD">
        <w:rPr>
          <w:rFonts w:ascii="Times New Roman" w:hAnsi="Times New Roman"/>
          <w:sz w:val="28"/>
          <w:szCs w:val="28"/>
        </w:rPr>
        <w:t xml:space="preserve"> - в 98 больных (53,0%), 7-12 </w:t>
      </w:r>
      <w:proofErr w:type="spellStart"/>
      <w:r w:rsidRPr="003763DD">
        <w:rPr>
          <w:rFonts w:ascii="Times New Roman" w:hAnsi="Times New Roman"/>
          <w:sz w:val="28"/>
          <w:szCs w:val="28"/>
        </w:rPr>
        <w:t>мес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- у 68 (36,7 %) пациентов и более 1 года - у 19 (10,3%).</w:t>
      </w: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Срединным доступом </w:t>
      </w:r>
      <w:proofErr w:type="gramStart"/>
      <w:r w:rsidRPr="003763DD">
        <w:rPr>
          <w:rFonts w:ascii="Times New Roman" w:hAnsi="Times New Roman"/>
          <w:sz w:val="28"/>
          <w:szCs w:val="28"/>
        </w:rPr>
        <w:t>оперированы</w:t>
      </w:r>
      <w:proofErr w:type="gramEnd"/>
      <w:r w:rsidRPr="003763DD">
        <w:rPr>
          <w:rFonts w:ascii="Times New Roman" w:hAnsi="Times New Roman"/>
          <w:sz w:val="28"/>
          <w:szCs w:val="28"/>
        </w:rPr>
        <w:t xml:space="preserve"> 122 (67,0%) пациента и </w:t>
      </w:r>
      <w:proofErr w:type="spellStart"/>
      <w:r w:rsidRPr="003763DD">
        <w:rPr>
          <w:rFonts w:ascii="Times New Roman" w:hAnsi="Times New Roman"/>
          <w:sz w:val="28"/>
          <w:szCs w:val="28"/>
        </w:rPr>
        <w:t>парастомическим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– 44 (23,8%). </w:t>
      </w:r>
      <w:proofErr w:type="gramStart"/>
      <w:r w:rsidRPr="003763DD">
        <w:rPr>
          <w:rFonts w:ascii="Times New Roman" w:hAnsi="Times New Roman"/>
          <w:sz w:val="28"/>
          <w:szCs w:val="28"/>
        </w:rPr>
        <w:t>При срединной лапаротомии, как показали измерения, приводящий и отводящий сегменты кишки находились в стороне от раны, удовлетворительные условия выполнения восстановительного этапа достигались за счет увеличения ее.</w:t>
      </w:r>
      <w:proofErr w:type="gramEnd"/>
      <w:r w:rsidRPr="003763DD">
        <w:rPr>
          <w:rFonts w:ascii="Times New Roman" w:hAnsi="Times New Roman"/>
          <w:sz w:val="28"/>
          <w:szCs w:val="28"/>
        </w:rPr>
        <w:t xml:space="preserve"> Размер срединной раны составлял 18,5 ± 3,5 см.</w:t>
      </w: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Продолжительность операции, выполненной из срединной лапаротомии, составила 163,34 ± 8,2 минут, продолжительность этапа рассечение спаек - 58,2 ± 10,04 минут. У 7 больных (3,8%) во время операции </w:t>
      </w:r>
      <w:r w:rsidRPr="003763DD">
        <w:rPr>
          <w:rFonts w:ascii="Times New Roman" w:hAnsi="Times New Roman"/>
          <w:sz w:val="28"/>
          <w:szCs w:val="28"/>
        </w:rPr>
        <w:lastRenderedPageBreak/>
        <w:t xml:space="preserve">при разъединении спаек была перфорированная стенка тонкой кишки. У 2 (1,1%) больных резецированная петля кишки с перфорацией и наложен анастомоз, 5 (2,7%) - выполнено </w:t>
      </w:r>
      <w:proofErr w:type="spellStart"/>
      <w:r w:rsidRPr="003763DD">
        <w:rPr>
          <w:rFonts w:ascii="Times New Roman" w:hAnsi="Times New Roman"/>
          <w:sz w:val="28"/>
          <w:szCs w:val="28"/>
        </w:rPr>
        <w:t>ушивание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раны кишечной стенки. У 12 (6,5%) больных повреждения стенки были в пределах серозного и мышечного слоев. После операции стойкая перистальтика появилась через 3,24 ± 0,25, отхождение газов - 4,15 ± 0,30, первый стул - 4,68 ± 0,33 суток.</w:t>
      </w: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3763DD">
        <w:rPr>
          <w:rFonts w:ascii="Times New Roman" w:hAnsi="Times New Roman"/>
          <w:sz w:val="28"/>
          <w:szCs w:val="28"/>
        </w:rPr>
        <w:t>парастомическом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доступе после иссечения свища рана расширялась </w:t>
      </w:r>
      <w:proofErr w:type="gramStart"/>
      <w:r w:rsidRPr="003763DD">
        <w:rPr>
          <w:rFonts w:ascii="Times New Roman" w:hAnsi="Times New Roman"/>
          <w:sz w:val="28"/>
          <w:szCs w:val="28"/>
        </w:rPr>
        <w:t>в направлении заглушенной кишки по типу одного из стандартных оперативных доступов до появления в зоне</w:t>
      </w:r>
      <w:proofErr w:type="gramEnd"/>
      <w:r w:rsidRPr="003763DD">
        <w:rPr>
          <w:rFonts w:ascii="Times New Roman" w:hAnsi="Times New Roman"/>
          <w:sz w:val="28"/>
          <w:szCs w:val="28"/>
        </w:rPr>
        <w:t xml:space="preserve"> визуального контроля. Приводящий и отводящий сегменты кишки находились в центре раны, средний размер ее составил 11,35 ± 0,5 см. Операции продолжались 124 ± 9,64 минут, время </w:t>
      </w:r>
      <w:proofErr w:type="spellStart"/>
      <w:r w:rsidRPr="003763DD">
        <w:rPr>
          <w:rFonts w:ascii="Times New Roman" w:hAnsi="Times New Roman"/>
          <w:sz w:val="28"/>
          <w:szCs w:val="28"/>
        </w:rPr>
        <w:t>висцеролиза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- 38,34 ± 3,6 минут (табл. </w:t>
      </w:r>
      <w:r w:rsidR="00BE5B58">
        <w:rPr>
          <w:rFonts w:ascii="Times New Roman" w:hAnsi="Times New Roman"/>
          <w:sz w:val="28"/>
          <w:szCs w:val="28"/>
        </w:rPr>
        <w:t>2</w:t>
      </w:r>
      <w:r w:rsidRPr="003763DD">
        <w:rPr>
          <w:rFonts w:ascii="Times New Roman" w:hAnsi="Times New Roman"/>
          <w:sz w:val="28"/>
          <w:szCs w:val="28"/>
        </w:rPr>
        <w:t>)</w:t>
      </w:r>
    </w:p>
    <w:p w:rsidR="0080678A" w:rsidRPr="003763DD" w:rsidRDefault="0080678A" w:rsidP="0080678A">
      <w:pPr>
        <w:pStyle w:val="a3"/>
        <w:spacing w:line="360" w:lineRule="auto"/>
        <w:ind w:firstLine="700"/>
        <w:jc w:val="right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Таблица </w:t>
      </w:r>
      <w:r w:rsidR="00BE5B58">
        <w:rPr>
          <w:rFonts w:ascii="Times New Roman" w:hAnsi="Times New Roman"/>
          <w:sz w:val="28"/>
          <w:szCs w:val="28"/>
        </w:rPr>
        <w:t>2</w:t>
      </w:r>
    </w:p>
    <w:p w:rsidR="0080678A" w:rsidRPr="003763DD" w:rsidRDefault="0080678A" w:rsidP="0080678A">
      <w:pPr>
        <w:pStyle w:val="a3"/>
        <w:tabs>
          <w:tab w:val="left" w:pos="36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>Особенности оперативных вмешатель</w:t>
      </w:r>
      <w:proofErr w:type="gramStart"/>
      <w:r w:rsidRPr="003763DD">
        <w:rPr>
          <w:rFonts w:ascii="Times New Roman" w:hAnsi="Times New Roman"/>
          <w:sz w:val="28"/>
          <w:szCs w:val="28"/>
        </w:rPr>
        <w:t>ств пр</w:t>
      </w:r>
      <w:proofErr w:type="gramEnd"/>
      <w:r w:rsidRPr="003763DD">
        <w:rPr>
          <w:rFonts w:ascii="Times New Roman" w:hAnsi="Times New Roman"/>
          <w:sz w:val="28"/>
          <w:szCs w:val="28"/>
        </w:rPr>
        <w:t>и различных доступах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80678A" w:rsidRPr="003763DD" w:rsidTr="00BE5B5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Pr="003763DD">
              <w:rPr>
                <w:rFonts w:ascii="Times New Roman" w:hAnsi="Times New Roman"/>
                <w:sz w:val="28"/>
                <w:szCs w:val="28"/>
              </w:rPr>
              <w:br/>
              <w:t>оперативных доступов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3DD">
              <w:rPr>
                <w:rFonts w:ascii="Times New Roman" w:hAnsi="Times New Roman"/>
                <w:sz w:val="28"/>
                <w:szCs w:val="28"/>
              </w:rPr>
              <w:t>лапаротомный</w:t>
            </w:r>
            <w:proofErr w:type="spellEnd"/>
            <w:r w:rsidRPr="003763DD">
              <w:rPr>
                <w:rFonts w:ascii="Times New Roman" w:hAnsi="Times New Roman"/>
                <w:sz w:val="28"/>
                <w:szCs w:val="28"/>
              </w:rPr>
              <w:t xml:space="preserve"> доступ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3DD">
              <w:rPr>
                <w:rFonts w:ascii="Times New Roman" w:hAnsi="Times New Roman"/>
                <w:sz w:val="28"/>
                <w:szCs w:val="28"/>
              </w:rPr>
              <w:t>парастомический</w:t>
            </w:r>
            <w:proofErr w:type="spellEnd"/>
            <w:r w:rsidRPr="003763DD">
              <w:rPr>
                <w:rFonts w:ascii="Times New Roman" w:hAnsi="Times New Roman"/>
                <w:sz w:val="28"/>
                <w:szCs w:val="28"/>
              </w:rPr>
              <w:t xml:space="preserve"> доступ</w:t>
            </w:r>
          </w:p>
        </w:tc>
      </w:tr>
      <w:tr w:rsidR="0080678A" w:rsidRPr="003763DD" w:rsidTr="00BE5B5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длина раны (</w:t>
            </w:r>
            <w:proofErr w:type="gramStart"/>
            <w:r w:rsidRPr="003763DD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3763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18,5±3,5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11,35 ± 0,5</w:t>
            </w:r>
          </w:p>
        </w:tc>
      </w:tr>
      <w:tr w:rsidR="0080678A" w:rsidRPr="003763DD" w:rsidTr="00BE5B5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время операции (мин)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163,34 ± 8,2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124 ± 9,64</w:t>
            </w:r>
          </w:p>
        </w:tc>
      </w:tr>
      <w:tr w:rsidR="0080678A" w:rsidRPr="003763DD" w:rsidTr="00BE5B58">
        <w:trPr>
          <w:trHeight w:val="49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spellStart"/>
            <w:r w:rsidRPr="003763DD">
              <w:rPr>
                <w:rFonts w:ascii="Times New Roman" w:hAnsi="Times New Roman"/>
                <w:sz w:val="28"/>
                <w:szCs w:val="28"/>
              </w:rPr>
              <w:t>висцеролиза</w:t>
            </w:r>
            <w:proofErr w:type="spellEnd"/>
            <w:r w:rsidRPr="003763DD">
              <w:rPr>
                <w:rFonts w:ascii="Times New Roman" w:hAnsi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58,2 ± 10,04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8A" w:rsidRPr="003763DD" w:rsidRDefault="0080678A" w:rsidP="00BE5B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D">
              <w:rPr>
                <w:rFonts w:ascii="Times New Roman" w:hAnsi="Times New Roman"/>
                <w:sz w:val="28"/>
                <w:szCs w:val="28"/>
              </w:rPr>
              <w:t>38,34 ± 3,6</w:t>
            </w:r>
          </w:p>
        </w:tc>
      </w:tr>
    </w:tbl>
    <w:p w:rsidR="0080678A" w:rsidRDefault="0080678A" w:rsidP="0080678A">
      <w:pPr>
        <w:pStyle w:val="a3"/>
        <w:spacing w:line="360" w:lineRule="auto"/>
        <w:ind w:firstLine="700"/>
        <w:rPr>
          <w:rFonts w:ascii="Times New Roman" w:hAnsi="Times New Roman"/>
          <w:sz w:val="28"/>
          <w:szCs w:val="28"/>
        </w:rPr>
      </w:pP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Вскрытие просвета кишки было у 3 (1,6%) больных, дефект был ушит. У 9 (4,7%) человек был поврежден </w:t>
      </w:r>
      <w:proofErr w:type="spellStart"/>
      <w:r w:rsidRPr="003763DD">
        <w:rPr>
          <w:rFonts w:ascii="Times New Roman" w:hAnsi="Times New Roman"/>
          <w:sz w:val="28"/>
          <w:szCs w:val="28"/>
        </w:rPr>
        <w:t>серозомышечный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слой стенки кишки. В послеоперационном периоде перистальтика восстановилась через 1,58 ± 0,12 суток, газы отошли через 2,18 ± 0,12 и стул - 3,56 ± 0,24 суток.</w:t>
      </w: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В ходе исследования особенностей </w:t>
      </w:r>
      <w:proofErr w:type="spellStart"/>
      <w:r w:rsidRPr="003763DD">
        <w:rPr>
          <w:rFonts w:ascii="Times New Roman" w:hAnsi="Times New Roman"/>
          <w:sz w:val="28"/>
          <w:szCs w:val="28"/>
        </w:rPr>
        <w:t>спайкообразования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у больных с </w:t>
      </w:r>
      <w:proofErr w:type="spellStart"/>
      <w:r w:rsidRPr="003763DD">
        <w:rPr>
          <w:rFonts w:ascii="Times New Roman" w:hAnsi="Times New Roman"/>
          <w:sz w:val="28"/>
          <w:szCs w:val="28"/>
        </w:rPr>
        <w:t>колостомами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выявлено, что спайки возникли у всех больных, которым </w:t>
      </w:r>
      <w:r w:rsidRPr="003763DD">
        <w:rPr>
          <w:rFonts w:ascii="Times New Roman" w:hAnsi="Times New Roman"/>
          <w:sz w:val="28"/>
          <w:szCs w:val="28"/>
        </w:rPr>
        <w:lastRenderedPageBreak/>
        <w:t xml:space="preserve">сформирован свищ, что связано с вскрытием просвета кишки, </w:t>
      </w:r>
      <w:proofErr w:type="spellStart"/>
      <w:r w:rsidRPr="003763DD">
        <w:rPr>
          <w:rFonts w:ascii="Times New Roman" w:hAnsi="Times New Roman"/>
          <w:sz w:val="28"/>
          <w:szCs w:val="28"/>
        </w:rPr>
        <w:t>травматичностью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тканей брюшной полости при операциях на кишечнике. Выраженный спаечный процесс в области срединного рубца был у 74 (40,0%), культи кишки - у 61 (33,0%) и </w:t>
      </w:r>
      <w:proofErr w:type="spellStart"/>
      <w:r w:rsidRPr="003763DD">
        <w:rPr>
          <w:rFonts w:ascii="Times New Roman" w:hAnsi="Times New Roman"/>
          <w:sz w:val="28"/>
          <w:szCs w:val="28"/>
        </w:rPr>
        <w:t>колостомы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у 50 (27,0%) больных (рис 1).</w:t>
      </w:r>
    </w:p>
    <w:p w:rsidR="0080678A" w:rsidRPr="003763DD" w:rsidRDefault="0080678A" w:rsidP="0080678A">
      <w:pPr>
        <w:pStyle w:val="a3"/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24638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678A" w:rsidRPr="003763DD" w:rsidRDefault="0080678A" w:rsidP="0080678A">
      <w:pPr>
        <w:pStyle w:val="a3"/>
        <w:suppressAutoHyphens/>
        <w:spacing w:line="360" w:lineRule="auto"/>
        <w:ind w:left="2120" w:hanging="1423"/>
        <w:rPr>
          <w:rFonts w:ascii="Times New Roman" w:hAnsi="Times New Roman"/>
          <w:sz w:val="28"/>
          <w:szCs w:val="28"/>
          <w:u w:val="single"/>
        </w:rPr>
      </w:pPr>
      <w:r w:rsidRPr="003763DD">
        <w:rPr>
          <w:rFonts w:ascii="Times New Roman" w:hAnsi="Times New Roman"/>
          <w:sz w:val="28"/>
          <w:szCs w:val="28"/>
        </w:rPr>
        <w:t>Рис. 1</w:t>
      </w:r>
      <w:r w:rsidRPr="003763DD">
        <w:rPr>
          <w:rFonts w:ascii="Times New Roman" w:hAnsi="Times New Roman"/>
          <w:sz w:val="28"/>
          <w:szCs w:val="28"/>
        </w:rPr>
        <w:tab/>
        <w:t>Распределение больных с кишечными свищами по выраженности спаечного процесса в зависимости от локализации</w:t>
      </w:r>
      <w:r w:rsidRPr="003763D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В области срединного рубца преобладали висцеро-париетальные спайки, которые фиксировали петли кишки, сальник к прилегающей передней брюшной стенки. В области </w:t>
      </w:r>
      <w:proofErr w:type="spellStart"/>
      <w:r w:rsidRPr="003763DD">
        <w:rPr>
          <w:rFonts w:ascii="Times New Roman" w:hAnsi="Times New Roman"/>
          <w:sz w:val="28"/>
          <w:szCs w:val="28"/>
        </w:rPr>
        <w:t>стомы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и культи заглушенной кишки встречались чаще </w:t>
      </w:r>
      <w:proofErr w:type="gramStart"/>
      <w:r w:rsidRPr="003763DD">
        <w:rPr>
          <w:rFonts w:ascii="Times New Roman" w:hAnsi="Times New Roman"/>
          <w:sz w:val="28"/>
          <w:szCs w:val="28"/>
        </w:rPr>
        <w:t>висцеро-висцеральных</w:t>
      </w:r>
      <w:proofErr w:type="gramEnd"/>
      <w:r w:rsidRPr="003763DD">
        <w:rPr>
          <w:rFonts w:ascii="Times New Roman" w:hAnsi="Times New Roman"/>
          <w:sz w:val="28"/>
          <w:szCs w:val="28"/>
        </w:rPr>
        <w:t xml:space="preserve"> спайки. Сращения между передней брюшной стенкой и внутренними органами возникали в месте установки дренажей. Вокруг культи заглушенной кишки спайки различной формы образовывали конгломерат из сальника, петель кишечника, культи брыжейки. В связи со спаечным процессом технические трудности чаще возникали при выделении культи заглушенной кишки, чем </w:t>
      </w:r>
      <w:proofErr w:type="spellStart"/>
      <w:r w:rsidRPr="003763DD">
        <w:rPr>
          <w:rFonts w:ascii="Times New Roman" w:hAnsi="Times New Roman"/>
          <w:sz w:val="28"/>
          <w:szCs w:val="28"/>
        </w:rPr>
        <w:t>стомы</w:t>
      </w:r>
      <w:proofErr w:type="spellEnd"/>
      <w:r w:rsidRPr="003763DD">
        <w:rPr>
          <w:rFonts w:ascii="Times New Roman" w:hAnsi="Times New Roman"/>
          <w:sz w:val="28"/>
          <w:szCs w:val="28"/>
        </w:rPr>
        <w:t>.</w:t>
      </w: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У 27 (14,6%) больных для восстановительной операции было достаточно мобилизовать от спаек приводящий и отводящий сегменты кишки, можно было выполнить с </w:t>
      </w:r>
      <w:proofErr w:type="spellStart"/>
      <w:r w:rsidRPr="003763DD">
        <w:rPr>
          <w:rFonts w:ascii="Times New Roman" w:hAnsi="Times New Roman"/>
          <w:sz w:val="28"/>
          <w:szCs w:val="28"/>
        </w:rPr>
        <w:t>парастомического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доступа.</w:t>
      </w: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3DD">
        <w:rPr>
          <w:rFonts w:ascii="Times New Roman" w:hAnsi="Times New Roman"/>
          <w:sz w:val="28"/>
          <w:szCs w:val="28"/>
        </w:rPr>
        <w:lastRenderedPageBreak/>
        <w:t>Парастомический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доступ применялся при локализации </w:t>
      </w:r>
      <w:proofErr w:type="spellStart"/>
      <w:r w:rsidRPr="003763DD">
        <w:rPr>
          <w:rFonts w:ascii="Times New Roman" w:hAnsi="Times New Roman"/>
          <w:sz w:val="28"/>
          <w:szCs w:val="28"/>
        </w:rPr>
        <w:t>стомы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и культи заглушенной кишки в одной или соседних анатомических участках брюшной полости. Случаев конверсии </w:t>
      </w:r>
      <w:proofErr w:type="spellStart"/>
      <w:r w:rsidRPr="003763DD">
        <w:rPr>
          <w:rFonts w:ascii="Times New Roman" w:hAnsi="Times New Roman"/>
          <w:sz w:val="28"/>
          <w:szCs w:val="28"/>
        </w:rPr>
        <w:t>парастомического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доступа на срединную лапаротомию не было.</w:t>
      </w: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3DD">
        <w:rPr>
          <w:rFonts w:ascii="Times New Roman" w:hAnsi="Times New Roman"/>
          <w:sz w:val="28"/>
          <w:szCs w:val="28"/>
        </w:rPr>
        <w:t xml:space="preserve">Продолжительность оперативного вмешательства в значительной степени зависела от времени рассечение спаек, которое при срединному и </w:t>
      </w:r>
      <w:proofErr w:type="spellStart"/>
      <w:r w:rsidRPr="003763DD">
        <w:rPr>
          <w:rFonts w:ascii="Times New Roman" w:hAnsi="Times New Roman"/>
          <w:sz w:val="28"/>
          <w:szCs w:val="28"/>
        </w:rPr>
        <w:t>парастомичному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доступах достоверно отличается.</w:t>
      </w:r>
      <w:proofErr w:type="gramEnd"/>
      <w:r w:rsidRPr="003763DD">
        <w:rPr>
          <w:rFonts w:ascii="Times New Roman" w:hAnsi="Times New Roman"/>
          <w:sz w:val="28"/>
          <w:szCs w:val="28"/>
        </w:rPr>
        <w:t xml:space="preserve"> При срединном доступе иссекали послеоперационный срединный рубец, выполняли </w:t>
      </w:r>
      <w:proofErr w:type="spellStart"/>
      <w:r w:rsidRPr="003763DD">
        <w:rPr>
          <w:rFonts w:ascii="Times New Roman" w:hAnsi="Times New Roman"/>
          <w:sz w:val="28"/>
          <w:szCs w:val="28"/>
        </w:rPr>
        <w:t>висцеролиз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для подхода к </w:t>
      </w:r>
      <w:proofErr w:type="spellStart"/>
      <w:r w:rsidRPr="003763DD">
        <w:rPr>
          <w:rFonts w:ascii="Times New Roman" w:hAnsi="Times New Roman"/>
          <w:sz w:val="28"/>
          <w:szCs w:val="28"/>
        </w:rPr>
        <w:t>приводнящему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и отводящему сегменту кишки, находящихся вне апертуры раны, и только после этого этапа длительность операции совпадала при обоих доступах: выделение свища и культи кишки из спаек, их сопоставления и наложения анастомоза. Кроме того, размеры срединной раны превышают длину </w:t>
      </w:r>
      <w:proofErr w:type="spellStart"/>
      <w:r w:rsidRPr="003763DD">
        <w:rPr>
          <w:rFonts w:ascii="Times New Roman" w:hAnsi="Times New Roman"/>
          <w:sz w:val="28"/>
          <w:szCs w:val="28"/>
        </w:rPr>
        <w:t>парастомического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3763DD">
        <w:rPr>
          <w:rFonts w:ascii="Times New Roman" w:hAnsi="Times New Roman"/>
          <w:sz w:val="28"/>
          <w:szCs w:val="28"/>
        </w:rPr>
        <w:t>связи</w:t>
      </w:r>
      <w:proofErr w:type="gramEnd"/>
      <w:r w:rsidRPr="003763DD">
        <w:rPr>
          <w:rFonts w:ascii="Times New Roman" w:hAnsi="Times New Roman"/>
          <w:sz w:val="28"/>
          <w:szCs w:val="28"/>
        </w:rPr>
        <w:t xml:space="preserve"> с чем необходимо дополнительное время на выделение ее краев от спаек.</w:t>
      </w: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Двигательная функция кишечника восстанавливалась на 1,0 - 1,5 суток раньше у больных, прооперированных с использованием </w:t>
      </w:r>
      <w:proofErr w:type="spellStart"/>
      <w:r w:rsidRPr="003763DD">
        <w:rPr>
          <w:rFonts w:ascii="Times New Roman" w:hAnsi="Times New Roman"/>
          <w:sz w:val="28"/>
          <w:szCs w:val="28"/>
        </w:rPr>
        <w:t>парастомического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доступа. Это связано с минимизацией </w:t>
      </w:r>
      <w:proofErr w:type="spellStart"/>
      <w:r w:rsidRPr="003763DD">
        <w:rPr>
          <w:rFonts w:ascii="Times New Roman" w:hAnsi="Times New Roman"/>
          <w:sz w:val="28"/>
          <w:szCs w:val="28"/>
        </w:rPr>
        <w:t>травматизации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проксимальной и дистальной культи кишки и предотвращению излишней </w:t>
      </w:r>
      <w:proofErr w:type="spellStart"/>
      <w:r w:rsidRPr="003763DD">
        <w:rPr>
          <w:rFonts w:ascii="Times New Roman" w:hAnsi="Times New Roman"/>
          <w:sz w:val="28"/>
          <w:szCs w:val="28"/>
        </w:rPr>
        <w:t>травматизации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других органов брюшной полости </w:t>
      </w:r>
      <w:proofErr w:type="gramStart"/>
      <w:r w:rsidRPr="003763DD">
        <w:rPr>
          <w:rFonts w:ascii="Times New Roman" w:hAnsi="Times New Roman"/>
          <w:sz w:val="28"/>
          <w:szCs w:val="28"/>
        </w:rPr>
        <w:t>благодаря</w:t>
      </w:r>
      <w:proofErr w:type="gramEnd"/>
      <w:r w:rsidRPr="003763DD">
        <w:rPr>
          <w:rFonts w:ascii="Times New Roman" w:hAnsi="Times New Roman"/>
          <w:sz w:val="28"/>
          <w:szCs w:val="28"/>
        </w:rPr>
        <w:t xml:space="preserve"> локальному </w:t>
      </w:r>
      <w:proofErr w:type="spellStart"/>
      <w:r w:rsidRPr="003763DD">
        <w:rPr>
          <w:rFonts w:ascii="Times New Roman" w:hAnsi="Times New Roman"/>
          <w:sz w:val="28"/>
          <w:szCs w:val="28"/>
        </w:rPr>
        <w:t>висцеролизу</w:t>
      </w:r>
      <w:proofErr w:type="spellEnd"/>
      <w:r w:rsidRPr="003763DD">
        <w:rPr>
          <w:rFonts w:ascii="Times New Roman" w:hAnsi="Times New Roman"/>
          <w:sz w:val="28"/>
          <w:szCs w:val="28"/>
        </w:rPr>
        <w:t>.</w:t>
      </w:r>
    </w:p>
    <w:p w:rsidR="0080678A" w:rsidRPr="003763DD" w:rsidRDefault="0080678A" w:rsidP="00806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С целью восстановления целостности кишечника после наложения двуствольной </w:t>
      </w:r>
      <w:proofErr w:type="spellStart"/>
      <w:r w:rsidRPr="003763DD">
        <w:rPr>
          <w:rFonts w:ascii="Times New Roman" w:hAnsi="Times New Roman"/>
          <w:sz w:val="28"/>
          <w:szCs w:val="28"/>
        </w:rPr>
        <w:t>колостомы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разработана методика внебрюшинного  восстановительного этапа с использованием циркулярного сшивающего аппарата (Патент Украины № 87732).</w:t>
      </w:r>
    </w:p>
    <w:p w:rsidR="0080678A" w:rsidRPr="003763DD" w:rsidRDefault="0080678A" w:rsidP="00806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После внебрюшинной мобилизации участков приводящего и отводящего сегментов кишки и отсечения краев кишки, несущих зону </w:t>
      </w:r>
      <w:proofErr w:type="spellStart"/>
      <w:r w:rsidRPr="003763DD">
        <w:rPr>
          <w:rFonts w:ascii="Times New Roman" w:hAnsi="Times New Roman"/>
          <w:sz w:val="28"/>
          <w:szCs w:val="28"/>
        </w:rPr>
        <w:t>стомы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в пределах здоровых тканей, которые сшивались в зоне планируемого </w:t>
      </w:r>
      <w:proofErr w:type="spellStart"/>
      <w:r w:rsidRPr="003763DD">
        <w:rPr>
          <w:rFonts w:ascii="Times New Roman" w:hAnsi="Times New Roman"/>
          <w:sz w:val="28"/>
          <w:szCs w:val="28"/>
        </w:rPr>
        <w:t>межкишечного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анастомоза серо-серозными узловыми швами, после чего в отводящий сегмент кишки мы вводили </w:t>
      </w:r>
      <w:proofErr w:type="spellStart"/>
      <w:r w:rsidRPr="003763DD">
        <w:rPr>
          <w:rFonts w:ascii="Times New Roman" w:hAnsi="Times New Roman"/>
          <w:sz w:val="28"/>
          <w:szCs w:val="28"/>
        </w:rPr>
        <w:t>циркулярносшивающий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63DD">
        <w:rPr>
          <w:rFonts w:ascii="Times New Roman" w:hAnsi="Times New Roman"/>
          <w:sz w:val="28"/>
          <w:szCs w:val="28"/>
        </w:rPr>
        <w:t>аппарат</w:t>
      </w:r>
      <w:proofErr w:type="gramEnd"/>
      <w:r w:rsidRPr="003763DD">
        <w:rPr>
          <w:rFonts w:ascii="Times New Roman" w:hAnsi="Times New Roman"/>
          <w:sz w:val="28"/>
          <w:szCs w:val="28"/>
        </w:rPr>
        <w:t xml:space="preserve"> а в приводящий сегмент кишки на выведенный в него наконечник аппарата </w:t>
      </w:r>
      <w:r w:rsidRPr="003763DD">
        <w:rPr>
          <w:rFonts w:ascii="Times New Roman" w:hAnsi="Times New Roman"/>
          <w:sz w:val="28"/>
          <w:szCs w:val="28"/>
        </w:rPr>
        <w:lastRenderedPageBreak/>
        <w:t>надевали упорную головку аппарата и прошивали. Извлекали аппарат через отводящий сегмент кишки. Свободные края сегментов кишки сшивали линейным сшивающим аппаратом.</w:t>
      </w:r>
    </w:p>
    <w:p w:rsidR="0080678A" w:rsidRPr="003763DD" w:rsidRDefault="0080678A" w:rsidP="00806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3DD">
        <w:rPr>
          <w:rFonts w:ascii="Times New Roman" w:hAnsi="Times New Roman"/>
          <w:sz w:val="28"/>
          <w:szCs w:val="28"/>
        </w:rPr>
        <w:t xml:space="preserve">С целью выполнения восстановительных операций на кишечнике упорную головку циркулярного сшивающего аппарата фиксировали в приводящий сегмент толстой кишки с помощью кисетного шва, пластину </w:t>
      </w:r>
      <w:proofErr w:type="spellStart"/>
      <w:r w:rsidRPr="003763DD">
        <w:rPr>
          <w:rFonts w:ascii="Times New Roman" w:hAnsi="Times New Roman"/>
          <w:sz w:val="28"/>
          <w:szCs w:val="28"/>
        </w:rPr>
        <w:t>Тахокомба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 укладывали на упорную головку, через задний проход вводили </w:t>
      </w:r>
      <w:proofErr w:type="spellStart"/>
      <w:r w:rsidRPr="003763DD">
        <w:rPr>
          <w:rFonts w:ascii="Times New Roman" w:hAnsi="Times New Roman"/>
          <w:sz w:val="28"/>
          <w:szCs w:val="28"/>
        </w:rPr>
        <w:t>циркуляный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сшивающий аппарат  в дистальный сегмент кишки, прошитый раннее, выкручивали наконечник, насаживали упорную головку и прошивали вместе оба сегмента кишки (Патент Украины № 59425).</w:t>
      </w:r>
      <w:proofErr w:type="gramEnd"/>
    </w:p>
    <w:p w:rsidR="0080678A" w:rsidRPr="003763DD" w:rsidRDefault="0080678A" w:rsidP="00806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Удаляли аппарат из просвета кишки. Заводили </w:t>
      </w:r>
      <w:proofErr w:type="spellStart"/>
      <w:r w:rsidRPr="003763DD">
        <w:rPr>
          <w:rFonts w:ascii="Times New Roman" w:hAnsi="Times New Roman"/>
          <w:sz w:val="28"/>
          <w:szCs w:val="28"/>
        </w:rPr>
        <w:t>трансанально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зонд с целью декомпрессии.</w:t>
      </w:r>
      <w:r w:rsidR="00BE5B58">
        <w:rPr>
          <w:rFonts w:ascii="Times New Roman" w:hAnsi="Times New Roman"/>
          <w:sz w:val="28"/>
          <w:szCs w:val="28"/>
        </w:rPr>
        <w:t xml:space="preserve"> </w:t>
      </w:r>
      <w:r w:rsidRPr="003763DD">
        <w:rPr>
          <w:rFonts w:ascii="Times New Roman" w:hAnsi="Times New Roman"/>
          <w:sz w:val="28"/>
          <w:szCs w:val="28"/>
        </w:rPr>
        <w:t>Линию швов покрыва</w:t>
      </w:r>
      <w:r w:rsidR="00BE5B58">
        <w:rPr>
          <w:rFonts w:ascii="Times New Roman" w:hAnsi="Times New Roman"/>
          <w:sz w:val="28"/>
          <w:szCs w:val="28"/>
        </w:rPr>
        <w:t>ли</w:t>
      </w:r>
      <w:r w:rsidRPr="003763DD">
        <w:rPr>
          <w:rFonts w:ascii="Times New Roman" w:hAnsi="Times New Roman"/>
          <w:sz w:val="28"/>
          <w:szCs w:val="28"/>
        </w:rPr>
        <w:t xml:space="preserve"> извне второй пластиной </w:t>
      </w:r>
      <w:proofErr w:type="spellStart"/>
      <w:r w:rsidRPr="003763DD">
        <w:rPr>
          <w:rFonts w:ascii="Times New Roman" w:hAnsi="Times New Roman"/>
          <w:sz w:val="28"/>
          <w:szCs w:val="28"/>
        </w:rPr>
        <w:t>Тахокомба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763DD">
        <w:rPr>
          <w:rFonts w:ascii="Times New Roman" w:hAnsi="Times New Roman"/>
          <w:sz w:val="28"/>
          <w:szCs w:val="28"/>
        </w:rPr>
        <w:t>допонительной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изоляции зоны швов, обеспечивающей изоляцию зоны анастомоза  </w:t>
      </w:r>
      <w:r w:rsidR="00BE5B58">
        <w:rPr>
          <w:rFonts w:ascii="Times New Roman" w:hAnsi="Times New Roman"/>
          <w:sz w:val="28"/>
          <w:szCs w:val="28"/>
        </w:rPr>
        <w:t>от</w:t>
      </w:r>
      <w:r w:rsidRPr="003763DD">
        <w:rPr>
          <w:rFonts w:ascii="Times New Roman" w:hAnsi="Times New Roman"/>
          <w:sz w:val="28"/>
          <w:szCs w:val="28"/>
        </w:rPr>
        <w:t xml:space="preserve"> брюшин</w:t>
      </w:r>
      <w:r w:rsidR="00BE5B58">
        <w:rPr>
          <w:rFonts w:ascii="Times New Roman" w:hAnsi="Times New Roman"/>
          <w:sz w:val="28"/>
          <w:szCs w:val="28"/>
        </w:rPr>
        <w:t>ы</w:t>
      </w:r>
      <w:r w:rsidRPr="003763DD">
        <w:rPr>
          <w:rFonts w:ascii="Times New Roman" w:hAnsi="Times New Roman"/>
          <w:sz w:val="28"/>
          <w:szCs w:val="28"/>
        </w:rPr>
        <w:t xml:space="preserve"> при технической невозможности восстановления целостности брюшины, которую использовали для </w:t>
      </w:r>
      <w:proofErr w:type="spellStart"/>
      <w:r w:rsidRPr="003763DD">
        <w:rPr>
          <w:rFonts w:ascii="Times New Roman" w:hAnsi="Times New Roman"/>
          <w:sz w:val="28"/>
          <w:szCs w:val="28"/>
        </w:rPr>
        <w:t>экстраперитонизации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толстокишечного анастомоза (Патент Украины № 59427).</w:t>
      </w:r>
    </w:p>
    <w:p w:rsidR="0080678A" w:rsidRPr="003763DD" w:rsidRDefault="0080678A" w:rsidP="0080678A">
      <w:pPr>
        <w:pStyle w:val="a3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763DD">
        <w:rPr>
          <w:rFonts w:ascii="Times New Roman" w:hAnsi="Times New Roman"/>
          <w:sz w:val="28"/>
          <w:szCs w:val="28"/>
        </w:rPr>
        <w:t xml:space="preserve">Таким образом, спаечная болезнь брюшины обнаружена у всех больных, которым сформирован кишечный свищ, что связано с вскрытием просвета кишки, </w:t>
      </w:r>
      <w:proofErr w:type="spellStart"/>
      <w:r w:rsidRPr="003763DD">
        <w:rPr>
          <w:rFonts w:ascii="Times New Roman" w:hAnsi="Times New Roman"/>
          <w:sz w:val="28"/>
          <w:szCs w:val="28"/>
        </w:rPr>
        <w:t>травматичностью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тканей брюшной полости при операциях на кишечнике. Выраженный спаечный процесс обнаружен в зоне послеоперационного рубца и дистальной культи кишки, меньшую плотность спаек выявлено в </w:t>
      </w:r>
      <w:proofErr w:type="spellStart"/>
      <w:r w:rsidRPr="003763DD">
        <w:rPr>
          <w:rFonts w:ascii="Times New Roman" w:hAnsi="Times New Roman"/>
          <w:sz w:val="28"/>
          <w:szCs w:val="28"/>
        </w:rPr>
        <w:t>парастомической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области. Восстановительные операции на кишечнике с использованием </w:t>
      </w:r>
      <w:proofErr w:type="spellStart"/>
      <w:r w:rsidRPr="003763DD">
        <w:rPr>
          <w:rFonts w:ascii="Times New Roman" w:hAnsi="Times New Roman"/>
          <w:sz w:val="28"/>
          <w:szCs w:val="28"/>
        </w:rPr>
        <w:t>парастомического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доступа минимизирует </w:t>
      </w:r>
      <w:proofErr w:type="spellStart"/>
      <w:r w:rsidRPr="003763DD">
        <w:rPr>
          <w:rFonts w:ascii="Times New Roman" w:hAnsi="Times New Roman"/>
          <w:sz w:val="28"/>
          <w:szCs w:val="28"/>
        </w:rPr>
        <w:t>травматизацию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проксимальной и дистальной части культи кишки, предотвращает </w:t>
      </w:r>
      <w:proofErr w:type="gramStart"/>
      <w:r w:rsidRPr="003763DD">
        <w:rPr>
          <w:rFonts w:ascii="Times New Roman" w:hAnsi="Times New Roman"/>
          <w:sz w:val="28"/>
          <w:szCs w:val="28"/>
        </w:rPr>
        <w:t>излишнюю</w:t>
      </w:r>
      <w:proofErr w:type="gramEnd"/>
      <w:r w:rsidRPr="00376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3DD">
        <w:rPr>
          <w:rFonts w:ascii="Times New Roman" w:hAnsi="Times New Roman"/>
          <w:sz w:val="28"/>
          <w:szCs w:val="28"/>
        </w:rPr>
        <w:t>травматизацию</w:t>
      </w:r>
      <w:proofErr w:type="spellEnd"/>
      <w:r w:rsidRPr="003763DD">
        <w:rPr>
          <w:rFonts w:ascii="Times New Roman" w:hAnsi="Times New Roman"/>
          <w:sz w:val="28"/>
          <w:szCs w:val="28"/>
        </w:rPr>
        <w:t xml:space="preserve"> других органов брюшной полости благодаря локальному </w:t>
      </w:r>
      <w:proofErr w:type="spellStart"/>
      <w:r w:rsidRPr="003763DD">
        <w:rPr>
          <w:rFonts w:ascii="Times New Roman" w:hAnsi="Times New Roman"/>
          <w:sz w:val="28"/>
          <w:szCs w:val="28"/>
        </w:rPr>
        <w:t>висцеролизу</w:t>
      </w:r>
      <w:proofErr w:type="spellEnd"/>
      <w:r w:rsidRPr="003763DD">
        <w:rPr>
          <w:rFonts w:ascii="Times New Roman" w:hAnsi="Times New Roman"/>
          <w:sz w:val="28"/>
          <w:szCs w:val="28"/>
        </w:rPr>
        <w:t>.</w:t>
      </w:r>
    </w:p>
    <w:p w:rsidR="0080678A" w:rsidRPr="002B5B49" w:rsidRDefault="0080678A" w:rsidP="00806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B49">
        <w:rPr>
          <w:rFonts w:ascii="Times New Roman" w:hAnsi="Times New Roman"/>
          <w:sz w:val="28"/>
          <w:szCs w:val="28"/>
        </w:rPr>
        <w:t xml:space="preserve">Восстановление перистальтики </w:t>
      </w:r>
      <w:r>
        <w:rPr>
          <w:rFonts w:ascii="Times New Roman" w:hAnsi="Times New Roman"/>
          <w:sz w:val="28"/>
          <w:szCs w:val="28"/>
        </w:rPr>
        <w:t xml:space="preserve">в основной группе </w:t>
      </w:r>
      <w:r w:rsidRPr="002B5B49">
        <w:rPr>
          <w:rFonts w:ascii="Times New Roman" w:hAnsi="Times New Roman"/>
          <w:sz w:val="28"/>
          <w:szCs w:val="28"/>
        </w:rPr>
        <w:t xml:space="preserve">наблюдали на </w:t>
      </w:r>
      <w:r w:rsidRPr="003F3F98">
        <w:rPr>
          <w:rFonts w:ascii="Times New Roman" w:hAnsi="Times New Roman"/>
          <w:sz w:val="28"/>
          <w:szCs w:val="28"/>
        </w:rPr>
        <w:t xml:space="preserve">2-3 </w:t>
      </w:r>
      <w:r w:rsidRPr="002B5B49">
        <w:rPr>
          <w:rFonts w:ascii="Times New Roman" w:hAnsi="Times New Roman"/>
          <w:sz w:val="28"/>
          <w:szCs w:val="28"/>
        </w:rPr>
        <w:t xml:space="preserve">послеоперационные сутки, газы начали отходить на </w:t>
      </w:r>
      <w:r w:rsidRPr="003F3F98">
        <w:rPr>
          <w:rFonts w:ascii="Times New Roman" w:hAnsi="Times New Roman"/>
          <w:sz w:val="28"/>
          <w:szCs w:val="28"/>
        </w:rPr>
        <w:t xml:space="preserve">3-4 </w:t>
      </w:r>
      <w:r w:rsidRPr="002B5B49">
        <w:rPr>
          <w:rFonts w:ascii="Times New Roman" w:hAnsi="Times New Roman"/>
          <w:sz w:val="28"/>
          <w:szCs w:val="28"/>
        </w:rPr>
        <w:t xml:space="preserve">послеоперационные </w:t>
      </w:r>
      <w:r w:rsidRPr="002B5B49">
        <w:rPr>
          <w:rFonts w:ascii="Times New Roman" w:hAnsi="Times New Roman"/>
          <w:sz w:val="28"/>
          <w:szCs w:val="28"/>
        </w:rPr>
        <w:lastRenderedPageBreak/>
        <w:t>сутки, стул был на 3-4 послеоперационные сутки.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F98">
        <w:rPr>
          <w:rFonts w:ascii="Times New Roman" w:hAnsi="Times New Roman"/>
          <w:sz w:val="28"/>
          <w:szCs w:val="28"/>
        </w:rPr>
        <w:t xml:space="preserve">Восстановление перистальтики </w:t>
      </w:r>
      <w:r>
        <w:rPr>
          <w:rFonts w:ascii="Times New Roman" w:hAnsi="Times New Roman"/>
          <w:sz w:val="28"/>
          <w:szCs w:val="28"/>
        </w:rPr>
        <w:t xml:space="preserve">в группе сравнения </w:t>
      </w:r>
      <w:r w:rsidRPr="003F3F98">
        <w:rPr>
          <w:rFonts w:ascii="Times New Roman" w:hAnsi="Times New Roman"/>
          <w:sz w:val="28"/>
          <w:szCs w:val="28"/>
        </w:rPr>
        <w:t>наблюдали на 3-4 послеоперационные сутки, газы начали отходить на 4-5 послеоперационные сутки, стул был на 4-5 послеоперационные сутки.</w:t>
      </w:r>
    </w:p>
    <w:p w:rsidR="0080678A" w:rsidRPr="003F3F98" w:rsidRDefault="0080678A" w:rsidP="00806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98">
        <w:rPr>
          <w:rFonts w:ascii="Times New Roman" w:hAnsi="Times New Roman"/>
          <w:sz w:val="28"/>
          <w:szCs w:val="28"/>
        </w:rPr>
        <w:t xml:space="preserve">Средний послеоперационный койко-день </w:t>
      </w:r>
      <w:r>
        <w:rPr>
          <w:rFonts w:ascii="Times New Roman" w:hAnsi="Times New Roman"/>
          <w:sz w:val="28"/>
          <w:szCs w:val="28"/>
        </w:rPr>
        <w:t xml:space="preserve">в основной группе составил </w:t>
      </w:r>
      <w:r w:rsidRPr="003F3F98">
        <w:rPr>
          <w:rFonts w:ascii="Times New Roman" w:hAnsi="Times New Roman"/>
          <w:sz w:val="28"/>
          <w:szCs w:val="28"/>
        </w:rPr>
        <w:t xml:space="preserve">10-11 </w:t>
      </w:r>
      <w:r>
        <w:rPr>
          <w:rFonts w:ascii="Times New Roman" w:hAnsi="Times New Roman"/>
          <w:sz w:val="28"/>
          <w:szCs w:val="28"/>
        </w:rPr>
        <w:t xml:space="preserve">дней; в группе сравнения – </w:t>
      </w:r>
      <w:r w:rsidRPr="003F3F98">
        <w:rPr>
          <w:rFonts w:ascii="Times New Roman" w:hAnsi="Times New Roman"/>
          <w:sz w:val="28"/>
          <w:szCs w:val="28"/>
        </w:rPr>
        <w:t>12-13 дней.</w:t>
      </w:r>
    </w:p>
    <w:p w:rsidR="0080678A" w:rsidRPr="003F3F98" w:rsidRDefault="0080678A" w:rsidP="00806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98">
        <w:rPr>
          <w:rFonts w:ascii="Times New Roman" w:hAnsi="Times New Roman"/>
          <w:sz w:val="28"/>
          <w:szCs w:val="28"/>
        </w:rPr>
        <w:t>Ранняя острая кишечная непроходимость</w:t>
      </w:r>
      <w:proofErr w:type="gramStart"/>
      <w:r w:rsidRPr="003F3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(І.</w:t>
      </w:r>
      <w:proofErr w:type="gramEnd"/>
      <w:r>
        <w:rPr>
          <w:rFonts w:ascii="Times New Roman" w:hAnsi="Times New Roman"/>
          <w:sz w:val="28"/>
          <w:szCs w:val="28"/>
        </w:rPr>
        <w:t>Б</w:t>
      </w:r>
      <w:r w:rsidRPr="002B5B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F98">
        <w:rPr>
          <w:rFonts w:ascii="Times New Roman" w:hAnsi="Times New Roman"/>
          <w:sz w:val="28"/>
          <w:szCs w:val="28"/>
        </w:rPr>
        <w:t>развилась у 1 (</w:t>
      </w:r>
      <w:r>
        <w:rPr>
          <w:rFonts w:ascii="Times New Roman" w:hAnsi="Times New Roman"/>
          <w:sz w:val="28"/>
          <w:szCs w:val="28"/>
        </w:rPr>
        <w:t>0,8</w:t>
      </w:r>
      <w:r w:rsidRPr="003F3F98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 xml:space="preserve">больного </w:t>
      </w:r>
      <w:r w:rsidRPr="002B5B49">
        <w:rPr>
          <w:rFonts w:ascii="Times New Roman" w:hAnsi="Times New Roman"/>
          <w:sz w:val="28"/>
          <w:szCs w:val="28"/>
        </w:rPr>
        <w:t xml:space="preserve">в основной группе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3F9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4 (3,3</w:t>
      </w:r>
      <w:r w:rsidRPr="003F3F98">
        <w:rPr>
          <w:rFonts w:ascii="Times New Roman" w:hAnsi="Times New Roman"/>
          <w:sz w:val="28"/>
          <w:szCs w:val="28"/>
        </w:rPr>
        <w:t>%) больных</w:t>
      </w:r>
      <w:r>
        <w:rPr>
          <w:rFonts w:ascii="Times New Roman" w:hAnsi="Times New Roman"/>
          <w:sz w:val="28"/>
          <w:szCs w:val="28"/>
        </w:rPr>
        <w:t xml:space="preserve"> в группе сравнения (ІІ.Б</w:t>
      </w:r>
      <w:r w:rsidRPr="003F3F98">
        <w:rPr>
          <w:rFonts w:ascii="Times New Roman" w:hAnsi="Times New Roman"/>
          <w:sz w:val="28"/>
          <w:szCs w:val="28"/>
        </w:rPr>
        <w:t xml:space="preserve">), которым была выполнена </w:t>
      </w:r>
      <w:proofErr w:type="spellStart"/>
      <w:r w:rsidRPr="003F3F98">
        <w:rPr>
          <w:rFonts w:ascii="Times New Roman" w:hAnsi="Times New Roman"/>
          <w:sz w:val="28"/>
          <w:szCs w:val="28"/>
        </w:rPr>
        <w:t>релапаротомия</w:t>
      </w:r>
      <w:proofErr w:type="spellEnd"/>
      <w:r w:rsidRPr="003F3F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3F98">
        <w:rPr>
          <w:rFonts w:ascii="Times New Roman" w:hAnsi="Times New Roman"/>
          <w:sz w:val="28"/>
          <w:szCs w:val="28"/>
        </w:rPr>
        <w:t>висцеролиз</w:t>
      </w:r>
      <w:proofErr w:type="spellEnd"/>
      <w:r w:rsidRPr="003F3F98">
        <w:rPr>
          <w:rFonts w:ascii="Times New Roman" w:hAnsi="Times New Roman"/>
          <w:sz w:val="28"/>
          <w:szCs w:val="28"/>
        </w:rPr>
        <w:t>, интубация тонкой кишки.</w:t>
      </w:r>
    </w:p>
    <w:p w:rsidR="0080678A" w:rsidRPr="003F3F98" w:rsidRDefault="0080678A" w:rsidP="00806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98">
        <w:rPr>
          <w:rFonts w:ascii="Times New Roman" w:hAnsi="Times New Roman"/>
          <w:sz w:val="28"/>
          <w:szCs w:val="28"/>
        </w:rPr>
        <w:t xml:space="preserve">Несостоятельность анастомоза </w:t>
      </w:r>
      <w:r>
        <w:rPr>
          <w:rFonts w:ascii="Times New Roman" w:hAnsi="Times New Roman"/>
          <w:sz w:val="28"/>
          <w:szCs w:val="28"/>
        </w:rPr>
        <w:t>развилась у 2 (1,7</w:t>
      </w:r>
      <w:r w:rsidRPr="003F3F98">
        <w:rPr>
          <w:rFonts w:ascii="Times New Roman" w:hAnsi="Times New Roman"/>
          <w:sz w:val="28"/>
          <w:szCs w:val="28"/>
        </w:rPr>
        <w:t>%) больных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B49">
        <w:rPr>
          <w:rFonts w:ascii="Times New Roman" w:hAnsi="Times New Roman"/>
          <w:sz w:val="28"/>
          <w:szCs w:val="28"/>
        </w:rPr>
        <w:t xml:space="preserve">в основной группе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3F9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4 (3,3</w:t>
      </w:r>
      <w:r w:rsidRPr="003F3F98">
        <w:rPr>
          <w:rFonts w:ascii="Times New Roman" w:hAnsi="Times New Roman"/>
          <w:sz w:val="28"/>
          <w:szCs w:val="28"/>
        </w:rPr>
        <w:t>%) больных</w:t>
      </w:r>
      <w:r>
        <w:rPr>
          <w:rFonts w:ascii="Times New Roman" w:hAnsi="Times New Roman"/>
          <w:sz w:val="28"/>
          <w:szCs w:val="28"/>
        </w:rPr>
        <w:t xml:space="preserve"> в группе сравнения, </w:t>
      </w:r>
      <w:r w:rsidRPr="003F3F9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F3F98">
        <w:rPr>
          <w:rFonts w:ascii="Times New Roman" w:hAnsi="Times New Roman"/>
          <w:sz w:val="28"/>
          <w:szCs w:val="28"/>
        </w:rPr>
        <w:t>связи</w:t>
      </w:r>
      <w:proofErr w:type="gramEnd"/>
      <w:r w:rsidRPr="003F3F98">
        <w:rPr>
          <w:rFonts w:ascii="Times New Roman" w:hAnsi="Times New Roman"/>
          <w:sz w:val="28"/>
          <w:szCs w:val="28"/>
        </w:rPr>
        <w:t xml:space="preserve"> с чем им была выполнена </w:t>
      </w:r>
      <w:proofErr w:type="spellStart"/>
      <w:r w:rsidRPr="003F3F98">
        <w:rPr>
          <w:rFonts w:ascii="Times New Roman" w:hAnsi="Times New Roman"/>
          <w:sz w:val="28"/>
          <w:szCs w:val="28"/>
        </w:rPr>
        <w:t>релапаротомия</w:t>
      </w:r>
      <w:proofErr w:type="spellEnd"/>
      <w:r w:rsidRPr="003F3F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3F98">
        <w:rPr>
          <w:rFonts w:ascii="Times New Roman" w:hAnsi="Times New Roman"/>
          <w:sz w:val="28"/>
          <w:szCs w:val="28"/>
        </w:rPr>
        <w:t>висцеролиз</w:t>
      </w:r>
      <w:proofErr w:type="spellEnd"/>
      <w:r w:rsidRPr="003F3F98">
        <w:rPr>
          <w:rFonts w:ascii="Times New Roman" w:hAnsi="Times New Roman"/>
          <w:sz w:val="28"/>
          <w:szCs w:val="28"/>
        </w:rPr>
        <w:t xml:space="preserve">, выведение </w:t>
      </w:r>
      <w:proofErr w:type="spellStart"/>
      <w:r w:rsidRPr="003F3F98">
        <w:rPr>
          <w:rFonts w:ascii="Times New Roman" w:hAnsi="Times New Roman"/>
          <w:sz w:val="28"/>
          <w:szCs w:val="28"/>
        </w:rPr>
        <w:t>колостомы</w:t>
      </w:r>
      <w:proofErr w:type="spellEnd"/>
      <w:r w:rsidRPr="003F3F98">
        <w:rPr>
          <w:rFonts w:ascii="Times New Roman" w:hAnsi="Times New Roman"/>
          <w:sz w:val="28"/>
          <w:szCs w:val="28"/>
        </w:rPr>
        <w:t>.</w:t>
      </w:r>
    </w:p>
    <w:p w:rsidR="0080678A" w:rsidRPr="003F3F98" w:rsidRDefault="0080678A" w:rsidP="00806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E61">
        <w:rPr>
          <w:rFonts w:ascii="Times New Roman" w:hAnsi="Times New Roman"/>
          <w:sz w:val="28"/>
          <w:szCs w:val="28"/>
        </w:rPr>
        <w:t>Пневмония развилась в послеоперационном периоде у 2 (1,7%) больных в основной группе и у 4 (3,3%)– в группе сравнения.</w:t>
      </w:r>
    </w:p>
    <w:p w:rsidR="0080678A" w:rsidRDefault="0080678A" w:rsidP="00806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98">
        <w:rPr>
          <w:rFonts w:ascii="Times New Roman" w:hAnsi="Times New Roman"/>
          <w:sz w:val="28"/>
          <w:szCs w:val="28"/>
        </w:rPr>
        <w:t>Послеоперационная летальность составила 1 (</w:t>
      </w:r>
      <w:r>
        <w:rPr>
          <w:rFonts w:ascii="Times New Roman" w:hAnsi="Times New Roman"/>
          <w:sz w:val="28"/>
          <w:szCs w:val="28"/>
        </w:rPr>
        <w:t xml:space="preserve">0,8%) </w:t>
      </w:r>
      <w:r w:rsidRPr="003F3F98">
        <w:rPr>
          <w:rFonts w:ascii="Times New Roman" w:hAnsi="Times New Roman"/>
          <w:sz w:val="28"/>
          <w:szCs w:val="28"/>
        </w:rPr>
        <w:t xml:space="preserve">больной </w:t>
      </w:r>
      <w:r w:rsidRPr="002B5B49">
        <w:rPr>
          <w:rFonts w:ascii="Times New Roman" w:hAnsi="Times New Roman"/>
          <w:sz w:val="28"/>
          <w:szCs w:val="28"/>
        </w:rPr>
        <w:t>в основной группе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F3F98">
        <w:rPr>
          <w:rFonts w:ascii="Times New Roman" w:hAnsi="Times New Roman"/>
          <w:sz w:val="28"/>
          <w:szCs w:val="28"/>
        </w:rPr>
        <w:t>у 2 (</w:t>
      </w:r>
      <w:r>
        <w:rPr>
          <w:rFonts w:ascii="Times New Roman" w:hAnsi="Times New Roman"/>
          <w:sz w:val="28"/>
          <w:szCs w:val="28"/>
        </w:rPr>
        <w:t xml:space="preserve">1,6%) </w:t>
      </w:r>
      <w:r w:rsidRPr="003F3F98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– в группе сравнения</w:t>
      </w:r>
      <w:r w:rsidRPr="003F3F98">
        <w:rPr>
          <w:rFonts w:ascii="Times New Roman" w:hAnsi="Times New Roman"/>
          <w:sz w:val="28"/>
          <w:szCs w:val="28"/>
        </w:rPr>
        <w:t>.</w:t>
      </w:r>
    </w:p>
    <w:p w:rsidR="0080678A" w:rsidRPr="0098635E" w:rsidRDefault="00AD2784" w:rsidP="00806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678A" w:rsidRPr="0098635E">
        <w:rPr>
          <w:rFonts w:ascii="Times New Roman" w:hAnsi="Times New Roman"/>
          <w:sz w:val="28"/>
          <w:szCs w:val="28"/>
        </w:rPr>
        <w:t>тдаленные результаты были изучены у 93 (78,2%) больных основной группы и у 85 (70,2%) па</w:t>
      </w:r>
      <w:r w:rsidR="0080678A">
        <w:rPr>
          <w:rFonts w:ascii="Times New Roman" w:hAnsi="Times New Roman"/>
          <w:sz w:val="28"/>
          <w:szCs w:val="28"/>
        </w:rPr>
        <w:t>циентов группы сравнения</w:t>
      </w:r>
      <w:r w:rsidR="0080678A" w:rsidRPr="00A15A31">
        <w:rPr>
          <w:rFonts w:ascii="Times New Roman" w:hAnsi="Times New Roman"/>
          <w:sz w:val="28"/>
          <w:szCs w:val="28"/>
        </w:rPr>
        <w:t xml:space="preserve"> </w:t>
      </w:r>
      <w:r w:rsidR="0080678A" w:rsidRPr="003F3F98">
        <w:rPr>
          <w:rFonts w:ascii="Times New Roman" w:hAnsi="Times New Roman"/>
          <w:sz w:val="28"/>
          <w:szCs w:val="28"/>
        </w:rPr>
        <w:t>в течени</w:t>
      </w:r>
      <w:proofErr w:type="gramStart"/>
      <w:r w:rsidR="0080678A" w:rsidRPr="003F3F98">
        <w:rPr>
          <w:rFonts w:ascii="Times New Roman" w:hAnsi="Times New Roman"/>
          <w:sz w:val="28"/>
          <w:szCs w:val="28"/>
        </w:rPr>
        <w:t>и</w:t>
      </w:r>
      <w:proofErr w:type="gramEnd"/>
      <w:r w:rsidR="0080678A" w:rsidRPr="003F3F98">
        <w:rPr>
          <w:rFonts w:ascii="Times New Roman" w:hAnsi="Times New Roman"/>
          <w:sz w:val="28"/>
          <w:szCs w:val="28"/>
        </w:rPr>
        <w:t xml:space="preserve"> 1 – 3 лет после оперативного лечения больных</w:t>
      </w:r>
      <w:r w:rsidR="0080678A">
        <w:rPr>
          <w:rFonts w:ascii="Times New Roman" w:hAnsi="Times New Roman"/>
          <w:sz w:val="28"/>
          <w:szCs w:val="28"/>
        </w:rPr>
        <w:t xml:space="preserve"> с </w:t>
      </w:r>
      <w:r w:rsidR="0080678A" w:rsidRPr="003F3F98">
        <w:rPr>
          <w:rFonts w:ascii="Times New Roman" w:hAnsi="Times New Roman"/>
          <w:sz w:val="28"/>
          <w:szCs w:val="28"/>
        </w:rPr>
        <w:t>абдоминальной патологии на фоне СББ</w:t>
      </w:r>
      <w:r w:rsidR="0080678A">
        <w:rPr>
          <w:rFonts w:ascii="Times New Roman" w:hAnsi="Times New Roman"/>
          <w:sz w:val="28"/>
          <w:szCs w:val="28"/>
        </w:rPr>
        <w:t>.</w:t>
      </w:r>
    </w:p>
    <w:p w:rsidR="0080678A" w:rsidRPr="0098635E" w:rsidRDefault="0080678A" w:rsidP="00806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5E">
        <w:rPr>
          <w:rFonts w:ascii="Times New Roman" w:hAnsi="Times New Roman"/>
          <w:sz w:val="28"/>
          <w:szCs w:val="28"/>
        </w:rPr>
        <w:t xml:space="preserve">В отдаленном послеоперационном периоде болевая форма СББ выявлена </w:t>
      </w:r>
      <w:r w:rsidRPr="00D95B4B">
        <w:rPr>
          <w:rFonts w:ascii="Times New Roman" w:hAnsi="Times New Roman"/>
          <w:sz w:val="28"/>
          <w:szCs w:val="28"/>
        </w:rPr>
        <w:t>у 3 (3,2%)</w:t>
      </w:r>
      <w:r w:rsidRPr="0098635E">
        <w:rPr>
          <w:rFonts w:ascii="Times New Roman" w:hAnsi="Times New Roman"/>
          <w:sz w:val="28"/>
          <w:szCs w:val="28"/>
        </w:rPr>
        <w:t xml:space="preserve"> больных в основной группе и у </w:t>
      </w:r>
      <w:r w:rsidRPr="00D95B4B">
        <w:rPr>
          <w:rFonts w:ascii="Times New Roman" w:hAnsi="Times New Roman"/>
          <w:sz w:val="28"/>
          <w:szCs w:val="28"/>
        </w:rPr>
        <w:t>5 (5,9%)</w:t>
      </w:r>
      <w:r w:rsidRPr="00986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8635E">
        <w:rPr>
          <w:rFonts w:ascii="Times New Roman" w:hAnsi="Times New Roman"/>
          <w:sz w:val="28"/>
          <w:szCs w:val="28"/>
        </w:rPr>
        <w:t>в группе сравнения.</w:t>
      </w:r>
    </w:p>
    <w:p w:rsidR="0080678A" w:rsidRDefault="0080678A" w:rsidP="00806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35E">
        <w:rPr>
          <w:rFonts w:ascii="Times New Roman" w:hAnsi="Times New Roman"/>
          <w:sz w:val="28"/>
          <w:szCs w:val="28"/>
        </w:rPr>
        <w:t xml:space="preserve">Нарушение пассажа по ЖКТ диагностировано у </w:t>
      </w:r>
      <w:r w:rsidRPr="00D95B4B">
        <w:rPr>
          <w:rFonts w:ascii="Times New Roman" w:hAnsi="Times New Roman"/>
          <w:sz w:val="28"/>
          <w:szCs w:val="28"/>
        </w:rPr>
        <w:t>2 (2,4%)</w:t>
      </w:r>
      <w:r>
        <w:rPr>
          <w:rFonts w:ascii="Times New Roman" w:hAnsi="Times New Roman"/>
          <w:sz w:val="28"/>
          <w:szCs w:val="28"/>
        </w:rPr>
        <w:t xml:space="preserve"> больных в основной группе</w:t>
      </w:r>
      <w:r w:rsidRPr="0098635E">
        <w:rPr>
          <w:rFonts w:ascii="Times New Roman" w:hAnsi="Times New Roman"/>
          <w:sz w:val="28"/>
          <w:szCs w:val="28"/>
        </w:rPr>
        <w:t xml:space="preserve"> и </w:t>
      </w:r>
      <w:r w:rsidRPr="00D95B4B">
        <w:rPr>
          <w:rFonts w:ascii="Times New Roman" w:hAnsi="Times New Roman"/>
          <w:sz w:val="28"/>
          <w:szCs w:val="28"/>
        </w:rPr>
        <w:t>у 3 (3,5%)</w:t>
      </w:r>
      <w:r w:rsidRPr="00986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 в группе сравнения</w:t>
      </w:r>
      <w:r w:rsidRPr="0098635E">
        <w:rPr>
          <w:rFonts w:ascii="Times New Roman" w:hAnsi="Times New Roman"/>
          <w:sz w:val="28"/>
          <w:szCs w:val="28"/>
        </w:rPr>
        <w:t xml:space="preserve">. В группе сравнения </w:t>
      </w:r>
      <w:r>
        <w:rPr>
          <w:rFonts w:ascii="Times New Roman" w:hAnsi="Times New Roman"/>
          <w:sz w:val="28"/>
          <w:szCs w:val="28"/>
        </w:rPr>
        <w:t>2</w:t>
      </w:r>
      <w:r w:rsidRPr="0098635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2,4</w:t>
      </w:r>
      <w:r w:rsidRPr="0098635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больных</w:t>
      </w:r>
      <w:r w:rsidRPr="0098635E">
        <w:rPr>
          <w:rFonts w:ascii="Times New Roman" w:hAnsi="Times New Roman"/>
          <w:sz w:val="28"/>
          <w:szCs w:val="28"/>
        </w:rPr>
        <w:t xml:space="preserve"> прооперирован</w:t>
      </w:r>
      <w:r>
        <w:rPr>
          <w:rFonts w:ascii="Times New Roman" w:hAnsi="Times New Roman"/>
          <w:sz w:val="28"/>
          <w:szCs w:val="28"/>
        </w:rPr>
        <w:t>ы</w:t>
      </w:r>
      <w:r w:rsidRPr="0098635E">
        <w:rPr>
          <w:rFonts w:ascii="Times New Roman" w:hAnsi="Times New Roman"/>
          <w:sz w:val="28"/>
          <w:szCs w:val="28"/>
        </w:rPr>
        <w:t xml:space="preserve"> в связи со спаечной болезнью </w:t>
      </w:r>
      <w:r w:rsidRPr="0098635E">
        <w:rPr>
          <w:rFonts w:ascii="Times New Roman" w:hAnsi="Times New Roman"/>
          <w:sz w:val="28"/>
          <w:szCs w:val="28"/>
        </w:rPr>
        <w:lastRenderedPageBreak/>
        <w:t>брюшины, осложненной острой кишечной непроходимостью. В основной группе данного осложнения мы не наблюдали.</w:t>
      </w:r>
    </w:p>
    <w:p w:rsidR="00591FBB" w:rsidRDefault="00591FBB" w:rsidP="00591F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B4B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</w:t>
      </w:r>
      <w:r w:rsidRPr="008D4345">
        <w:rPr>
          <w:rFonts w:ascii="Times New Roman" w:hAnsi="Times New Roman"/>
          <w:sz w:val="28"/>
          <w:szCs w:val="28"/>
        </w:rPr>
        <w:t xml:space="preserve">нализ результатов лечения больных с абдоминальной патологией на фоне СББ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D4345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>м</w:t>
      </w:r>
      <w:r w:rsidRPr="008D4345">
        <w:rPr>
          <w:rFonts w:ascii="Times New Roman" w:hAnsi="Times New Roman"/>
          <w:sz w:val="28"/>
          <w:szCs w:val="28"/>
        </w:rPr>
        <w:t xml:space="preserve"> разработанных подходов профилактики спаечного процесса в раннем послеоперационном периоде позволило сократить послеоперационный койко-день; уменьшить риск развития ранней ОКН до 0,8%, несостоятельности анастомоза развилась – до 1,7%, снизить послеоперационную летальность до 0,8%. В отдаленном послеоперационном периоде частота болевого синдрома снижена с  до 3,2%,  нарушения пассажа по ЖКТ  </w:t>
      </w:r>
      <w:proofErr w:type="gramStart"/>
      <w:r w:rsidRPr="008D4345">
        <w:rPr>
          <w:rFonts w:ascii="Times New Roman" w:hAnsi="Times New Roman"/>
          <w:sz w:val="28"/>
          <w:szCs w:val="28"/>
        </w:rPr>
        <w:t>до</w:t>
      </w:r>
      <w:proofErr w:type="gramEnd"/>
      <w:r w:rsidRPr="008D4345">
        <w:rPr>
          <w:rFonts w:ascii="Times New Roman" w:hAnsi="Times New Roman"/>
          <w:sz w:val="28"/>
          <w:szCs w:val="28"/>
        </w:rPr>
        <w:t xml:space="preserve"> 2,4%%,  исключить </w:t>
      </w:r>
      <w:proofErr w:type="gramStart"/>
      <w:r w:rsidRPr="008D4345">
        <w:rPr>
          <w:rFonts w:ascii="Times New Roman" w:hAnsi="Times New Roman"/>
          <w:sz w:val="28"/>
          <w:szCs w:val="28"/>
        </w:rPr>
        <w:t>риск</w:t>
      </w:r>
      <w:proofErr w:type="gramEnd"/>
      <w:r w:rsidRPr="008D4345">
        <w:rPr>
          <w:rFonts w:ascii="Times New Roman" w:hAnsi="Times New Roman"/>
          <w:sz w:val="28"/>
          <w:szCs w:val="28"/>
        </w:rPr>
        <w:t xml:space="preserve"> повторных оперативных вмешательств.</w:t>
      </w:r>
    </w:p>
    <w:p w:rsidR="00591FBB" w:rsidRPr="00A95B48" w:rsidRDefault="00591FBB" w:rsidP="00591F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5E9" w:rsidRDefault="0080678A" w:rsidP="00B009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C23CD">
        <w:rPr>
          <w:rFonts w:ascii="Times New Roman" w:hAnsi="Times New Roman"/>
          <w:sz w:val="28"/>
          <w:szCs w:val="28"/>
        </w:rPr>
        <w:lastRenderedPageBreak/>
        <w:t>Литература.</w:t>
      </w:r>
    </w:p>
    <w:p w:rsidR="00FC23CD" w:rsidRDefault="00FC23CD" w:rsidP="00B009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C23CD">
        <w:rPr>
          <w:rFonts w:ascii="Times New Roman" w:hAnsi="Times New Roman"/>
          <w:sz w:val="28"/>
          <w:szCs w:val="28"/>
        </w:rPr>
        <w:t xml:space="preserve">. Баранов Г.А. Отдаленные результаты оперативного устранения спаечной кишечной непроходимости / Г.А. Баранов, М.Ю. </w:t>
      </w:r>
      <w:proofErr w:type="spellStart"/>
      <w:r w:rsidRPr="00FC23CD">
        <w:rPr>
          <w:rFonts w:ascii="Times New Roman" w:hAnsi="Times New Roman"/>
          <w:sz w:val="28"/>
          <w:szCs w:val="28"/>
        </w:rPr>
        <w:t>Карбовский</w:t>
      </w:r>
      <w:proofErr w:type="spellEnd"/>
      <w:r w:rsidRPr="00FC23CD">
        <w:rPr>
          <w:rFonts w:ascii="Times New Roman" w:hAnsi="Times New Roman"/>
          <w:sz w:val="28"/>
          <w:szCs w:val="28"/>
        </w:rPr>
        <w:t xml:space="preserve"> // Хирургия. — 2006. — № 7. — С. 56 — 59.</w:t>
      </w:r>
    </w:p>
    <w:p w:rsidR="00FC23CD" w:rsidRDefault="00FC23CD" w:rsidP="00B00940">
      <w:pPr>
        <w:pStyle w:val="a8"/>
        <w:tabs>
          <w:tab w:val="clear" w:pos="360"/>
        </w:tabs>
        <w:spacing w:line="360" w:lineRule="auto"/>
        <w:ind w:firstLine="0"/>
      </w:pPr>
      <w:r>
        <w:rPr>
          <w:szCs w:val="28"/>
        </w:rPr>
        <w:t xml:space="preserve">2. </w:t>
      </w:r>
      <w:r>
        <w:t xml:space="preserve">Воробей А.В. </w:t>
      </w:r>
      <w:proofErr w:type="spellStart"/>
      <w:r>
        <w:t>Адгезиотомия</w:t>
      </w:r>
      <w:proofErr w:type="spellEnd"/>
      <w:r>
        <w:t xml:space="preserve"> как важное звено в тактике ликвидации временных </w:t>
      </w:r>
      <w:proofErr w:type="spellStart"/>
      <w:r>
        <w:t>энтеро</w:t>
      </w:r>
      <w:proofErr w:type="spellEnd"/>
      <w:r>
        <w:t xml:space="preserve"> — и </w:t>
      </w:r>
      <w:proofErr w:type="spellStart"/>
      <w:r>
        <w:t>колостом</w:t>
      </w:r>
      <w:proofErr w:type="spellEnd"/>
      <w:r>
        <w:t xml:space="preserve"> / А.В. Воробей, А.Н. </w:t>
      </w:r>
      <w:proofErr w:type="spellStart"/>
      <w:r>
        <w:t>Сивец</w:t>
      </w:r>
      <w:proofErr w:type="spellEnd"/>
      <w:r>
        <w:t xml:space="preserve">, Н.А. </w:t>
      </w:r>
      <w:proofErr w:type="spellStart"/>
      <w:r>
        <w:t>Рижма</w:t>
      </w:r>
      <w:proofErr w:type="spellEnd"/>
      <w:r>
        <w:t xml:space="preserve"> //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овости. — 2006. — № 1. — С. 113 — 116.</w:t>
      </w:r>
    </w:p>
    <w:p w:rsidR="00FC23CD" w:rsidRDefault="00FC23CD" w:rsidP="00B00940">
      <w:pPr>
        <w:pStyle w:val="a8"/>
        <w:tabs>
          <w:tab w:val="clear" w:pos="360"/>
        </w:tabs>
        <w:spacing w:line="360" w:lineRule="auto"/>
        <w:ind w:firstLine="0"/>
      </w:pPr>
      <w:r>
        <w:t xml:space="preserve">3. </w:t>
      </w:r>
      <w:proofErr w:type="spellStart"/>
      <w:r>
        <w:t>Мішалов</w:t>
      </w:r>
      <w:proofErr w:type="spellEnd"/>
      <w:r>
        <w:t xml:space="preserve"> В.Г., </w:t>
      </w:r>
      <w:proofErr w:type="spellStart"/>
      <w:r>
        <w:t>Бик</w:t>
      </w:r>
      <w:proofErr w:type="spellEnd"/>
      <w:r>
        <w:t xml:space="preserve"> П.Л., </w:t>
      </w:r>
      <w:proofErr w:type="spellStart"/>
      <w:r>
        <w:t>Лещишин</w:t>
      </w:r>
      <w:proofErr w:type="spellEnd"/>
      <w:proofErr w:type="gramStart"/>
      <w:r>
        <w:t xml:space="preserve"> І.</w:t>
      </w:r>
      <w:proofErr w:type="gramEnd"/>
      <w:r>
        <w:t xml:space="preserve">М., </w:t>
      </w:r>
      <w:proofErr w:type="spellStart"/>
      <w:r>
        <w:t>Голінко</w:t>
      </w:r>
      <w:proofErr w:type="spellEnd"/>
      <w:r>
        <w:t xml:space="preserve"> В.М.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протизлукового</w:t>
      </w:r>
      <w:proofErr w:type="spellEnd"/>
      <w:r>
        <w:t xml:space="preserve"> гелю при </w:t>
      </w:r>
      <w:proofErr w:type="spellStart"/>
      <w:r>
        <w:t>резекціі</w:t>
      </w:r>
      <w:proofErr w:type="spellEnd"/>
      <w:r>
        <w:t xml:space="preserve"> </w:t>
      </w:r>
      <w:proofErr w:type="spellStart"/>
      <w:r>
        <w:t>тонкої</w:t>
      </w:r>
      <w:proofErr w:type="spellEnd"/>
      <w:r>
        <w:t xml:space="preserve"> кишки на </w:t>
      </w:r>
      <w:proofErr w:type="spellStart"/>
      <w:r>
        <w:t>тлі</w:t>
      </w:r>
      <w:proofErr w:type="spellEnd"/>
      <w:r>
        <w:t xml:space="preserve"> </w:t>
      </w:r>
      <w:proofErr w:type="spellStart"/>
      <w:r>
        <w:t>злукового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експеременті</w:t>
      </w:r>
      <w:proofErr w:type="spellEnd"/>
      <w:r>
        <w:t xml:space="preserve">. // </w:t>
      </w:r>
      <w:proofErr w:type="spellStart"/>
      <w:r>
        <w:t>Хірургія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 - 2013. - № 4. - С. 109-120.</w:t>
      </w:r>
    </w:p>
    <w:p w:rsidR="00B00940" w:rsidRPr="00B00940" w:rsidRDefault="00B00940" w:rsidP="00B00940">
      <w:pPr>
        <w:pStyle w:val="a8"/>
        <w:tabs>
          <w:tab w:val="clear" w:pos="360"/>
          <w:tab w:val="left" w:pos="1134"/>
        </w:tabs>
        <w:spacing w:line="360" w:lineRule="auto"/>
        <w:ind w:firstLine="0"/>
        <w:rPr>
          <w:lang w:val="en-US"/>
        </w:rPr>
      </w:pPr>
      <w:r w:rsidRPr="00B00940">
        <w:rPr>
          <w:lang w:val="en-US"/>
        </w:rPr>
        <w:t xml:space="preserve">4. </w:t>
      </w:r>
      <w:proofErr w:type="spellStart"/>
      <w:r>
        <w:rPr>
          <w:lang w:val="en-US"/>
        </w:rPr>
        <w:t>Karabulut</w:t>
      </w:r>
      <w:proofErr w:type="spellEnd"/>
      <w:r>
        <w:rPr>
          <w:lang w:val="en-US"/>
        </w:rPr>
        <w:t xml:space="preserve"> B., </w:t>
      </w:r>
      <w:proofErr w:type="spellStart"/>
      <w:r>
        <w:rPr>
          <w:lang w:val="en-US"/>
        </w:rPr>
        <w:t>Sonmez</w:t>
      </w:r>
      <w:proofErr w:type="spellEnd"/>
      <w:r>
        <w:rPr>
          <w:lang w:val="en-US"/>
        </w:rPr>
        <w:t xml:space="preserve"> K., </w:t>
      </w:r>
      <w:proofErr w:type="spellStart"/>
      <w:r>
        <w:rPr>
          <w:lang w:val="en-US"/>
        </w:rPr>
        <w:t>Turkyilmaz</w:t>
      </w:r>
      <w:proofErr w:type="spellEnd"/>
      <w:r>
        <w:rPr>
          <w:lang w:val="en-US"/>
        </w:rPr>
        <w:t xml:space="preserve"> Z. et al. </w:t>
      </w:r>
      <w:proofErr w:type="spellStart"/>
      <w:r w:rsidRPr="002065A4">
        <w:rPr>
          <w:lang w:val="en-US"/>
        </w:rPr>
        <w:t>Omentum</w:t>
      </w:r>
      <w:proofErr w:type="spellEnd"/>
      <w:r w:rsidRPr="002065A4">
        <w:rPr>
          <w:lang w:val="en-US"/>
        </w:rPr>
        <w:t xml:space="preserve"> prevents intestinal adhesions to mesh graft in abdominal infections and </w:t>
      </w:r>
      <w:proofErr w:type="spellStart"/>
      <w:r w:rsidRPr="002065A4">
        <w:rPr>
          <w:lang w:val="en-US"/>
        </w:rPr>
        <w:t>serodal</w:t>
      </w:r>
      <w:proofErr w:type="spellEnd"/>
      <w:r w:rsidRPr="002065A4">
        <w:rPr>
          <w:lang w:val="en-US"/>
        </w:rPr>
        <w:t xml:space="preserve"> defect.</w:t>
      </w:r>
      <w:r>
        <w:rPr>
          <w:lang w:val="en-US"/>
        </w:rPr>
        <w:t xml:space="preserve"> </w:t>
      </w:r>
      <w:r w:rsidRPr="00464AFC">
        <w:rPr>
          <w:lang w:val="en-US"/>
        </w:rPr>
        <w:t xml:space="preserve">// Surg. </w:t>
      </w:r>
      <w:proofErr w:type="spellStart"/>
      <w:r w:rsidRPr="00B00940">
        <w:rPr>
          <w:lang w:val="en-US"/>
        </w:rPr>
        <w:t>Endosc</w:t>
      </w:r>
      <w:proofErr w:type="spellEnd"/>
      <w:r w:rsidRPr="00B00940">
        <w:rPr>
          <w:lang w:val="en-US"/>
        </w:rPr>
        <w:t>. - 2006. - Vol. 20, N 6. - P. 978-982.</w:t>
      </w:r>
    </w:p>
    <w:p w:rsidR="00FC23CD" w:rsidRPr="00B00940" w:rsidRDefault="00B00940" w:rsidP="00B00940">
      <w:pPr>
        <w:pStyle w:val="a8"/>
        <w:tabs>
          <w:tab w:val="clear" w:pos="360"/>
          <w:tab w:val="left" w:pos="1134"/>
        </w:tabs>
        <w:spacing w:line="360" w:lineRule="auto"/>
        <w:ind w:firstLine="0"/>
        <w:rPr>
          <w:lang w:val="en-US"/>
        </w:rPr>
      </w:pPr>
      <w:r w:rsidRPr="00B00940">
        <w:rPr>
          <w:lang w:val="en-US"/>
        </w:rPr>
        <w:t>5</w:t>
      </w:r>
      <w:r w:rsidR="00FC23CD" w:rsidRPr="00FC23CD">
        <w:rPr>
          <w:lang w:val="en-US"/>
        </w:rPr>
        <w:t xml:space="preserve">. </w:t>
      </w:r>
      <w:proofErr w:type="spellStart"/>
      <w:r w:rsidR="00FC23CD">
        <w:rPr>
          <w:lang w:val="en-US"/>
        </w:rPr>
        <w:t>Koiava</w:t>
      </w:r>
      <w:proofErr w:type="spellEnd"/>
      <w:r w:rsidR="00FC23CD">
        <w:rPr>
          <w:lang w:val="en-US"/>
        </w:rPr>
        <w:t xml:space="preserve"> Z.A. Development of the postoperative adhesions in the small pelvic cavity/ Z.A. </w:t>
      </w:r>
      <w:proofErr w:type="spellStart"/>
      <w:r w:rsidR="00FC23CD">
        <w:rPr>
          <w:lang w:val="en-US"/>
        </w:rPr>
        <w:t>Koiava</w:t>
      </w:r>
      <w:proofErr w:type="spellEnd"/>
      <w:r w:rsidR="00FC23CD">
        <w:rPr>
          <w:lang w:val="en-US"/>
        </w:rPr>
        <w:t xml:space="preserve"> // Georgian Med News.</w:t>
      </w:r>
      <w:r w:rsidR="00FC23CD" w:rsidRPr="000A4DA9">
        <w:rPr>
          <w:lang w:val="en-US"/>
        </w:rPr>
        <w:t xml:space="preserve"> — </w:t>
      </w:r>
      <w:r w:rsidR="00FC23CD">
        <w:rPr>
          <w:lang w:val="en-US"/>
        </w:rPr>
        <w:t>2005.</w:t>
      </w:r>
      <w:r w:rsidR="00FC23CD" w:rsidRPr="000A4DA9">
        <w:rPr>
          <w:lang w:val="en-US"/>
        </w:rPr>
        <w:t xml:space="preserve"> — </w:t>
      </w:r>
      <w:r w:rsidR="00FC23CD">
        <w:rPr>
          <w:lang w:val="en-US"/>
        </w:rPr>
        <w:t>Vol. 120.</w:t>
      </w:r>
      <w:r w:rsidR="00FC23CD" w:rsidRPr="000A4DA9">
        <w:rPr>
          <w:lang w:val="en-US"/>
        </w:rPr>
        <w:t xml:space="preserve"> — </w:t>
      </w:r>
      <w:r w:rsidR="00FC23CD">
        <w:rPr>
          <w:lang w:val="en-US"/>
        </w:rPr>
        <w:t>P.24 — 26.</w:t>
      </w:r>
    </w:p>
    <w:p w:rsidR="00B00940" w:rsidRPr="00464AFC" w:rsidRDefault="00B00940" w:rsidP="00B00940">
      <w:pPr>
        <w:pStyle w:val="a8"/>
        <w:tabs>
          <w:tab w:val="clear" w:pos="360"/>
          <w:tab w:val="left" w:pos="1134"/>
        </w:tabs>
        <w:spacing w:line="360" w:lineRule="auto"/>
        <w:ind w:firstLine="0"/>
        <w:rPr>
          <w:lang w:val="en-US"/>
        </w:rPr>
      </w:pPr>
      <w:r w:rsidRPr="00B00940">
        <w:rPr>
          <w:lang w:val="en-US"/>
        </w:rPr>
        <w:t xml:space="preserve">6. </w:t>
      </w:r>
      <w:r>
        <w:rPr>
          <w:lang w:val="en-US"/>
        </w:rPr>
        <w:t xml:space="preserve">Menzies D. Peritoneal adhesions: etiology, pathophysiology and clinical significance. </w:t>
      </w:r>
      <w:r w:rsidRPr="00464AFC">
        <w:rPr>
          <w:lang w:val="en-US"/>
        </w:rPr>
        <w:t xml:space="preserve">// Digestive Surgery. - 2001. </w:t>
      </w:r>
      <w:proofErr w:type="gramStart"/>
      <w:r w:rsidRPr="00464AFC">
        <w:rPr>
          <w:lang w:val="en-US"/>
        </w:rPr>
        <w:t>- № 18.</w:t>
      </w:r>
      <w:proofErr w:type="gramEnd"/>
      <w:r w:rsidRPr="00464AFC">
        <w:rPr>
          <w:lang w:val="en-US"/>
        </w:rPr>
        <w:t xml:space="preserve"> - P. 260-273.</w:t>
      </w:r>
    </w:p>
    <w:p w:rsidR="00B00940" w:rsidRDefault="00B00940" w:rsidP="00B00940">
      <w:pPr>
        <w:pStyle w:val="a8"/>
        <w:tabs>
          <w:tab w:val="clear" w:pos="360"/>
          <w:tab w:val="left" w:pos="1134"/>
        </w:tabs>
        <w:spacing w:line="360" w:lineRule="auto"/>
        <w:ind w:firstLine="0"/>
        <w:rPr>
          <w:lang w:val="en-US"/>
        </w:rPr>
      </w:pPr>
      <w:r w:rsidRPr="00B00940">
        <w:rPr>
          <w:lang w:val="en-US"/>
        </w:rPr>
        <w:t xml:space="preserve">7. </w:t>
      </w:r>
      <w:proofErr w:type="spellStart"/>
      <w:r>
        <w:rPr>
          <w:lang w:val="en-US"/>
        </w:rPr>
        <w:t>Vant</w:t>
      </w:r>
      <w:proofErr w:type="spellEnd"/>
      <w:r>
        <w:rPr>
          <w:lang w:val="en-US"/>
        </w:rPr>
        <w:t xml:space="preserve"> Riet M., de </w:t>
      </w:r>
      <w:proofErr w:type="spellStart"/>
      <w:r>
        <w:rPr>
          <w:lang w:val="en-US"/>
        </w:rPr>
        <w:t>Vos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Steenwijk</w:t>
      </w:r>
      <w:proofErr w:type="spellEnd"/>
      <w:r>
        <w:rPr>
          <w:lang w:val="en-US"/>
        </w:rPr>
        <w:t xml:space="preserve"> P.J., </w:t>
      </w:r>
      <w:proofErr w:type="spellStart"/>
      <w:r>
        <w:rPr>
          <w:lang w:val="en-US"/>
        </w:rPr>
        <w:t>Bonthuis</w:t>
      </w:r>
      <w:proofErr w:type="spellEnd"/>
      <w:r>
        <w:rPr>
          <w:lang w:val="en-US"/>
        </w:rPr>
        <w:t xml:space="preserve"> F. A </w:t>
      </w:r>
      <w:proofErr w:type="spellStart"/>
      <w:r>
        <w:rPr>
          <w:lang w:val="en-US"/>
        </w:rPr>
        <w:t>revention</w:t>
      </w:r>
      <w:proofErr w:type="spellEnd"/>
      <w:r>
        <w:rPr>
          <w:lang w:val="en-US"/>
        </w:rPr>
        <w:t xml:space="preserve"> of adhesion to prosthetic mesh: comparison of different barriers using an incisional hernia model. // Ann. Surg. — 2003. — Vol.237, №1. — P.123 — 128.</w:t>
      </w:r>
    </w:p>
    <w:p w:rsidR="00B00940" w:rsidRPr="00B00940" w:rsidRDefault="00B00940" w:rsidP="00B00940">
      <w:pPr>
        <w:pStyle w:val="a8"/>
        <w:tabs>
          <w:tab w:val="clear" w:pos="360"/>
          <w:tab w:val="left" w:pos="1134"/>
        </w:tabs>
        <w:spacing w:line="360" w:lineRule="auto"/>
        <w:ind w:firstLine="0"/>
        <w:rPr>
          <w:lang w:val="en-US"/>
        </w:rPr>
      </w:pPr>
    </w:p>
    <w:p w:rsidR="00FC23CD" w:rsidRPr="00FC23CD" w:rsidRDefault="00FC23CD" w:rsidP="00FC23CD">
      <w:pPr>
        <w:pStyle w:val="a8"/>
        <w:tabs>
          <w:tab w:val="clear" w:pos="360"/>
        </w:tabs>
        <w:ind w:firstLine="0"/>
        <w:rPr>
          <w:lang w:val="en-US"/>
        </w:rPr>
      </w:pPr>
    </w:p>
    <w:p w:rsidR="00FC23CD" w:rsidRPr="00FC23CD" w:rsidRDefault="00FC23CD" w:rsidP="00FC23CD">
      <w:pPr>
        <w:pStyle w:val="a8"/>
        <w:tabs>
          <w:tab w:val="clear" w:pos="360"/>
        </w:tabs>
        <w:ind w:firstLine="0"/>
        <w:rPr>
          <w:lang w:val="en-US"/>
        </w:rPr>
      </w:pPr>
    </w:p>
    <w:p w:rsidR="00FC23CD" w:rsidRPr="00FC23CD" w:rsidRDefault="00FC23CD" w:rsidP="00FC23C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C23CD" w:rsidRPr="00FC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09F2"/>
    <w:multiLevelType w:val="hybridMultilevel"/>
    <w:tmpl w:val="26A2902A"/>
    <w:lvl w:ilvl="0" w:tplc="0CA680B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74"/>
    <w:rsid w:val="000F6AD7"/>
    <w:rsid w:val="0011363A"/>
    <w:rsid w:val="00294774"/>
    <w:rsid w:val="002B0D05"/>
    <w:rsid w:val="00591FBB"/>
    <w:rsid w:val="005D64C3"/>
    <w:rsid w:val="00690431"/>
    <w:rsid w:val="0080678A"/>
    <w:rsid w:val="00AD2784"/>
    <w:rsid w:val="00B00940"/>
    <w:rsid w:val="00BE5B58"/>
    <w:rsid w:val="00DD71E6"/>
    <w:rsid w:val="00EF760D"/>
    <w:rsid w:val="00F035E9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78A"/>
    <w:pPr>
      <w:spacing w:after="120"/>
    </w:pPr>
  </w:style>
  <w:style w:type="character" w:customStyle="1" w:styleId="a4">
    <w:name w:val="Основной текст Знак"/>
    <w:basedOn w:val="a0"/>
    <w:link w:val="a3"/>
    <w:rsid w:val="0080678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78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23CD"/>
    <w:pPr>
      <w:ind w:left="720"/>
      <w:contextualSpacing/>
    </w:pPr>
  </w:style>
  <w:style w:type="paragraph" w:customStyle="1" w:styleId="a8">
    <w:name w:val="Список литературы ИВ"/>
    <w:basedOn w:val="a"/>
    <w:rsid w:val="00FC23CD"/>
    <w:pPr>
      <w:shd w:val="clear" w:color="auto" w:fill="FFFFFF"/>
      <w:tabs>
        <w:tab w:val="num" w:pos="360"/>
        <w:tab w:val="left" w:pos="851"/>
        <w:tab w:val="left" w:pos="993"/>
      </w:tabs>
      <w:spacing w:after="0" w:line="480" w:lineRule="exact"/>
      <w:ind w:firstLine="567"/>
      <w:jc w:val="both"/>
    </w:pPr>
    <w:rPr>
      <w:rFonts w:ascii="Times New Roman" w:eastAsia="Calibri" w:hAnsi="Times New Roman"/>
      <w:kern w:val="28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78A"/>
    <w:pPr>
      <w:spacing w:after="120"/>
    </w:pPr>
  </w:style>
  <w:style w:type="character" w:customStyle="1" w:styleId="a4">
    <w:name w:val="Основной текст Знак"/>
    <w:basedOn w:val="a0"/>
    <w:link w:val="a3"/>
    <w:rsid w:val="0080678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78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23CD"/>
    <w:pPr>
      <w:ind w:left="720"/>
      <w:contextualSpacing/>
    </w:pPr>
  </w:style>
  <w:style w:type="paragraph" w:customStyle="1" w:styleId="a8">
    <w:name w:val="Список литературы ИВ"/>
    <w:basedOn w:val="a"/>
    <w:rsid w:val="00FC23CD"/>
    <w:pPr>
      <w:shd w:val="clear" w:color="auto" w:fill="FFFFFF"/>
      <w:tabs>
        <w:tab w:val="num" w:pos="360"/>
        <w:tab w:val="left" w:pos="851"/>
        <w:tab w:val="left" w:pos="993"/>
      </w:tabs>
      <w:spacing w:after="0" w:line="480" w:lineRule="exact"/>
      <w:ind w:firstLine="567"/>
      <w:jc w:val="both"/>
    </w:pPr>
    <w:rPr>
      <w:rFonts w:ascii="Times New Roman" w:eastAsia="Calibri" w:hAnsi="Times New Roman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95121951219511"/>
          <c:y val="3.2258064516129032E-3"/>
          <c:w val="0.44476327116212333"/>
          <c:h val="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677259999935303"/>
                  <c:y val="3.60978713710004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7168788515576583E-2"/>
                  <c:y val="-0.229135979302886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696346562980271"/>
                  <c:y val="0.120917779773703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Область срединного рубца</c:v>
                </c:pt>
                <c:pt idx="1">
                  <c:v>Культя кишки</c:v>
                </c:pt>
                <c:pt idx="2">
                  <c:v>Колостома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74</c:v>
                </c:pt>
                <c:pt idx="1">
                  <c:v>61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Область срединного рубца</c:v>
                </c:pt>
                <c:pt idx="1">
                  <c:v>Культя кишки</c:v>
                </c:pt>
                <c:pt idx="2">
                  <c:v>Колостома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Область срединного рубца</c:v>
                </c:pt>
                <c:pt idx="1">
                  <c:v>Культя кишки</c:v>
                </c:pt>
                <c:pt idx="2">
                  <c:v>Колостома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FFFFFF"/>
        </a:solidFill>
        <a:ln w="1267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106169296987076"/>
          <c:y val="0.25161290322580648"/>
          <c:w val="0.40602582496413198"/>
          <c:h val="0.4967741935483871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10</cp:revision>
  <dcterms:created xsi:type="dcterms:W3CDTF">2016-02-07T13:45:00Z</dcterms:created>
  <dcterms:modified xsi:type="dcterms:W3CDTF">2016-12-04T09:07:00Z</dcterms:modified>
</cp:coreProperties>
</file>