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ABF" w:rsidRPr="00063E6A" w:rsidRDefault="00063E6A" w:rsidP="00063E6A">
      <w:pPr>
        <w:ind w:left="567" w:hanging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063E6A">
        <w:rPr>
          <w:b/>
        </w:rPr>
        <w:fldChar w:fldCharType="begin"/>
      </w:r>
      <w:r w:rsidRPr="00063E6A">
        <w:rPr>
          <w:b/>
        </w:rPr>
        <w:instrText xml:space="preserve"> HYPERLINK "http://nauka.knmu.edu.ua/sierep/main.php?action=razdel&amp;rname=11.&amp;eid=50&amp;subact=edit&amp;editv=101968" </w:instrText>
      </w:r>
      <w:r w:rsidRPr="00063E6A">
        <w:rPr>
          <w:b/>
        </w:rPr>
        <w:fldChar w:fldCharType="separate"/>
      </w:r>
      <w:r w:rsidRPr="0006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ГЕНДЕРНИЙ МОНІТОРИНГ ЯК ЗАСІБ ПІДВИЩЕННЯ ЯКОСТІ НАВЧАЛЬНОГО ПРОЦЕСУ</w:t>
      </w:r>
      <w:r w:rsidRPr="00063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fldChar w:fldCharType="end"/>
      </w:r>
    </w:p>
    <w:p w:rsidR="00936ABF" w:rsidRPr="00936ABF" w:rsidRDefault="00936ABF" w:rsidP="0093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Початок третього тисячоліття ознаменувався серйозними змінами у всіх сферах життя людини. Сьогодні в багатьох державах права жінок і чоловіків законодавчо зрівняні. Прогресивні зміни гендерної стратифікації стали одним з основних показників сучасної епохи, а тому першочерговим стає завдання індивідуальне усвідомлення значення </w:t>
      </w:r>
      <w:proofErr w:type="spellStart"/>
      <w:r w:rsidRPr="00936ABF">
        <w:rPr>
          <w:rFonts w:ascii="Times New Roman" w:hAnsi="Times New Roman" w:cs="Times New Roman"/>
          <w:sz w:val="28"/>
          <w:szCs w:val="28"/>
          <w:lang w:val="uk-UA"/>
        </w:rPr>
        <w:t>гендеру</w:t>
      </w:r>
      <w:proofErr w:type="spellEnd"/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, особистісна відповідальність щодо визначення та вибору соціальної ролі, яка може нав’язуватися ззовні системою існуючих стереотипів. </w:t>
      </w:r>
    </w:p>
    <w:p w:rsidR="00936ABF" w:rsidRPr="00936ABF" w:rsidRDefault="00936ABF" w:rsidP="00936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Оскільки зміст поняття «гендер»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не є постійним,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подібно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біологічній статі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або расі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, то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існує можливість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його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переосмислення та </w:t>
      </w:r>
      <w:proofErr w:type="spellStart"/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деконструкції</w:t>
      </w:r>
      <w:proofErr w:type="spellEnd"/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як «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системи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символів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з метою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досягнення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більш високого рівня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відносин, до яких, безумовно, належить й навчальний процес в університеті.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Розгляд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гендерної проблематики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у даному контексті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актуалізує такі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характеристики особистості,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як динамічність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процесуальність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, культурологічна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обумовленість і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соціальна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6ABF">
        <w:rPr>
          <w:rStyle w:val="hps"/>
          <w:rFonts w:ascii="Times New Roman" w:hAnsi="Times New Roman" w:cs="Times New Roman"/>
          <w:sz w:val="28"/>
          <w:szCs w:val="28"/>
          <w:lang w:val="uk-UA"/>
        </w:rPr>
        <w:t>функціональність</w:t>
      </w:r>
      <w:r w:rsidRPr="00936ABF">
        <w:rPr>
          <w:rStyle w:val="hps"/>
          <w:lang w:val="uk-UA"/>
        </w:rPr>
        <w:t xml:space="preserve">. 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При цьому гендерний моніторинг  </w:t>
      </w:r>
      <w:r w:rsidRPr="00936ABF">
        <w:rPr>
          <w:rFonts w:ascii="Times New Roman" w:hAnsi="Times New Roman" w:cs="Times New Roman"/>
          <w:sz w:val="28"/>
          <w:szCs w:val="28"/>
          <w:lang w:val="uk-UA"/>
        </w:rPr>
        <w:softHyphen/>
        <w:t>̶  це вивчення того, як певний соціум визначає, формує і закріплює в суспільній свідомості і в свідомості особистості соціальні ролі жінки і чоловіка, а також які наслідки цей розподіл має для них.</w:t>
      </w:r>
    </w:p>
    <w:p w:rsidR="00936ABF" w:rsidRPr="00936ABF" w:rsidRDefault="00936ABF" w:rsidP="00936AB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936AB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Завдання гендерного моніторингу в університеті полягає в тому, щоб проаналізувати,  якою мірою принципи ґендерної рівності знаходять своє відображення у діяльності університету, підкреслити позитивний досвід, визначити перспективи щодо реалізації принципів гендерної рівності в університеті. </w:t>
      </w:r>
      <w:r w:rsidRPr="00936ABF">
        <w:rPr>
          <w:rFonts w:ascii="Times New Roman" w:hAnsi="Times New Roman"/>
          <w:sz w:val="28"/>
          <w:szCs w:val="28"/>
          <w:lang w:val="uk-UA"/>
        </w:rPr>
        <w:t xml:space="preserve"> Методологія гендерного моніторингу акцентує увагу перш за все не на </w:t>
      </w:r>
      <w:r w:rsidRPr="00936ABF">
        <w:rPr>
          <w:rFonts w:ascii="Times New Roman" w:hAnsi="Times New Roman"/>
          <w:bCs/>
          <w:sz w:val="28"/>
          <w:szCs w:val="28"/>
          <w:lang w:val="uk-UA"/>
        </w:rPr>
        <w:t>контролюючій, а на розвивальній</w:t>
      </w:r>
      <w:r w:rsidRPr="00936ABF">
        <w:rPr>
          <w:rFonts w:ascii="Times New Roman" w:hAnsi="Times New Roman"/>
          <w:sz w:val="28"/>
          <w:szCs w:val="28"/>
          <w:lang w:val="uk-UA"/>
        </w:rPr>
        <w:t xml:space="preserve"> складовій гендерного аудиту. Обов’язковим є не лише аналіз документів, опитування та співбесіди, але й спеціальні навчальні семінари, тренінги, консультації, фактична робота з цільовою аудиторією, фокус-групи тощо. Завдяки цьому формується </w:t>
      </w:r>
      <w:r w:rsidRPr="00936ABF">
        <w:rPr>
          <w:rFonts w:ascii="Times New Roman" w:hAnsi="Times New Roman"/>
          <w:sz w:val="28"/>
          <w:szCs w:val="28"/>
          <w:lang w:val="uk-UA"/>
        </w:rPr>
        <w:lastRenderedPageBreak/>
        <w:t>передумова для втілення гендерного підходу до різних сфер університетського життя.</w:t>
      </w:r>
    </w:p>
    <w:p w:rsidR="00936ABF" w:rsidRPr="00936ABF" w:rsidRDefault="00936ABF" w:rsidP="00936A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Метою гендерного підходу в освіті є </w:t>
      </w:r>
      <w:proofErr w:type="spellStart"/>
      <w:r w:rsidRPr="00936ABF">
        <w:rPr>
          <w:rFonts w:ascii="Times New Roman" w:hAnsi="Times New Roman" w:cs="Times New Roman"/>
          <w:sz w:val="28"/>
          <w:szCs w:val="28"/>
          <w:lang w:val="uk-UA"/>
        </w:rPr>
        <w:t>деконструкція</w:t>
      </w:r>
      <w:proofErr w:type="spellEnd"/>
      <w:r w:rsidRPr="00936ABF">
        <w:rPr>
          <w:rFonts w:ascii="Times New Roman" w:hAnsi="Times New Roman" w:cs="Times New Roman"/>
          <w:sz w:val="28"/>
          <w:szCs w:val="28"/>
          <w:lang w:val="uk-UA"/>
        </w:rPr>
        <w:t xml:space="preserve"> традиційних культурних обмежень розвитку потенціалу особистості, осмислення і створення умов для максимальної самореалізації та розкриття здібностей студентів не залежно від їх статі. На відміну від статево-рольового підходу, заснованого на сформованих стереотипах, гендерний підхід враховує саме можливості і здібності особистості, а не її статеву приналежність. По відношенню до медицини як сфери професійної діяльності гендерний підхід орієнтує на нейтралізацію і пом’якшення відмінностей між статями та заохочує до видів діяльності, що відповідають інтересам особистості. Він сприяє вибору поведінки, виходячи з конкретної ситуації, а тому передбачає можливість відступів від традиційних стереотипів розподілу медичних професій за статтю.</w:t>
      </w:r>
    </w:p>
    <w:p w:rsidR="00936ABF" w:rsidRPr="00936ABF" w:rsidRDefault="00936ABF" w:rsidP="00936A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час навчального процесу слід звернути увагу студентів на те, що гендерні проблеми в охороні здоров’я об’єктивно складніше виділити, ніж в будь-якій іншій сфері суспільного життя, оскільки в цій області істотну роль відіграють власне біологічні відмінності жінок і чоловіків. Є тут й інша особливість. Традиційно вважається, що при розгляді гендерних питань мають перш за все зважати на проблеми, що виникають у жінок. В той же час нерідко виявляється, що саме здоров’я чоловіків стає гендерною проблемою.  Гендерний підхід визнається доречним при з’ясування сутності й подолання стереотипів поведінки, які шкодять чоловікам. Наприклад, ризикова поведінка чоловіків часом не є об’єктивно детермінованою, а пов’язана з бажанням продемонструвати ознаки </w:t>
      </w:r>
      <w:proofErr w:type="spellStart"/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маскулінності</w:t>
      </w:r>
      <w:proofErr w:type="spellEnd"/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Це, у свою чергу, формує зневагу до здорового способу життя.</w:t>
      </w:r>
    </w:p>
    <w:p w:rsidR="00936ABF" w:rsidRPr="00936ABF" w:rsidRDefault="00936ABF" w:rsidP="00936AB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гендерний моніторинг у медичному університеті, з одного боку,  спрямований на визначення ролі гендерної рівності в медицині як професійній діяльності, а, з іншого боку, він стосується медицини як  сфери суспільного життя. Обидві сторони цього процесу є органічно включеними </w:t>
      </w:r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не лише у систему конструювання гендерних стереотипів, а й в систему їх </w:t>
      </w:r>
      <w:proofErr w:type="spellStart"/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деконструкції</w:t>
      </w:r>
      <w:proofErr w:type="spellEnd"/>
      <w:r w:rsidRPr="00936AB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Гендерний моніторинг сприяє підвищенню якості навчального процесу саме тому, що активізує такі соціальні механізми, як самооцінка та відповідальність особистості.</w:t>
      </w:r>
    </w:p>
    <w:p w:rsidR="00063E6A" w:rsidRDefault="00063E6A" w:rsidP="00063E6A">
      <w:pPr>
        <w:ind w:left="567" w:hanging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history="1">
        <w:r w:rsidRPr="00936ABF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lang w:val="uk-UA" w:eastAsia="ru-RU"/>
          </w:rPr>
          <w:t>Карпенко К.І.</w:t>
        </w:r>
      </w:hyperlink>
      <w:r w:rsidRPr="00936A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</w:t>
      </w:r>
      <w:hyperlink r:id="rId6" w:history="1">
        <w:r w:rsidRPr="003014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Гендерний моніторинг як засіб підвищення якості навчального процесу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7" w:history="1">
        <w:r w:rsidRPr="003014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Матеріали XLIX</w:t>
        </w:r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 </w:t>
        </w:r>
        <w:r w:rsidRPr="003014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навчально-методичної конференції «Організаційно-методичне забезпечення системи внутрішнього моніторингу якості навчального процесу: стан та перспективи. – 9 грудня 2015 р.- Харків: ХНМУ, 2015.</w:t>
        </w:r>
      </w:hyperlink>
      <w:r w:rsidRPr="003014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8" w:history="1">
        <w:r w:rsidRPr="0030140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С. 40-41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936ABF" w:rsidRPr="00936ABF" w:rsidRDefault="00936ABF" w:rsidP="00301403">
      <w:pPr>
        <w:ind w:left="567" w:hanging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936ABF" w:rsidRPr="00936ABF" w:rsidSect="00B66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1403"/>
    <w:rsid w:val="00063E6A"/>
    <w:rsid w:val="00301403"/>
    <w:rsid w:val="00387476"/>
    <w:rsid w:val="006D1778"/>
    <w:rsid w:val="00936ABF"/>
    <w:rsid w:val="00980C7F"/>
    <w:rsid w:val="00B6603B"/>
    <w:rsid w:val="00CC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1403"/>
    <w:rPr>
      <w:color w:val="0000FF"/>
      <w:u w:val="single"/>
    </w:rPr>
  </w:style>
  <w:style w:type="character" w:customStyle="1" w:styleId="hps">
    <w:name w:val="hps"/>
    <w:basedOn w:val="a0"/>
    <w:rsid w:val="00936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uka.knmu.edu.ua/sierep/main.php?action=razdel&amp;rname=11.&amp;eid=50&amp;subact=edit&amp;editv=1019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uka.knmu.edu.ua/sierep/main.php?action=razdel&amp;rname=11.&amp;eid=50&amp;subact=edit&amp;editv=10196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auka.knmu.edu.ua/sierep/main.php?action=razdel&amp;rname=11.&amp;eid=50&amp;subact=edit&amp;editv=101968" TargetMode="External"/><Relationship Id="rId5" Type="http://schemas.openxmlformats.org/officeDocument/2006/relationships/hyperlink" Target="http://nauka.knmu.edu.ua/sierep/main.php?action=razdel&amp;rname=11.&amp;eid=50&amp;subact=edit&amp;editv=10196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3174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Free</cp:lastModifiedBy>
  <cp:revision>3</cp:revision>
  <dcterms:created xsi:type="dcterms:W3CDTF">2016-06-24T13:11:00Z</dcterms:created>
  <dcterms:modified xsi:type="dcterms:W3CDTF">2016-06-24T13:13:00Z</dcterms:modified>
</cp:coreProperties>
</file>